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duas rodadas de piloto, com oito consultores no total. No acumulado os resultados foram positivos (média 4,3 de 5); a segunda rodada, após a inclusão de um onboarding e com um público mais diverso, foi mais crítica (4,1 ante 4,48) e manteve a clareza inicial (3,8) como o principal ponto de atenção.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Consultorias entregam, ano após ano, dezenas de projetos para clientes distintos, e cada projeto produz um conhecimento valioso: o que funcionou, os riscos que se materializaram e as decisões que mudaram o rumo do trabalho. Esse conhecimento, porém, tende a permanecer tácito, preso a quem viveu o projeto, e raramente é capturado de forma reaproveitável. Revisões sistemáticas sobre gestão do conhecimento mostram que a captura, a análise e a aplicação de lições aprendidas dependem mais de fatores culturais e organizacionais do que das ferramentas adotadas (Henz, 2024; Kamudyariwa et al., 2025). O obstáculo prático é o custo: manter um repositório vivo de conhecimento exige um esforço contínuo que poucas consultorias de pequeno e médio porte conseguem sustentar. A consequência é conhecida: erros se repetem entre projetos, há retrabalho e parte do aprendizado se perde na transição de um caso para o outro.</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sistematizando a transparência sobre o andamento e as decisões dos projetos (Vieira et al., 2021). O Modelo de Observatório de Projetos (MPO) consolida essa abordagem em um conjunto de conceitos hierárquicos que orienta a concepção desses sistemas (Vieira, 2022; de Farias Junior et al., 2025). O que distingue um observatório de uma ferramenta comum de gestão é justamente tratar a observação, e não apenas a execução, como objeto de primeira classe: ferramentas usuais, como quadros de tarefas e painéis,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No contexto de uma consultoria, o portfólio se organiza por áreas de atuação e os clientes se renovam a cada engajamento, o que torna o reaproveitamento de aprendizados entre casos especialmente valioso. Além disso, o cliente não é apenas destinatário do resultado: ele participa das decisões e detém informação que enriquece a observação. Abrir o observatório, de forma controlada, à participação do cliente cria uma dimensão comunitária que a literatura de observatórios, centrada na organização executora, ainda não explora.</w:t>
      </w:r>
    </w:p>
    <w:p>
      <w:pPr>
        <w:spacing w:before="120"/>
        <w:ind w:firstLine="720"/>
        <w:jc w:val="both"/>
      </w:pPr>
      <w:r>
        <w:rPr>
          <w:rFonts w:ascii="Times New Roman" w:hAnsi="Times New Roman"/>
          <w:b w:val="0"/>
          <w:i w:val="0"/>
          <w:sz w:val="24"/>
        </w:rPr>
        <w:t>Diante desse cenário, sobressaem-se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surge, nesse ponto, como uma janela de oportunidade, pois reduz o custo de extrair e sintetizar informação textual, tarefa antes cara e manual.</w:t>
      </w:r>
    </w:p>
    <w:p>
      <w:pPr>
        <w:spacing w:before="120"/>
        <w:ind w:firstLine="720"/>
        <w:jc w:val="both"/>
      </w:pPr>
      <w:r>
        <w:rPr>
          <w:rFonts w:ascii="Times New Roman" w:hAnsi="Times New Roman"/>
          <w:b w:val="0"/>
          <w:i w:val="0"/>
          <w:sz w:val="24"/>
        </w:rPr>
        <w:t>Este artigo investiga como a IA generativa pode viabilizar um observatório de projetos, de modo a reduzir a fricção de manutenção e promover o engajamento entre a organização executora e seus clientes. Desse objetivo geral derivam três objetivos específicos: demonstrar a viabilidade técnica de operacionalizar o MPO com IA generativa; construir e exercitar a dimensão comunitária, em que consultoria e clientes debatem observações e consolidam aprendizados; e avaliar a percepção de valor da solução por usuários reais.</w:t>
      </w:r>
    </w:p>
    <w:p>
      <w:pPr>
        <w:spacing w:before="120"/>
        <w:ind w:firstLine="720"/>
        <w:jc w:val="both"/>
      </w:pPr>
      <w:r>
        <w:rPr>
          <w:rFonts w:ascii="Times New Roman" w:hAnsi="Times New Roman"/>
          <w:b w:val="0"/>
          <w:i w:val="0"/>
          <w:sz w:val="24"/>
        </w:rPr>
        <w:t>Para responder a essa pergunta, o trabalho apresenta o ObiOne, um observatório de projetos construído sobre o MPO e potencializado por IA generativa, e segue a Design Science Research, que trata a construção do artefato como forma legítima de investigação. O restante do artigo está organizado como segue: a Seção 2 apresenta a fundamentação teórica; a Seção 3, o método; a Seção 4, a implementação do artefato; a Seção 5, os resultados da avaliação; a Seção 6, a discussão e as lições aprendidas; e a Seção 7, a conclusão.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A observação é um elemento antigo da gestão, e a transparência é o construto que, na literatura recente, traduz a observação no contexto de projetos: tornar visíveis o andamento, as decisões e os riscos fortalece o alinhamento entre a organização e seus interessados (Vieira et al., 2021). Observatórios de projetos são os sistemas de informação que sistematizam essa transparência, apoiando a coleta, a organização, o armazenamento, a análise e a publicação de observações.</w:t>
      </w:r>
    </w:p>
    <w:p>
      <w:pPr>
        <w:spacing w:before="120"/>
        <w:ind w:firstLine="720"/>
        <w:jc w:val="both"/>
      </w:pPr>
      <w:r>
        <w:rPr>
          <w:rFonts w:ascii="Times New Roman" w:hAnsi="Times New Roman"/>
          <w:b w:val="0"/>
          <w:i w:val="0"/>
          <w:sz w:val="24"/>
        </w:rPr>
        <w:t>O Modelo de Observatório de Projetos (MPO) é um modelo conceitual para esses sistemas, organizado a partir de 61 conceitos estruturados em três níveis hierárquicos, do geral ao específico (de Farias Junior et al., 2025). Sua versão de tese sistematiza os atributos de observação no Quadro 37, que reúne 44 atributos distribuídos em oito dimensões, abrangendo desde dados estruturais do projeto até registros narrativos como escopo, riscos e lições aprendidas (Vieira, 2022). O modelo parte de uma perspectiva sociotécnica e relaciona transparência e governança a sistemas de apoio à gestão de projetos; foi avaliado conceitualmente e em estudos de caso (de Farias Junior et al., 2025), mas ainda não havia sido operacionalizado com apoio de IA generativa.</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gestão do conhecimento trata da captura e do reaproveitamento do que se aprende ao longo do trabalho, e as lições aprendidas são uma de suas práticas centrais em projetos. Revisões sistemáticas recentes indicam que a implementação efetiva depende sobretudo de fatores humanos e organizacionais, como cultura, apoio gerencial e melhoria contínua, e que, sem esses fatores, as práticas de lições aprendidas tendem a falhar independentemente das ferramentas empregadas (Henz, 2024).</w:t>
      </w:r>
    </w:p>
    <w:p>
      <w:pPr>
        <w:spacing w:before="120"/>
        <w:ind w:firstLine="720"/>
        <w:jc w:val="both"/>
      </w:pPr>
      <w:r>
        <w:rPr>
          <w:rFonts w:ascii="Times New Roman" w:hAnsi="Times New Roman"/>
          <w:b w:val="0"/>
          <w:i w:val="0"/>
          <w:sz w:val="24"/>
        </w:rPr>
        <w:t>Em projetos complexos, a aprendizagem organizacional se sustenta quando a captura, a análise e a aplicação de lições são conduzidas de forma sistemática, e não pontual (Kamudyariwa et al., 2025). Esse é o ponto em que as ferramentas usuais de gestão mostram seu limite: elas registram o que foi feito, mas não o porquê, e não oferecem um lugar nem um ritual para que o conhecimento seja debatido e consolidado. O observatório atua exatamente sobre essa lacuna.</w:t>
      </w:r>
    </w:p>
    <w:p>
      <w:pPr>
        <w:spacing w:before="120" w:after="60"/>
        <w:jc w:val="left"/>
      </w:pPr>
      <w:r>
        <w:rPr>
          <w:rFonts w:ascii="Times New Roman" w:hAnsi="Times New Roman"/>
          <w:b/>
          <w:i w:val="0"/>
          <w:sz w:val="24"/>
        </w:rPr>
        <w:t>2.3. IA Generativa como assistente</w:t>
      </w:r>
    </w:p>
    <w:p>
      <w:pPr>
        <w:spacing w:before="120"/>
        <w:jc w:val="both"/>
      </w:pPr>
      <w:r>
        <w:rPr>
          <w:rFonts w:ascii="Times New Roman" w:hAnsi="Times New Roman"/>
          <w:b w:val="0"/>
          <w:i w:val="0"/>
          <w:sz w:val="24"/>
        </w:rPr>
        <w:t>Modelos de linguagem de grande porte têm sido estudados como apoio a tarefas de análise textual, entre elas a codificação e a síntese qualitativa. Estudos recentes mostram que a IA acelera a identificação de temas descritivos e reduz o esforço operacional, mas perde nuances que dependem de conhecimento contextual humano (CHI, 2026; medRxiv, 2024).</w:t>
      </w:r>
    </w:p>
    <w:p>
      <w:pPr>
        <w:spacing w:before="120"/>
        <w:ind w:firstLine="720"/>
        <w:jc w:val="both"/>
      </w:pPr>
      <w:r>
        <w:rPr>
          <w:rFonts w:ascii="Times New Roman" w:hAnsi="Times New Roman"/>
          <w:b w:val="0"/>
          <w:i w:val="0"/>
          <w:sz w:val="24"/>
        </w:rPr>
        <w:t>Daí emerge um consenso de parceria guiada: a IA assume tarefas estruturadas enquanto o humano permanece como líder intelectual da interpretação, princípio conhecido como human-in-the-loop. Para um observatório, isso sugere um papel assistivo para a IA, capaz de reduzir a fricção de registrar e sintetizar conhecimento sem substituir o julgamento de quem conduz o projeto. É essa a posição adotada pelo ObiOne.</w:t>
      </w:r>
    </w:p>
    <w:p>
      <w:pPr>
        <w:spacing w:before="240" w:after="120"/>
        <w:jc w:val="left"/>
      </w:pPr>
      <w:r>
        <w:rPr>
          <w:rFonts w:ascii="Times New Roman" w:hAnsi="Times New Roman"/>
          <w:b/>
          <w:i w:val="0"/>
          <w:sz w:val="26"/>
        </w:rPr>
        <w:t>3. Método</w:t>
      </w:r>
    </w:p>
    <w:p>
      <w:pPr>
        <w:spacing w:before="120" w:after="60"/>
        <w:jc w:val="left"/>
      </w:pPr>
      <w:r>
        <w:rPr>
          <w:rFonts w:ascii="Times New Roman" w:hAnsi="Times New Roman"/>
          <w:b/>
          <w:i w:val="0"/>
          <w:sz w:val="24"/>
        </w:rPr>
        <w:t>3.1. Design Science Research</w:t>
      </w:r>
    </w:p>
    <w:p>
      <w:pPr>
        <w:spacing w:before="120"/>
        <w:jc w:val="both"/>
      </w:pPr>
      <w:r>
        <w:rPr>
          <w:rFonts w:ascii="Times New Roman" w:hAnsi="Times New Roman"/>
          <w:b w:val="0"/>
          <w:i w:val="0"/>
          <w:sz w:val="24"/>
        </w:rPr>
        <w:t>A construção do ObiOne segue a Design Science Research, que estabelece o artefato como forma legítima de pesquisa (Hevner et al., 2004) e organiza o trabalho em atividades de identificação do problema, definição de objetivos, design e desenvolvimento, demonstração, avaliação e comunicação (Peffers et al., 2007). Por se tratar de uma pergunta de viabilidade, responder exige construir o sistema, colocá-lo em uso e observar o resultado, e não apenas coletar opiniões sobre uma descrição.</w:t>
      </w:r>
    </w:p>
    <w:p>
      <w:pPr>
        <w:spacing w:before="120" w:after="60"/>
        <w:jc w:val="left"/>
      </w:pPr>
      <w:r>
        <w:rPr>
          <w:rFonts w:ascii="Times New Roman" w:hAnsi="Times New Roman"/>
          <w:b/>
          <w:i w:val="0"/>
          <w:sz w:val="24"/>
        </w:rPr>
        <w:t>3.2. Desenho da avaliação</w:t>
      </w:r>
    </w:p>
    <w:p>
      <w:pPr>
        <w:spacing w:before="120"/>
        <w:jc w:val="both"/>
      </w:pPr>
      <w:r>
        <w:rPr>
          <w:rFonts w:ascii="Times New Roman" w:hAnsi="Times New Roman"/>
          <w:b w:val="0"/>
          <w:i w:val="0"/>
          <w:sz w:val="24"/>
        </w:rPr>
        <w:t>A avaliação combinou a demonstração de uso real do artefato com a medição da percepção de valor. A percepção foi medida por um instrumento de doze afirmações em escala Likert de 1 a 5 e três perguntas abertas, aplicado em duas rodadas de piloto com quatro consultores cada, após um walkthrough do sistema. A segunda rodada ocorreu depois da inclusão de um onboarding de primeiro acesso e reuniu um público mais diverso. Como as duas rodadas usaram participantes distintos, a comparação é exploratória e carrega um confundidor: a variação entre rodadas mistura o efeito das mudanças no produto com a diferença de composição das coortes. A avaliação foi conduzida na perspectiva do consultor, perfil central do observatório; a aplicação, porém, oferece telas para os três perfis, consultor, administrador e cliente, conforme o Apêndice C. Os resultados são reportados como casos, sem inferência estatística.</w:t>
      </w:r>
    </w:p>
    <w:p>
      <w:pPr>
        <w:spacing w:before="120" w:after="60"/>
        <w:jc w:val="left"/>
      </w:pPr>
      <w:r>
        <w:rPr>
          <w:rFonts w:ascii="Times New Roman" w:hAnsi="Times New Roman"/>
          <w:b/>
          <w:i w:val="0"/>
          <w:sz w:val="24"/>
        </w:rPr>
        <w:t>3.3. Participantes</w:t>
      </w:r>
    </w:p>
    <w:p>
      <w:pPr>
        <w:spacing w:before="120"/>
        <w:jc w:val="both"/>
      </w:pPr>
      <w:r>
        <w:rPr>
          <w:rFonts w:ascii="Times New Roman" w:hAnsi="Times New Roman"/>
          <w:b w:val="0"/>
          <w:i w:val="0"/>
          <w:sz w:val="24"/>
        </w:rPr>
        <w:t>As duas rodadas somaram oito participantes de uma mesma consultoria, quatro em cada rodada. Quanto ao papel, sete eram consultores e um era gestor. As ferramentas de acompanhamento de projetos usadas no dia a dia eram sobretudo o Trello, por quatro participantes, e planilhas, por três. A familiaridade com gestão de projetos era, na maioria, de nível médio. A Tabela 1 resume o perfil.</w:t>
      </w:r>
    </w:p>
    <w:p>
      <w:pPr>
        <w:spacing w:before="120" w:after="120"/>
        <w:jc w:val="center"/>
      </w:pPr>
      <w:r>
        <w:rPr>
          <w:rFonts w:ascii="Helvetica" w:hAnsi="Helvetica"/>
          <w:b/>
          <w:i w:val="0"/>
          <w:sz w:val="20"/>
        </w:rPr>
        <w:t>Tabela 1. Perfil dos participantes (N=8, duas rodadas de quatro).</w:t>
      </w:r>
    </w:p>
    <w:tbl>
      <w:tblPr>
        <w:tblStyle w:val="TableGrid"/>
        <w:tblW w:type="auto" w:w="0"/>
        <w:tblLayout w:type="fixed"/>
        <w:tblLook w:firstColumn="1" w:firstRow="1" w:lastColumn="0" w:lastRow="0" w:noHBand="0" w:noVBand="1" w:val="04A0"/>
      </w:tblPr>
      <w:tblGrid>
        <w:gridCol w:w="4252"/>
        <w:gridCol w:w="4252"/>
      </w:tblGrid>
      <w:tr>
        <w:tc>
          <w:tcPr>
            <w:tcW w:type="dxa" w:w="3685"/>
          </w:tcPr>
          <w:p>
            <w:r>
              <w:rPr>
                <w:rFonts w:ascii="Times New Roman" w:hAnsi="Times New Roman"/>
                <w:b/>
                <w:i w:val="0"/>
                <w:sz w:val="22"/>
              </w:rPr>
              <w:t>Dimensão</w:t>
            </w:r>
          </w:p>
        </w:tc>
        <w:tc>
          <w:tcPr>
            <w:tcW w:type="dxa" w:w="4819"/>
          </w:tcPr>
          <w:p>
            <w:r>
              <w:rPr>
                <w:rFonts w:ascii="Times New Roman" w:hAnsi="Times New Roman"/>
                <w:b/>
                <w:i w:val="0"/>
                <w:sz w:val="22"/>
              </w:rPr>
              <w:t>Distribuição</w:t>
            </w:r>
          </w:p>
        </w:tc>
      </w:tr>
      <w:tr>
        <w:tc>
          <w:tcPr>
            <w:tcW w:type="dxa" w:w="3685"/>
          </w:tcPr>
          <w:p>
            <w:r>
              <w:rPr>
                <w:rFonts w:ascii="Times New Roman" w:hAnsi="Times New Roman"/>
                <w:b w:val="0"/>
                <w:i w:val="0"/>
                <w:sz w:val="22"/>
              </w:rPr>
              <w:t>Rodadas</w:t>
            </w:r>
          </w:p>
        </w:tc>
        <w:tc>
          <w:tcPr>
            <w:tcW w:type="dxa" w:w="4819"/>
          </w:tcPr>
          <w:p>
            <w:r>
              <w:rPr>
                <w:rFonts w:ascii="Times New Roman" w:hAnsi="Times New Roman"/>
                <w:b w:val="0"/>
                <w:i w:val="0"/>
                <w:sz w:val="22"/>
              </w:rPr>
              <w:t>4 na primeira; 4 na segunda</w:t>
            </w:r>
          </w:p>
        </w:tc>
      </w:tr>
      <w:tr>
        <w:tc>
          <w:tcPr>
            <w:tcW w:type="dxa" w:w="3685"/>
          </w:tcPr>
          <w:p>
            <w:r>
              <w:rPr>
                <w:rFonts w:ascii="Times New Roman" w:hAnsi="Times New Roman"/>
                <w:b w:val="0"/>
                <w:i w:val="0"/>
                <w:sz w:val="22"/>
              </w:rPr>
              <w:t>Papel</w:t>
            </w:r>
          </w:p>
        </w:tc>
        <w:tc>
          <w:tcPr>
            <w:tcW w:type="dxa" w:w="4819"/>
          </w:tcPr>
          <w:p>
            <w:r>
              <w:rPr>
                <w:rFonts w:ascii="Times New Roman" w:hAnsi="Times New Roman"/>
                <w:b w:val="0"/>
                <w:i w:val="0"/>
                <w:sz w:val="22"/>
              </w:rPr>
              <w:t>7 consultores; 1 gestor</w:t>
            </w:r>
          </w:p>
        </w:tc>
      </w:tr>
      <w:tr>
        <w:tc>
          <w:tcPr>
            <w:tcW w:type="dxa" w:w="3685"/>
          </w:tcPr>
          <w:p>
            <w:r>
              <w:rPr>
                <w:rFonts w:ascii="Times New Roman" w:hAnsi="Times New Roman"/>
                <w:b w:val="0"/>
                <w:i w:val="0"/>
                <w:sz w:val="22"/>
              </w:rPr>
              <w:t>Ferramenta de projetos usada hoje</w:t>
            </w:r>
          </w:p>
        </w:tc>
        <w:tc>
          <w:tcPr>
            <w:tcW w:type="dxa" w:w="4819"/>
          </w:tcPr>
          <w:p>
            <w:r>
              <w:rPr>
                <w:rFonts w:ascii="Times New Roman" w:hAnsi="Times New Roman"/>
                <w:b w:val="0"/>
                <w:i w:val="0"/>
                <w:sz w:val="22"/>
              </w:rPr>
              <w:t>4 Trello; 3 planilhas; 1 outra</w:t>
            </w:r>
          </w:p>
        </w:tc>
      </w:tr>
      <w:tr>
        <w:tc>
          <w:tcPr>
            <w:tcW w:type="dxa" w:w="3685"/>
          </w:tcPr>
          <w:p>
            <w:r>
              <w:rPr>
                <w:rFonts w:ascii="Times New Roman" w:hAnsi="Times New Roman"/>
                <w:b w:val="0"/>
                <w:i w:val="0"/>
                <w:sz w:val="22"/>
              </w:rPr>
              <w:t>Familiaridade com gestão de projetos</w:t>
            </w:r>
          </w:p>
        </w:tc>
        <w:tc>
          <w:tcPr>
            <w:tcW w:type="dxa" w:w="4819"/>
          </w:tcPr>
          <w:p>
            <w:r>
              <w:rPr>
                <w:rFonts w:ascii="Times New Roman" w:hAnsi="Times New Roman"/>
                <w:b w:val="0"/>
                <w:i w:val="0"/>
                <w:sz w:val="22"/>
              </w:rPr>
              <w:t>2 alto; 5 médio; 1 baixo</w:t>
            </w:r>
          </w:p>
        </w:tc>
      </w:tr>
    </w:tbl>
    <w:p>
      <w:pPr>
        <w:spacing w:before="240" w:after="120"/>
        <w:jc w:val="left"/>
      </w:pPr>
      <w:r>
        <w:rPr>
          <w:rFonts w:ascii="Times New Roman" w:hAnsi="Times New Roman"/>
          <w:b/>
          <w:i w:val="0"/>
          <w:sz w:val="26"/>
        </w:rPr>
        <w:t>4. Implementação</w:t>
      </w:r>
    </w:p>
    <w:p>
      <w:pPr>
        <w:spacing w:before="120" w:after="60"/>
        <w:jc w:val="left"/>
      </w:pPr>
      <w:r>
        <w:rPr>
          <w:rFonts w:ascii="Times New Roman" w:hAnsi="Times New Roman"/>
          <w:b/>
          <w:i w:val="0"/>
          <w:sz w:val="24"/>
        </w:rPr>
        <w:t>4.1. Requisitos e rastreabilidade ao MPO</w:t>
      </w:r>
    </w:p>
    <w:p>
      <w:pPr>
        <w:spacing w:before="120"/>
        <w:jc w:val="both"/>
      </w:pPr>
      <w:r>
        <w:rPr>
          <w:rFonts w:ascii="Times New Roman" w:hAnsi="Times New Roman"/>
          <w:b w:val="0"/>
          <w:i w:val="0"/>
          <w:sz w:val="24"/>
        </w:rPr>
        <w:t>O ObiOne foi desenvolvido para uma consultoria de marketing, que atua como organização executora e curadora, e seus clientes, que acessam cada um o próprio projeto. A elicitação e a especificação seguiram práticas usuais de engenharia de requisitos (Sommerville, 2016), e cada requisito funcional foi ancorado a uma característica ou processo do MPO, de modo que o artefato implementasse o modelo, e não apenas se inspirasse nele. A Tabela 2 apresenta uma amostra; a rastreabilidade completa está no Apêndice A.</w:t>
      </w:r>
    </w:p>
    <w:p>
      <w:pPr>
        <w:spacing w:before="120" w:after="120"/>
        <w:jc w:val="center"/>
      </w:pPr>
      <w:r>
        <w:rPr>
          <w:rFonts w:ascii="Helvetica" w:hAnsi="Helvetica"/>
          <w:b/>
          <w:i w:val="0"/>
          <w:sz w:val="20"/>
        </w:rPr>
        <w:t>Tabela 2.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de observação previstos pelo MPO, distribuídos em oito dimensões. Trata-se de cobertura arquitetural: o sistema provê os campos e os fluxos correspondentes. A avaliação empírica da qualidade da extração é uma frente prevista no protocolo, ainda não executada (Seção 5.4).</w:t>
      </w:r>
    </w:p>
    <w:p>
      <w:pPr>
        <w:spacing w:before="120" w:after="60"/>
        <w:jc w:val="left"/>
      </w:pPr>
      <w:r>
        <w:rPr>
          <w:rFonts w:ascii="Times New Roman" w:hAnsi="Times New Roman"/>
          <w:b/>
          <w:i w:val="0"/>
          <w:sz w:val="24"/>
        </w:rPr>
        <w:t>4.2. Arquitetura</w:t>
      </w:r>
    </w:p>
    <w:p>
      <w:pPr>
        <w:spacing w:before="120"/>
        <w:jc w:val="both"/>
      </w:pPr>
      <w:r>
        <w:rPr>
          <w:rFonts w:ascii="Times New Roman" w:hAnsi="Times New Roman"/>
          <w:b w:val="0"/>
          <w:i w:val="0"/>
          <w:sz w:val="24"/>
        </w:rPr>
        <w:t>O ObiOne é uma aplicação web dividida em backend e frontend. O backend usa Java 21 e Spring Boot, com os módulos web, data-jpa, security e validation, e segue uma organização por contexto de domínio em camadas: controladores REST finos, serviços com a lógica de negócio, repositórios Spring Data, entidades JPA e objetos de transferência de dados com mapeadores dedicados. A persistência de desenvolvimento usa um banco H2 em arquivo, com PostgreSQL previsto para produção. O frontend usa React com TanStack Start e roteamento baseado em arquivos, construído com Vite; o estado de servidor é gerido por react-query e os formulários por react-hook-form com validação por esquema. A API responde sob o caminho base barra-api, e a aplicação adota um padrão de origem única: o servidor de desenvolvimento serve a interface e encaminha as chamadas de API ao backend, o que simplifica o acesso remoto para as sessões de validação.</w:t>
      </w:r>
    </w:p>
    <w:p>
      <w:pPr>
        <w:spacing w:before="120" w:after="60"/>
        <w:jc w:val="left"/>
      </w:pPr>
      <w:r>
        <w:rPr>
          <w:rFonts w:ascii="Times New Roman" w:hAnsi="Times New Roman"/>
          <w:b/>
          <w:i w:val="0"/>
          <w:sz w:val="24"/>
        </w:rPr>
        <w:t>4.3. Camada de IA</w:t>
      </w:r>
    </w:p>
    <w:p>
      <w:pPr>
        <w:spacing w:before="120"/>
        <w:jc w:val="both"/>
      </w:pPr>
      <w:r>
        <w:rPr>
          <w:rFonts w:ascii="Times New Roman" w:hAnsi="Times New Roman"/>
          <w:b w:val="0"/>
          <w:i w:val="0"/>
          <w:sz w:val="24"/>
        </w:rPr>
        <w:t>A camada de IA é o principal diferencial do ObiOne e atua de forma assistiva sobre o ciclo de observação, conversa e aprendizado. Está organizada em cinco papéis; em todos, a saída é uma sugestão, nunca uma ação publicada automaticamente. A Tabela 3 resume os papéis, com suas entradas e saídas.</w:t>
      </w:r>
    </w:p>
    <w:p>
      <w:pPr>
        <w:spacing w:before="120" w:after="120"/>
        <w:jc w:val="center"/>
      </w:pPr>
      <w:r>
        <w:rPr>
          <w:rFonts w:ascii="Helvetica" w:hAnsi="Helvetica"/>
          <w:b/>
          <w:i w:val="0"/>
          <w:sz w:val="20"/>
        </w:rPr>
        <w:t>Tabela 3. Papéis da camada de IA, com entradas e saídas.</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1701"/>
          </w:tcPr>
          <w:p>
            <w:r>
              <w:rPr>
                <w:rFonts w:ascii="Times New Roman" w:hAnsi="Times New Roman"/>
                <w:b/>
                <w:i w:val="0"/>
                <w:sz w:val="22"/>
              </w:rPr>
              <w:t>Papel</w:t>
            </w:r>
          </w:p>
        </w:tc>
        <w:tc>
          <w:tcPr>
            <w:tcW w:type="dxa" w:w="2551"/>
          </w:tcPr>
          <w:p>
            <w:r>
              <w:rPr>
                <w:rFonts w:ascii="Times New Roman" w:hAnsi="Times New Roman"/>
                <w:b/>
                <w:i w:val="0"/>
                <w:sz w:val="22"/>
              </w:rPr>
              <w:t>Função</w:t>
            </w:r>
          </w:p>
        </w:tc>
        <w:tc>
          <w:tcPr>
            <w:tcW w:type="dxa" w:w="2126"/>
          </w:tcPr>
          <w:p>
            <w:r>
              <w:rPr>
                <w:rFonts w:ascii="Times New Roman" w:hAnsi="Times New Roman"/>
                <w:b/>
                <w:i w:val="0"/>
                <w:sz w:val="22"/>
              </w:rPr>
              <w:t>Entrada</w:t>
            </w:r>
          </w:p>
        </w:tc>
        <w:tc>
          <w:tcPr>
            <w:tcW w:type="dxa" w:w="2126"/>
          </w:tcPr>
          <w:p>
            <w:r>
              <w:rPr>
                <w:rFonts w:ascii="Times New Roman" w:hAnsi="Times New Roman"/>
                <w:b/>
                <w:i w:val="0"/>
                <w:sz w:val="22"/>
              </w:rPr>
              <w:t>Saída</w:t>
            </w:r>
          </w:p>
        </w:tc>
      </w:tr>
      <w:tr>
        <w:tc>
          <w:tcPr>
            <w:tcW w:type="dxa" w:w="1701"/>
          </w:tcPr>
          <w:p>
            <w:r>
              <w:rPr>
                <w:rFonts w:ascii="Times New Roman" w:hAnsi="Times New Roman"/>
                <w:b w:val="0"/>
                <w:i w:val="0"/>
                <w:sz w:val="22"/>
              </w:rPr>
              <w:t>Categorizadora</w:t>
            </w:r>
          </w:p>
        </w:tc>
        <w:tc>
          <w:tcPr>
            <w:tcW w:type="dxa" w:w="2551"/>
          </w:tcPr>
          <w:p>
            <w:r>
              <w:rPr>
                <w:rFonts w:ascii="Times New Roman" w:hAnsi="Times New Roman"/>
                <w:b w:val="0"/>
                <w:i w:val="0"/>
                <w:sz w:val="22"/>
              </w:rPr>
              <w:t>Sugere o domínio do projeto</w:t>
            </w:r>
          </w:p>
        </w:tc>
        <w:tc>
          <w:tcPr>
            <w:tcW w:type="dxa" w:w="2126"/>
          </w:tcPr>
          <w:p>
            <w:r>
              <w:rPr>
                <w:rFonts w:ascii="Times New Roman" w:hAnsi="Times New Roman"/>
                <w:b w:val="0"/>
                <w:i w:val="0"/>
                <w:sz w:val="22"/>
              </w:rPr>
              <w:t>resumo, objetivo, domínios disponíveis</w:t>
            </w:r>
          </w:p>
        </w:tc>
        <w:tc>
          <w:tcPr>
            <w:tcW w:type="dxa" w:w="2126"/>
          </w:tcPr>
          <w:p>
            <w:r>
              <w:rPr>
                <w:rFonts w:ascii="Times New Roman" w:hAnsi="Times New Roman"/>
                <w:b w:val="0"/>
                <w:i w:val="0"/>
                <w:sz w:val="22"/>
              </w:rPr>
              <w:t>domínio sugerido e confiança</w:t>
            </w:r>
          </w:p>
        </w:tc>
      </w:tr>
      <w:tr>
        <w:tc>
          <w:tcPr>
            <w:tcW w:type="dxa" w:w="1701"/>
          </w:tcPr>
          <w:p>
            <w:r>
              <w:rPr>
                <w:rFonts w:ascii="Times New Roman" w:hAnsi="Times New Roman"/>
                <w:b w:val="0"/>
                <w:i w:val="0"/>
                <w:sz w:val="22"/>
              </w:rPr>
              <w:t>Observadora</w:t>
            </w:r>
          </w:p>
        </w:tc>
        <w:tc>
          <w:tcPr>
            <w:tcW w:type="dxa" w:w="2551"/>
          </w:tcPr>
          <w:p>
            <w:r>
              <w:rPr>
                <w:rFonts w:ascii="Times New Roman" w:hAnsi="Times New Roman"/>
                <w:b w:val="0"/>
                <w:i w:val="0"/>
                <w:sz w:val="22"/>
              </w:rPr>
              <w:t>Sugere observações ancoradas no MPO (implementada; não exposta na interface atual)</w:t>
            </w:r>
          </w:p>
        </w:tc>
        <w:tc>
          <w:tcPr>
            <w:tcW w:type="dxa" w:w="2126"/>
          </w:tcPr>
          <w:p>
            <w:r>
              <w:rPr>
                <w:rFonts w:ascii="Times New Roman" w:hAnsi="Times New Roman"/>
                <w:b w:val="0"/>
                <w:i w:val="0"/>
                <w:sz w:val="22"/>
              </w:rPr>
              <w:t>resumo, objetivo, lente MPO, atributos prioritários</w:t>
            </w:r>
          </w:p>
        </w:tc>
        <w:tc>
          <w:tcPr>
            <w:tcW w:type="dxa" w:w="2126"/>
          </w:tcPr>
          <w:p>
            <w:r>
              <w:rPr>
                <w:rFonts w:ascii="Times New Roman" w:hAnsi="Times New Roman"/>
                <w:b w:val="0"/>
                <w:i w:val="0"/>
                <w:sz w:val="22"/>
              </w:rPr>
              <w:t>observações mapeadas a atributos, com impacto e trecho literal</w:t>
            </w:r>
          </w:p>
        </w:tc>
      </w:tr>
      <w:tr>
        <w:tc>
          <w:tcPr>
            <w:tcW w:type="dxa" w:w="1701"/>
          </w:tcPr>
          <w:p>
            <w:r>
              <w:rPr>
                <w:rFonts w:ascii="Times New Roman" w:hAnsi="Times New Roman"/>
                <w:b w:val="0"/>
                <w:i w:val="0"/>
                <w:sz w:val="22"/>
              </w:rPr>
              <w:t>Sintetizadora</w:t>
            </w:r>
          </w:p>
        </w:tc>
        <w:tc>
          <w:tcPr>
            <w:tcW w:type="dxa" w:w="2551"/>
          </w:tcPr>
          <w:p>
            <w:r>
              <w:rPr>
                <w:rFonts w:ascii="Times New Roman" w:hAnsi="Times New Roman"/>
                <w:b w:val="0"/>
                <w:i w:val="0"/>
                <w:sz w:val="22"/>
              </w:rPr>
              <w:t>Rascunha um aprendizado a partir da conversa</w:t>
            </w:r>
          </w:p>
        </w:tc>
        <w:tc>
          <w:tcPr>
            <w:tcW w:type="dxa" w:w="2126"/>
          </w:tcPr>
          <w:p>
            <w:r>
              <w:rPr>
                <w:rFonts w:ascii="Times New Roman" w:hAnsi="Times New Roman"/>
                <w:b w:val="0"/>
                <w:i w:val="0"/>
                <w:sz w:val="22"/>
              </w:rPr>
              <w:t>título, pergunta, contribuições</w:t>
            </w:r>
          </w:p>
        </w:tc>
        <w:tc>
          <w:tcPr>
            <w:tcW w:type="dxa" w:w="2126"/>
          </w:tcPr>
          <w:p>
            <w:r>
              <w:rPr>
                <w:rFonts w:ascii="Times New Roman" w:hAnsi="Times New Roman"/>
                <w:b w:val="0"/>
                <w:i w:val="0"/>
                <w:sz w:val="22"/>
              </w:rPr>
              <w:t>rascunho com resumo, evidência e recomendação</w:t>
            </w:r>
          </w:p>
        </w:tc>
      </w:tr>
      <w:tr>
        <w:tc>
          <w:tcPr>
            <w:tcW w:type="dxa" w:w="1701"/>
          </w:tcPr>
          <w:p>
            <w:r>
              <w:rPr>
                <w:rFonts w:ascii="Times New Roman" w:hAnsi="Times New Roman"/>
                <w:b w:val="0"/>
                <w:i w:val="0"/>
                <w:sz w:val="22"/>
              </w:rPr>
              <w:t>Conectora</w:t>
            </w:r>
          </w:p>
        </w:tc>
        <w:tc>
          <w:tcPr>
            <w:tcW w:type="dxa" w:w="2551"/>
          </w:tcPr>
          <w:p>
            <w:r>
              <w:rPr>
                <w:rFonts w:ascii="Times New Roman" w:hAnsi="Times New Roman"/>
                <w:b w:val="0"/>
                <w:i w:val="0"/>
                <w:sz w:val="22"/>
              </w:rPr>
              <w:t>Sintetiza padrões entre projetos do domínio (implementada; não avaliada)</w:t>
            </w:r>
          </w:p>
        </w:tc>
        <w:tc>
          <w:tcPr>
            <w:tcW w:type="dxa" w:w="2126"/>
          </w:tcPr>
          <w:p>
            <w:r>
              <w:rPr>
                <w:rFonts w:ascii="Times New Roman" w:hAnsi="Times New Roman"/>
                <w:b w:val="0"/>
                <w:i w:val="0"/>
                <w:sz w:val="22"/>
              </w:rPr>
              <w:t>resumos dos projetos do domínio</w:t>
            </w:r>
          </w:p>
        </w:tc>
        <w:tc>
          <w:tcPr>
            <w:tcW w:type="dxa" w:w="2126"/>
          </w:tcPr>
          <w:p>
            <w:r>
              <w:rPr>
                <w:rFonts w:ascii="Times New Roman" w:hAnsi="Times New Roman"/>
                <w:b w:val="0"/>
                <w:i w:val="0"/>
                <w:sz w:val="22"/>
              </w:rPr>
              <w:t>padrões e lições anonimizados</w:t>
            </w:r>
          </w:p>
        </w:tc>
      </w:tr>
      <w:tr>
        <w:tc>
          <w:tcPr>
            <w:tcW w:type="dxa" w:w="1701"/>
          </w:tcPr>
          <w:p>
            <w:r>
              <w:rPr>
                <w:rFonts w:ascii="Times New Roman" w:hAnsi="Times New Roman"/>
                <w:b w:val="0"/>
                <w:i w:val="0"/>
                <w:sz w:val="22"/>
              </w:rPr>
              <w:t>Configuradora</w:t>
            </w:r>
          </w:p>
        </w:tc>
        <w:tc>
          <w:tcPr>
            <w:tcW w:type="dxa" w:w="2551"/>
          </w:tcPr>
          <w:p>
            <w:r>
              <w:rPr>
                <w:rFonts w:ascii="Times New Roman" w:hAnsi="Times New Roman"/>
                <w:b w:val="0"/>
                <w:i w:val="0"/>
                <w:sz w:val="22"/>
              </w:rPr>
              <w:t>Sugere o setup inicial no cadastro</w:t>
            </w:r>
          </w:p>
        </w:tc>
        <w:tc>
          <w:tcPr>
            <w:tcW w:type="dxa" w:w="2126"/>
          </w:tcPr>
          <w:p>
            <w:r>
              <w:rPr>
                <w:rFonts w:ascii="Times New Roman" w:hAnsi="Times New Roman"/>
                <w:b w:val="0"/>
                <w:i w:val="0"/>
                <w:sz w:val="22"/>
              </w:rPr>
              <w:t>nome, descrição, objetivo</w:t>
            </w:r>
          </w:p>
        </w:tc>
        <w:tc>
          <w:tcPr>
            <w:tcW w:type="dxa" w:w="2126"/>
          </w:tcPr>
          <w:p>
            <w:r>
              <w:rPr>
                <w:rFonts w:ascii="Times New Roman" w:hAnsi="Times New Roman"/>
                <w:b w:val="0"/>
                <w:i w:val="0"/>
                <w:sz w:val="22"/>
              </w:rPr>
              <w:t>domínio e atributos a acompanhar</w:t>
            </w:r>
          </w:p>
        </w:tc>
      </w:tr>
    </w:tbl>
    <w:p>
      <w:pPr>
        <w:spacing w:before="120"/>
        <w:jc w:val="both"/>
      </w:pPr>
      <w:r>
        <w:rPr>
          <w:rFonts w:ascii="Times New Roman" w:hAnsi="Times New Roman"/>
          <w:b w:val="0"/>
          <w:i w:val="0"/>
          <w:sz w:val="24"/>
        </w:rPr>
        <w:t>O processamento de um projeto segue um fluxo comum. A partir do texto do projeto, o serviço assistente reúne o contexto e o analisa à luz dos atributos de observação do MPO; aciona a IA, que devolve uma sugestão estruturada; registra essa sugestão de forma auditável, com sua proveniência; e a devolve ao consultor para revisão. A Figura 1 ilustra esse fluxo.</w:t>
      </w:r>
    </w:p>
    <w:tbl>
      <w:tblPr>
        <w:tblStyle w:val="TableGrid"/>
        <w:tblW w:type="auto" w:w="0"/>
        <w:tblLayout w:type="fixed"/>
        <w:tblLook w:firstColumn="1" w:firstRow="1" w:lastColumn="0" w:lastRow="0" w:noHBand="0" w:noVBand="1" w:val="04A0"/>
      </w:tblPr>
      <w:tblGrid>
        <w:gridCol w:w="8504"/>
      </w:tblGrid>
      <w:tr>
        <w:tc>
          <w:tcPr>
            <w:tcW w:type="dxa" w:w="8504"/>
          </w:tcPr>
          <w:p>
            <w:pPr>
              <w:jc w:val="center"/>
            </w:pPr>
            <w:r>
              <w:rPr>
                <w:rFonts w:ascii="Times New Roman" w:hAnsi="Times New Roman"/>
                <w:b w:val="0"/>
                <w:i w:val="0"/>
                <w:sz w:val="22"/>
              </w:rPr>
              <w:t>Descrição do projeto  →  Análise pela IA à luz do MPO  →  Sugestão estruturada e auditável  →  Revisão do consultor  →  Observação ou aprendizado publicado</w:t>
            </w:r>
          </w:p>
        </w:tc>
      </w:tr>
    </w:tbl>
    <w:p>
      <w:pPr>
        <w:spacing w:before="120" w:after="120"/>
        <w:jc w:val="center"/>
      </w:pPr>
      <w:r>
        <w:rPr>
          <w:rFonts w:ascii="Helvetica" w:hAnsi="Helvetica"/>
          <w:b/>
          <w:i w:val="0"/>
          <w:sz w:val="20"/>
        </w:rPr>
        <w:t>Figura 1. Pipeline da camada de IA.</w:t>
      </w:r>
    </w:p>
    <w:p>
      <w:pPr>
        <w:spacing w:before="120"/>
        <w:jc w:val="both"/>
      </w:pPr>
      <w:r>
        <w:rPr>
          <w:rFonts w:ascii="Times New Roman" w:hAnsi="Times New Roman"/>
          <w:b w:val="0"/>
          <w:i w:val="0"/>
          <w:sz w:val="24"/>
        </w:rPr>
        <w:t>Três técnicas sustentam a confiabilidade das sugestões. A primeira é a saída estruturada: o modelo é obrigado a responder no formato de um objeto de dados, que o sistema mapeia diretamente, sem interpretação livre do texto. A segunda é o grounding pela lente do MPO, reforçado por instruções que orientam o modelo a não inventar atributos fora da lista fornecida e a citar o trecho literal do resumo que motivou cada observação. A terceira é uma validação determinística em código: na configuração inicial de um projeto, identificadores de atributo ou de domínio inexistentes no catálogo são descartados antes de a resposta ser devolvida; nos demais papéis, essa restrição é reforçada pelas instruções do prompt. O modelo usado é o gpt-4o-mini, com temperatura baixa para favorecer respostas conservadoras e reproduzíveis.</w:t>
      </w:r>
    </w:p>
    <w:p>
      <w:pPr>
        <w:spacing w:before="120"/>
        <w:jc w:val="both"/>
      </w:pPr>
      <w:r>
        <w:rPr>
          <w:rFonts w:ascii="Times New Roman" w:hAnsi="Times New Roman"/>
          <w:b w:val="0"/>
          <w:i w:val="0"/>
          <w:sz w:val="24"/>
        </w:rPr>
        <w:t>A IA nunca escreve diretamente nas observações ou nos aprendizados. Ela apenas sugere e registra cada sugestão em um log de auditoria, com o provedor, o modelo, o instante e a indicação de aceite, o que dá reprodutibilidade ao uso da IA. A persistência só ocorre quando o consultor aceita a sugestão, e a observação é então gravada com a origem marcada como assistida pela IA. A taxa de aceite por tipo de sugestão é observável no sistema, permitindo acompanhar o quanto as sugestões são de fato aproveitadas.</w:t>
      </w:r>
    </w:p>
    <w:p>
      <w:pPr>
        <w:spacing w:before="120" w:after="60"/>
        <w:jc w:val="left"/>
      </w:pPr>
      <w:r>
        <w:rPr>
          <w:rFonts w:ascii="Times New Roman" w:hAnsi="Times New Roman"/>
          <w:b/>
          <w:i w:val="0"/>
          <w:sz w:val="24"/>
        </w:rPr>
        <w:t>4.4. Prototipação</w:t>
      </w:r>
    </w:p>
    <w:p>
      <w:pPr>
        <w:spacing w:before="120"/>
        <w:jc w:val="both"/>
      </w:pPr>
      <w:r>
        <w:rPr>
          <w:rFonts w:ascii="Times New Roman" w:hAnsi="Times New Roman"/>
          <w:b w:val="0"/>
          <w:i w:val="0"/>
          <w:sz w:val="24"/>
        </w:rPr>
        <w:t>Antes do desenvolvimento final, as telas foram prototipadas com apoio de ferramentas de geração assistida por IA no ecossistema React, incluindo o Lovable, que produziu o scaffold inicial da interface e da sua configuração de build. A prototipação rápida corresponde à atividade de design e desenvolvimento da Design Science Research e serviu de insumo concreto para as validações com os orientadores, encurtando o ciclo entre uma ideia de tela e uma versão navegável.</w:t>
      </w:r>
    </w:p>
    <w:p>
      <w:pPr>
        <w:spacing w:before="120" w:after="60"/>
        <w:jc w:val="left"/>
      </w:pPr>
      <w:r>
        <w:rPr>
          <w:rFonts w:ascii="Times New Roman" w:hAnsi="Times New Roman"/>
          <w:b/>
          <w:i w:val="0"/>
          <w:sz w:val="24"/>
        </w:rPr>
        <w:t>4.5. Governança por papel</w:t>
      </w:r>
    </w:p>
    <w:p>
      <w:pPr>
        <w:spacing w:before="120"/>
        <w:jc w:val="both"/>
      </w:pPr>
      <w:r>
        <w:rPr>
          <w:rFonts w:ascii="Times New Roman" w:hAnsi="Times New Roman"/>
          <w:b w:val="0"/>
          <w:i w:val="0"/>
          <w:sz w:val="24"/>
        </w:rPr>
        <w:t>O acesso ao observatório é governado pelo papel do usuário. As leituras exigem autenticação e as mutações são restritas aos papéis de consultor e administrador: o consultor conduz a curadoria do portfólio e o administrador acumula as permissões de gestão, enquanto o cliente participa das conversas, mas não cria nem edita observações, projetos ou aprendizados. O isolamento por cliente previsto no acesso semi-aberto do MPO, em que cada cliente enxergaria apenas o seu próprio projeto, ainda não foi implementado nesta versão: hoje qualquer usuário autenticado lê o portfólio, e a governança por papel incide sobre as mutações. Consolidar esse isolamento é um passo necessário antes de abrir o observatório a clientes reais. As telas de cada perfil estão no Apêndice C.</w:t>
      </w:r>
    </w:p>
    <w:p>
      <w:pPr>
        <w:spacing w:before="120" w:after="60"/>
        <w:jc w:val="left"/>
      </w:pPr>
      <w:r>
        <w:rPr>
          <w:rFonts w:ascii="Times New Roman" w:hAnsi="Times New Roman"/>
          <w:b/>
          <w:i w:val="0"/>
          <w:sz w:val="24"/>
        </w:rPr>
        <w:t>4.6. Jornada do usuário e construção do MVP</w:t>
      </w:r>
    </w:p>
    <w:p>
      <w:pPr>
        <w:spacing w:before="120"/>
        <w:jc w:val="both"/>
      </w:pPr>
      <w:r>
        <w:rPr>
          <w:rFonts w:ascii="Times New Roman" w:hAnsi="Times New Roman"/>
          <w:b w:val="0"/>
          <w:i w:val="0"/>
          <w:sz w:val="24"/>
        </w:rPr>
        <w:t>A jornada central percorre quatro momentos: o cadastro de um projeto assistido por um wizard com apoio de IA, o registro de observações ancoradas no MPO, a conversa da comunidade sobre essas observações e a consolidação de aprendizados reaproveitáveis. Um feed reflete a atividade recente e a cobertura de cada projeto frente ao MPO é consultável. O MVP foi construído em torno desse fluxo e entregou o cadastro com extração assistida, a organização da comunidade por domínio, o detalhe do projeto com os atributos do MPO, a consolidação de aprendizados com apoio da Sintetizadora, o feed de novidades e, após a primeira rodada de validação, um onboarding de primeiro acesso que apresenta o objetivo do sistema e o ciclo de conhecimento.</w:t>
      </w:r>
    </w:p>
    <w:p>
      <w:pPr>
        <w:spacing w:before="240" w:after="120"/>
        <w:jc w:val="left"/>
      </w:pPr>
      <w:r>
        <w:rPr>
          <w:rFonts w:ascii="Times New Roman" w:hAnsi="Times New Roman"/>
          <w:b/>
          <w:i w:val="0"/>
          <w:sz w:val="26"/>
        </w:rPr>
        <w:t>5. Resultados</w:t>
      </w:r>
    </w:p>
    <w:p>
      <w:pPr>
        <w:spacing w:before="120" w:after="60"/>
        <w:jc w:val="left"/>
      </w:pPr>
      <w:r>
        <w:rPr>
          <w:rFonts w:ascii="Times New Roman" w:hAnsi="Times New Roman"/>
          <w:b/>
          <w:i w:val="0"/>
          <w:sz w:val="24"/>
        </w:rPr>
        <w:t>5.1. Viabilidade técnica</w:t>
      </w:r>
    </w:p>
    <w:p>
      <w:pPr>
        <w:spacing w:before="120"/>
        <w:jc w:val="both"/>
      </w:pPr>
      <w:r>
        <w:rPr>
          <w:rFonts w:ascii="Times New Roman" w:hAnsi="Times New Roman"/>
          <w:b w:val="0"/>
          <w:i w:val="0"/>
          <w:sz w:val="24"/>
        </w:rPr>
        <w:t>Em junho de 2026, o ciclo foi exercitado de ponta a ponta com a IA da OpenAI e dados de projetos reais da consultoria. As quatro frentes assistivas operaram de forma integrada: cadastro, sugestão de observações priorizadas pelos riscos declarados, aceite pelo consultor, alimentação da cobertura, conversa com participação do cliente e atualização do feed.</w:t>
      </w:r>
    </w:p>
    <w:p>
      <w:pPr>
        <w:spacing w:before="120" w:after="60"/>
        <w:jc w:val="left"/>
      </w:pPr>
      <w:r>
        <w:rPr>
          <w:rFonts w:ascii="Times New Roman" w:hAnsi="Times New Roman"/>
          <w:b/>
          <w:i w:val="0"/>
          <w:sz w:val="24"/>
        </w:rPr>
        <w:t>5.2. Percepção de valor</w:t>
      </w:r>
    </w:p>
    <w:p>
      <w:pPr>
        <w:spacing w:before="120"/>
        <w:jc w:val="both"/>
      </w:pPr>
      <w:r>
        <w:rPr>
          <w:rFonts w:ascii="Times New Roman" w:hAnsi="Times New Roman"/>
          <w:b w:val="0"/>
          <w:i w:val="0"/>
          <w:sz w:val="24"/>
        </w:rPr>
        <w:t>A percepção de valor foi medida em duas rodadas de piloto com quatro consultores cada, aplicando o mesmo instrumento de doze afirmações Likert e três perguntas abertas. A primeira rodada ocorreu após um walkthrough curto; a segunda, após a inclusão de um onboarding de primeiro acesso e outros ajustes, com um público mais diverso (incluindo um gestor e mais usuários de planilhas). A primeira rodada obteve média 4,48 de 5, com 44 de 48 respostas nas notas 4 ou 5 e 29 máximas. A segunda foi mais crítica: média 4,1, com 36 de 48 respostas positivas e 19 máximas. No acumulado dos oito participantes, a média foi 4,3 de 5, com 80 de 96 respostas positivas. A Tabela 4 apresenta o comparativo por dimensão entre as duas rodadas.</w:t>
      </w:r>
    </w:p>
    <w:p>
      <w:pPr>
        <w:spacing w:before="120" w:after="120"/>
        <w:jc w:val="center"/>
      </w:pPr>
      <w:r>
        <w:rPr>
          <w:rFonts w:ascii="Helvetica" w:hAnsi="Helvetica"/>
          <w:b/>
          <w:i w:val="0"/>
          <w:sz w:val="20"/>
        </w:rPr>
        <w:t>Tabela 4. Médias por dimensão nas duas rodadas (escala 1 a 5, N=4 por rodada).</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3402"/>
          </w:tcPr>
          <w:p>
            <w:r>
              <w:rPr>
                <w:rFonts w:ascii="Times New Roman" w:hAnsi="Times New Roman"/>
                <w:b/>
                <w:i w:val="0"/>
                <w:sz w:val="22"/>
              </w:rPr>
              <w:t>Dimensão</w:t>
            </w:r>
          </w:p>
        </w:tc>
        <w:tc>
          <w:tcPr>
            <w:tcW w:type="dxa" w:w="1701"/>
          </w:tcPr>
          <w:p>
            <w:r>
              <w:rPr>
                <w:rFonts w:ascii="Times New Roman" w:hAnsi="Times New Roman"/>
                <w:b/>
                <w:i w:val="0"/>
                <w:sz w:val="22"/>
              </w:rPr>
              <w:t>1ª rodada</w:t>
            </w:r>
          </w:p>
        </w:tc>
        <w:tc>
          <w:tcPr>
            <w:tcW w:type="dxa" w:w="1701"/>
          </w:tcPr>
          <w:p>
            <w:r>
              <w:rPr>
                <w:rFonts w:ascii="Times New Roman" w:hAnsi="Times New Roman"/>
                <w:b/>
                <w:i w:val="0"/>
                <w:sz w:val="22"/>
              </w:rPr>
              <w:t>2ª rodada</w:t>
            </w:r>
          </w:p>
        </w:tc>
        <w:tc>
          <w:tcPr>
            <w:tcW w:type="dxa" w:w="1701"/>
          </w:tcPr>
          <w:p>
            <w:r>
              <w:rPr>
                <w:rFonts w:ascii="Times New Roman" w:hAnsi="Times New Roman"/>
                <w:b/>
                <w:i w:val="0"/>
                <w:sz w:val="22"/>
              </w:rPr>
              <w:t>Δ</w:t>
            </w:r>
          </w:p>
        </w:tc>
      </w:tr>
      <w:tr>
        <w:tc>
          <w:tcPr>
            <w:tcW w:type="dxa" w:w="3402"/>
          </w:tcPr>
          <w:p>
            <w:r>
              <w:rPr>
                <w:rFonts w:ascii="Times New Roman" w:hAnsi="Times New Roman"/>
                <w:b w:val="0"/>
                <w:i w:val="0"/>
                <w:sz w:val="22"/>
              </w:rPr>
              <w:t>Clareza</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Organização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Usabilidade</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Conteúdo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Diferenciação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Ciclo de conhecimento</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+0,2</w:t>
            </w:r>
          </w:p>
        </w:tc>
      </w:tr>
      <w:tr>
        <w:tc>
          <w:tcPr>
            <w:tcW w:type="dxa" w:w="3402"/>
          </w:tcPr>
          <w:p>
            <w:r>
              <w:rPr>
                <w:rFonts w:ascii="Times New Roman" w:hAnsi="Times New Roman"/>
                <w:b w:val="0"/>
                <w:i w:val="0"/>
                <w:sz w:val="22"/>
              </w:rPr>
              <w:t>Comunidade</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4,3</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Aprendizados</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IA assistiva</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Portfólio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Governança</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-1,2</w:t>
            </w:r>
          </w:p>
        </w:tc>
      </w:tr>
      <w:tr>
        <w:tc>
          <w:tcPr>
            <w:tcW w:type="dxa" w:w="3402"/>
          </w:tcPr>
          <w:p>
            <w:r>
              <w:rPr>
                <w:rFonts w:ascii="Times New Roman" w:hAnsi="Times New Roman"/>
                <w:b w:val="0"/>
                <w:i w:val="0"/>
                <w:sz w:val="22"/>
              </w:rPr>
              <w:t>Intenção de uso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-0,2</w:t>
            </w:r>
          </w:p>
        </w:tc>
      </w:tr>
    </w:tbl>
    <w:p>
      <w:pPr>
        <w:spacing w:before="120"/>
        <w:jc w:val="both"/>
      </w:pPr>
      <w:r>
        <w:rPr>
          <w:rFonts w:ascii="Times New Roman" w:hAnsi="Times New Roman"/>
          <w:b w:val="0"/>
          <w:i w:val="0"/>
          <w:sz w:val="24"/>
        </w:rPr>
        <w:t>A segunda rodada leu o produto de forma mais crítica em governança (-1,2), organização e aprendizados (-0,8 cada), comunidade, diferenciação e IA assistiva (-0,5 cada). Conteúdo, usabilidade, portfólio e, notadamente, a clareza permaneceram estáveis, e o ciclo de conhecimento evoluiu (+0,2). A queda é atribuída, em parte, a um público mais diverso e crítico e, em parte, à fricção inicial que persiste: isolar o efeito do onboarding exigiria um desenho controlado com os mesmos usuários antes e depois. Ainda assim, o valor central se manteve nas respostas abertas, em que a IA passou a aparecer como força (“aprendizado consolidado através da IA”) e o produto foi descrito como amigável e que integra tecnologia e educação. O feedback crítico, por sua vez, concentrou-se na experiência inicial: um participante relatou que “ficou um pouco confusa a explicação sobre algumas funcionalidades”, e os pedidos de melhoria convergiram para “navegação mais intuitiva, instruções mais claras e interface mais simples”.</w:t>
      </w:r>
    </w:p>
    <w:p>
      <w:pPr>
        <w:spacing w:before="120" w:after="60"/>
        <w:jc w:val="left"/>
      </w:pPr>
      <w:r>
        <w:rPr>
          <w:rFonts w:ascii="Times New Roman" w:hAnsi="Times New Roman"/>
          <w:b/>
          <w:i w:val="0"/>
          <w:sz w:val="24"/>
        </w:rPr>
        <w:t>5.3. Benefícios esperados</w:t>
      </w:r>
    </w:p>
    <w:p>
      <w:pPr>
        <w:spacing w:before="120"/>
        <w:jc w:val="both"/>
      </w:pPr>
      <w:r>
        <w:rPr>
          <w:rFonts w:ascii="Times New Roman" w:hAnsi="Times New Roman"/>
          <w:b w:val="0"/>
          <w:i w:val="0"/>
          <w:sz w:val="24"/>
        </w:rPr>
        <w:t>Os benefícios esperados com a solução incluem a redução do custo de manutenção do conhecimento entre projetos, o fortalecimento do relacionamento com os clientes por meio de maior engajamento e comunicação na comunidade, e o reaproveitamento de aprendizados já consolidados em novos projetos do mesmo domínio.</w:t>
      </w:r>
    </w:p>
    <w:p>
      <w:pPr>
        <w:spacing w:before="120" w:after="60"/>
        <w:jc w:val="left"/>
      </w:pPr>
      <w:r>
        <w:rPr>
          <w:rFonts w:ascii="Times New Roman" w:hAnsi="Times New Roman"/>
          <w:b/>
          <w:i w:val="0"/>
          <w:sz w:val="24"/>
        </w:rPr>
        <w:t>5.4. Limitações</w:t>
      </w:r>
    </w:p>
    <w:p>
      <w:pPr>
        <w:spacing w:before="120"/>
        <w:jc w:val="both"/>
      </w:pPr>
      <w:r>
        <w:rPr>
          <w:rFonts w:ascii="Times New Roman" w:hAnsi="Times New Roman"/>
          <w:b w:val="0"/>
          <w:i w:val="0"/>
          <w:sz w:val="24"/>
        </w:rPr>
        <w:t>As duas rodadas somam oito participantes de uma mesma consultoria, em ciclos distintos e com composição diferente; os resultados são reportados como casos, sem inferência estatística, e a comparação entre rodadas é exploratória. A clareza permaneceu como o principal ponto de atenção (3,8 nas duas rodadas): a inclusão de um onboarding de primeiro acesso não moveu esse indicador, o que sugere que a orientação inicial precisa ir além de um passo introdutório, na direção de uma navegação mais guiada. Como a segunda rodada usou participantes distintos, não é possível separar o efeito do onboarding da mudança de público. Por fim, a avaliação da qualidade da extração dos atributos do MPO, prevista no protocolo, ainda não foi executada.</w:t>
      </w:r>
    </w:p>
    <w:p>
      <w:pPr>
        <w:spacing w:before="240" w:after="120"/>
        <w:jc w:val="left"/>
      </w:pPr>
      <w:r>
        <w:rPr>
          <w:rFonts w:ascii="Times New Roman" w:hAnsi="Times New Roman"/>
          <w:b/>
          <w:i w:val="0"/>
          <w:sz w:val="26"/>
        </w:rPr>
        <w:t>6. Discussões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as respostas abertas sustentam que o valor percebido está no que a comunidade produz e no aprendizado consolidado com apoio da IA. A segunda rodada, mais crítica, deixa claro que a restrição dominante para a adoção não está no ciclo em si, mas na experiência inicial: enquanto a clareza e a navegação não forem resolvidas, o valor demora a ser percebido. O fato de o onboarding não ter movido a clareza indica que o próximo passo é uma navegação guiada, com menu evidente, fluxo em etapas e exemplos práticos.</w:t>
      </w:r>
    </w:p>
    <w:p>
      <w:pPr>
        <w:spacing w:before="120"/>
        <w:ind w:firstLine="720"/>
        <w:jc w:val="both"/>
      </w:pPr>
      <w:r>
        <w:rPr>
          <w:rFonts w:ascii="Times New Roman" w:hAnsi="Times New Roman"/>
          <w:b w:val="0"/>
          <w:i w:val="0"/>
          <w:sz w:val="24"/>
        </w:rPr>
        <w:t>Como decisões arquiteturais, destacam-se a IA estritamente assistiva e a governança por papel, que restringe as ações de criação e edição a consultor e administrador.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A lição mais marcante foi de escopo. O projeto passou por um pivô: a proposta inicial foi reescopada para refinar o propósito da solução, deslocando o foco de um extrator de atributos para um observatório de projetos com participação dos clientes. Esse refino exigiu bastante trabalho ao longo de várias validações com os orientadores, e foi ele, mais do que qualquer ganho de ferramenta, que destravou o valor percebido. A IA generativa acelerou a construção, mas mostrou um limite claro: sem uma definição nítida do que se está construindo, a velocidade da IA não leva a lugar nenhum; ela amplifica a direção que já existe, não a substitui.</w:t>
      </w:r>
    </w:p>
    <w:p>
      <w:pPr>
        <w:spacing w:before="120"/>
        <w:ind w:firstLine="720"/>
        <w:jc w:val="both"/>
      </w:pPr>
      <w:r>
        <w:rPr>
          <w:rFonts w:ascii="Times New Roman" w:hAnsi="Times New Roman"/>
          <w:b w:val="0"/>
          <w:i w:val="0"/>
          <w:sz w:val="24"/>
        </w:rPr>
        <w:t>Amarradas a essa jornada, as lições de equipe se somam às de escopo.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7.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 A principal contribuição é essa demonstração empírica.</w:t>
      </w:r>
    </w:p>
    <w:p>
      <w:pPr>
        <w:spacing w:before="120" w:after="60"/>
        <w:jc w:val="left"/>
      </w:pPr>
      <w:r>
        <w:rPr>
          <w:rFonts w:ascii="Times New Roman" w:hAnsi="Times New Roman"/>
          <w:b/>
          <w:i w:val="0"/>
          <w:sz w:val="24"/>
        </w:rPr>
        <w:t>Questões em aberto</w:t>
      </w:r>
    </w:p>
    <w:p>
      <w:pPr>
        <w:spacing w:before="120"/>
        <w:jc w:val="both"/>
      </w:pPr>
      <w:r>
        <w:rPr>
          <w:rFonts w:ascii="Times New Roman" w:hAnsi="Times New Roman"/>
          <w:b w:val="0"/>
          <w:i w:val="0"/>
          <w:sz w:val="24"/>
        </w:rPr>
        <w:t>A leitura comparativa das duas rodadas deixa cinco questões que delimitam os gaps da pesquisa e orientam sua continuidade: (1) o onboarding melhora a clareza quando medido nos mesmos usuários antes e depois, isolando o efeito da mudança de público? (2) uma navegação guiada, com menu evidente, fluxo em etapas e exemplos práticos, eleva a clareza acima do patamar observado de 3,8? (3) qual a acurácia e a fidelidade da extração dos atributos do MPO pela IA, conforme o protocolo ainda não executado? (4) a IA melhora a qualidade dos aprendizados consolidados, e não apenas reduz a fricção de iniciar o ciclo? (5) o padrão de valor percebido se mantém em outros domínios, com amostra maior e uso prolongado, e o que explica a queda na percepção de governança na segunda rodada?</w:t>
      </w:r>
    </w:p>
    <w:p>
      <w:pPr>
        <w:spacing w:before="120"/>
        <w:ind w:firstLine="720"/>
        <w:jc w:val="both"/>
      </w:pPr>
      <w:r>
        <w:rPr>
          <w:rFonts w:ascii="Times New Roman" w:hAnsi="Times New Roman"/>
          <w:b w:val="0"/>
          <w:i w:val="0"/>
          <w:sz w:val="24"/>
        </w:rPr>
        <w:t>Essas questões orientam os trabalhos futuros: realizar uma nova rodada controlada, com os mesmos usuários antes e depois de uma navegação guiada; ampliar a validação com mais participantes e domínios; executar o protocolo de avaliação da extração do MPO; e avaliar a síntese cross-projeto (Conectora), já implementada com mitigações de anonimização e gate de publicação, cuja avaliação de valor permanece em aberto.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Sommerville, I. (2016) "Software Engineering", 10ª ed., Pearson Education, Boston.</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(2021) "Observatories as Transparency Instruments for Projects", In: 16ª Conferência Ibérica de Sistemas e Tecnologias de Informação (CISTI).</w:t>
      </w:r>
    </w:p>
    <w:p>
      <w:pPr>
        <w:spacing w:before="240" w:after="120"/>
        <w:jc w:val="left"/>
      </w:pPr>
      <w:r>
        <w:rPr>
          <w:rFonts w:ascii="Times New Roman" w:hAnsi="Times New Roman"/>
          <w:b/>
          <w:i w:val="0"/>
          <w:sz w:val="26"/>
        </w:rPr>
        <w:t>Apêndices</w:t>
      </w:r>
    </w:p>
    <w:p>
      <w:pPr>
        <w:spacing w:before="120" w:after="60"/>
        <w:jc w:val="left"/>
      </w:pPr>
      <w:r>
        <w:rPr>
          <w:rFonts w:ascii="Times New Roman" w:hAnsi="Times New Roman"/>
          <w:b/>
          <w:i w:val="0"/>
          <w:sz w:val="24"/>
        </w:rPr>
        <w:t>Apêndice A - Requisitos e rastreabilidade ao MPO</w:t>
      </w:r>
    </w:p>
    <w:p>
      <w:pPr>
        <w:spacing w:before="120"/>
        <w:jc w:val="both"/>
      </w:pPr>
      <w:r>
        <w:rPr>
          <w:rFonts w:ascii="Times New Roman" w:hAnsi="Times New Roman"/>
          <w:b w:val="0"/>
          <w:i w:val="0"/>
          <w:sz w:val="24"/>
        </w:rPr>
        <w:t>A Tabela A.1 relaciona os principais requisitos funcionais do ObiOne às características e processos do MPO (Vieira, 2022) e à sua materialização no sistema. A especificação completa dos requisitos está no repositório.</w:t>
      </w:r>
    </w:p>
    <w:p>
      <w:pPr>
        <w:spacing w:before="120" w:after="120"/>
        <w:jc w:val="center"/>
      </w:pPr>
      <w:r>
        <w:rPr>
          <w:rFonts w:ascii="Helvetica" w:hAnsi="Helvetica"/>
          <w:b/>
          <w:i w:val="0"/>
          <w:sz w:val="20"/>
        </w:rPr>
        <w:t>Tabela A.1. Rastreabilidade dos requisitos funcionais ao MPO.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RF</w:t>
            </w:r>
          </w:p>
        </w:tc>
        <w:tc>
          <w:tcPr>
            <w:tcW w:type="dxa" w:w="2126"/>
          </w:tcPr>
          <w:p>
            <w:r>
              <w:rPr>
                <w:rFonts w:ascii="Times New Roman" w:hAnsi="Times New Roman"/>
                <w:b/>
                <w:i w:val="0"/>
                <w:sz w:val="22"/>
              </w:rPr>
              <w:t>Requisito</w:t>
            </w:r>
          </w:p>
        </w:tc>
        <w:tc>
          <w:tcPr>
            <w:tcW w:type="dxa" w:w="2126"/>
          </w:tcPr>
          <w:p>
            <w:r>
              <w:rPr>
                <w:rFonts w:ascii="Times New Roman" w:hAnsi="Times New Roman"/>
                <w:b/>
                <w:i w:val="0"/>
                <w:sz w:val="22"/>
              </w:rPr>
              <w:t>Âncora no MPO (Vieira, 2022)</w:t>
            </w:r>
          </w:p>
        </w:tc>
        <w:tc>
          <w:tcPr>
            <w:tcW w:type="dxa" w:w="2126"/>
          </w:tcPr>
          <w:p>
            <w:r>
              <w:rPr>
                <w:rFonts w:ascii="Times New Roman" w:hAnsi="Times New Roman"/>
                <w:b/>
                <w:i w:val="0"/>
                <w:sz w:val="22"/>
              </w:rPr>
              <w:t>Implementação</w:t>
            </w:r>
          </w:p>
        </w:tc>
      </w:tr>
      <w:tr>
        <w:tc>
          <w:tcPr>
            <w:tcW w:type="dxa" w:w="2126"/>
          </w:tcPr>
          <w:p>
            <w:r>
              <w:rPr>
                <w:rFonts w:ascii="Times New Roman" w:hAnsi="Times New Roman"/>
                <w:b w:val="0"/>
                <w:i w:val="0"/>
                <w:sz w:val="22"/>
              </w:rPr>
              <w:t>RF01</w:t>
            </w:r>
          </w:p>
        </w:tc>
        <w:tc>
          <w:tcPr>
            <w:tcW w:type="dxa" w:w="2126"/>
          </w:tcPr>
          <w:p>
            <w:r>
              <w:rPr>
                <w:rFonts w:ascii="Times New Roman" w:hAnsi="Times New Roman"/>
                <w:b w:val="0"/>
                <w:i w:val="0"/>
                <w:sz w:val="22"/>
              </w:rPr>
              <w:t>Autenticar usuário</w:t>
            </w:r>
          </w:p>
        </w:tc>
        <w:tc>
          <w:tcPr>
            <w:tcW w:type="dxa" w:w="2126"/>
          </w:tcPr>
          <w:p>
            <w:r>
              <w:rPr>
                <w:rFonts w:ascii="Times New Roman" w:hAnsi="Times New Roman"/>
                <w:b w:val="0"/>
                <w:i w:val="0"/>
                <w:sz w:val="22"/>
              </w:rPr>
              <w:t>Segurança (p. 192)</w:t>
            </w:r>
          </w:p>
        </w:tc>
        <w:tc>
          <w:tcPr>
            <w:tcW w:type="dxa" w:w="2126"/>
          </w:tcPr>
          <w:p>
            <w:r>
              <w:rPr>
                <w:rFonts w:ascii="Times New Roman" w:hAnsi="Times New Roman"/>
                <w:b w:val="0"/>
                <w:i w:val="0"/>
                <w:sz w:val="22"/>
              </w:rPr>
              <w:t>auth por token; SecurityConfig</w:t>
            </w:r>
          </w:p>
        </w:tc>
      </w:tr>
      <w:tr>
        <w:tc>
          <w:tcPr>
            <w:tcW w:type="dxa" w:w="2126"/>
          </w:tcPr>
          <w:p>
            <w:r>
              <w:rPr>
                <w:rFonts w:ascii="Times New Roman" w:hAnsi="Times New Roman"/>
                <w:b w:val="0"/>
                <w:i w:val="0"/>
                <w:sz w:val="22"/>
              </w:rPr>
              <w:t>RF02</w:t>
            </w:r>
          </w:p>
        </w:tc>
        <w:tc>
          <w:tcPr>
            <w:tcW w:type="dxa" w:w="2126"/>
          </w:tcPr>
          <w:p>
            <w:r>
              <w:rPr>
                <w:rFonts w:ascii="Times New Roman" w:hAnsi="Times New Roman"/>
                <w:b w:val="0"/>
                <w:i w:val="0"/>
                <w:sz w:val="22"/>
              </w:rPr>
              <w:t>Perfis e acesso semi-aberto</w:t>
            </w:r>
          </w:p>
        </w:tc>
        <w:tc>
          <w:tcPr>
            <w:tcW w:type="dxa" w:w="2126"/>
          </w:tcPr>
          <w:p>
            <w:r>
              <w:rPr>
                <w:rFonts w:ascii="Times New Roman" w:hAnsi="Times New Roman"/>
                <w:b w:val="0"/>
                <w:i w:val="0"/>
                <w:sz w:val="22"/>
              </w:rPr>
              <w:t>Acesso semi-aberto (p. 189); agentes (pp. 200-201)</w:t>
            </w:r>
          </w:p>
        </w:tc>
        <w:tc>
          <w:tcPr>
            <w:tcW w:type="dxa" w:w="2126"/>
          </w:tcPr>
          <w:p>
            <w:r>
              <w:rPr>
                <w:rFonts w:ascii="Times New Roman" w:hAnsi="Times New Roman"/>
                <w:b w:val="0"/>
                <w:i w:val="0"/>
                <w:sz w:val="22"/>
              </w:rPr>
              <w:t>papéis consultor/admin/cliente</w:t>
            </w:r>
          </w:p>
        </w:tc>
      </w:tr>
      <w:tr>
        <w:tc>
          <w:tcPr>
            <w:tcW w:type="dxa" w:w="2126"/>
          </w:tcPr>
          <w:p>
            <w:r>
              <w:rPr>
                <w:rFonts w:ascii="Times New Roman" w:hAnsi="Times New Roman"/>
                <w:b w:val="0"/>
                <w:i w:val="0"/>
                <w:sz w:val="22"/>
              </w:rPr>
              <w:t>RF03</w:t>
            </w:r>
          </w:p>
        </w:tc>
        <w:tc>
          <w:tcPr>
            <w:tcW w:type="dxa" w:w="2126"/>
          </w:tcPr>
          <w:p>
            <w:r>
              <w:rPr>
                <w:rFonts w:ascii="Times New Roman" w:hAnsi="Times New Roman"/>
                <w:b w:val="0"/>
                <w:i w:val="0"/>
                <w:sz w:val="22"/>
              </w:rPr>
              <w:t>Cadastrar projeto (descrição textual)</w:t>
            </w:r>
          </w:p>
        </w:tc>
        <w:tc>
          <w:tcPr>
            <w:tcW w:type="dxa" w:w="2126"/>
          </w:tcPr>
          <w:p>
            <w:r>
              <w:rPr>
                <w:rFonts w:ascii="Times New Roman" w:hAnsi="Times New Roman"/>
                <w:b w:val="0"/>
                <w:i w:val="0"/>
                <w:sz w:val="22"/>
              </w:rPr>
              <w:t>Coletar (p. 195)</w:t>
            </w:r>
          </w:p>
        </w:tc>
        <w:tc>
          <w:tcPr>
            <w:tcW w:type="dxa" w:w="2126"/>
          </w:tcPr>
          <w:p>
            <w:r>
              <w:rPr>
                <w:rFonts w:ascii="Times New Roman" w:hAnsi="Times New Roman"/>
                <w:b w:val="0"/>
                <w:i w:val="0"/>
                <w:sz w:val="22"/>
              </w:rPr>
              <w:t>wizard de cadastro</w:t>
            </w:r>
          </w:p>
        </w:tc>
      </w:tr>
      <w:tr>
        <w:tc>
          <w:tcPr>
            <w:tcW w:type="dxa" w:w="2126"/>
          </w:tcPr>
          <w:p>
            <w:r>
              <w:rPr>
                <w:rFonts w:ascii="Times New Roman" w:hAnsi="Times New Roman"/>
                <w:b w:val="0"/>
                <w:i w:val="0"/>
                <w:sz w:val="22"/>
              </w:rPr>
              <w:t>RF04</w:t>
            </w:r>
          </w:p>
        </w:tc>
        <w:tc>
          <w:tcPr>
            <w:tcW w:type="dxa" w:w="2126"/>
          </w:tcPr>
          <w:p>
            <w:r>
              <w:rPr>
                <w:rFonts w:ascii="Times New Roman" w:hAnsi="Times New Roman"/>
                <w:b w:val="0"/>
                <w:i w:val="0"/>
                <w:sz w:val="22"/>
              </w:rPr>
              <w:t>Governança de visibilidade por papel</w:t>
            </w:r>
          </w:p>
        </w:tc>
        <w:tc>
          <w:tcPr>
            <w:tcW w:type="dxa" w:w="2126"/>
          </w:tcPr>
          <w:p>
            <w:r>
              <w:rPr>
                <w:rFonts w:ascii="Times New Roman" w:hAnsi="Times New Roman"/>
                <w:b w:val="0"/>
                <w:i w:val="0"/>
                <w:sz w:val="22"/>
              </w:rPr>
              <w:t>Acesso semi-aberto (p. 189); Segurança (p. 192)</w:t>
            </w:r>
          </w:p>
        </w:tc>
        <w:tc>
          <w:tcPr>
            <w:tcW w:type="dxa" w:w="2126"/>
          </w:tcPr>
          <w:p>
            <w:r>
              <w:rPr>
                <w:rFonts w:ascii="Times New Roman" w:hAnsi="Times New Roman"/>
                <w:b w:val="0"/>
                <w:i w:val="0"/>
                <w:sz w:val="22"/>
              </w:rPr>
              <w:t>enforcement por papel</w:t>
            </w:r>
          </w:p>
        </w:tc>
      </w:tr>
      <w:tr>
        <w:tc>
          <w:tcPr>
            <w:tcW w:type="dxa" w:w="2126"/>
          </w:tcPr>
          <w:p>
            <w:r>
              <w:rPr>
                <w:rFonts w:ascii="Times New Roman" w:hAnsi="Times New Roman"/>
                <w:b w:val="0"/>
                <w:i w:val="0"/>
                <w:sz w:val="22"/>
              </w:rPr>
              <w:t>RF05</w:t>
            </w:r>
          </w:p>
        </w:tc>
        <w:tc>
          <w:tcPr>
            <w:tcW w:type="dxa" w:w="2126"/>
          </w:tcPr>
          <w:p>
            <w:r>
              <w:rPr>
                <w:rFonts w:ascii="Times New Roman" w:hAnsi="Times New Roman"/>
                <w:b w:val="0"/>
                <w:i w:val="0"/>
                <w:sz w:val="22"/>
              </w:rPr>
              <w:t>Extrair atributos do MPO via IA</w:t>
            </w:r>
          </w:p>
        </w:tc>
        <w:tc>
          <w:tcPr>
            <w:tcW w:type="dxa" w:w="2126"/>
          </w:tcPr>
          <w:p>
            <w:r>
              <w:rPr>
                <w:rFonts w:ascii="Times New Roman" w:hAnsi="Times New Roman"/>
                <w:b w:val="0"/>
                <w:i w:val="0"/>
                <w:sz w:val="22"/>
              </w:rPr>
              <w:t>Quadro 37 (p. 264); Transformar (p. 196)</w:t>
            </w:r>
          </w:p>
        </w:tc>
        <w:tc>
          <w:tcPr>
            <w:tcW w:type="dxa" w:w="2126"/>
          </w:tcPr>
          <w:p>
            <w:r>
              <w:rPr>
                <w:rFonts w:ascii="Times New Roman" w:hAnsi="Times New Roman"/>
                <w:b w:val="0"/>
                <w:i w:val="0"/>
                <w:sz w:val="22"/>
              </w:rPr>
              <w:t>camada de IA (Observadora)</w:t>
            </w:r>
          </w:p>
        </w:tc>
      </w:tr>
      <w:tr>
        <w:tc>
          <w:tcPr>
            <w:tcW w:type="dxa" w:w="2126"/>
          </w:tcPr>
          <w:p>
            <w:r>
              <w:rPr>
                <w:rFonts w:ascii="Times New Roman" w:hAnsi="Times New Roman"/>
                <w:b w:val="0"/>
                <w:i w:val="0"/>
                <w:sz w:val="22"/>
              </w:rPr>
              <w:t>RF06</w:t>
            </w:r>
          </w:p>
        </w:tc>
        <w:tc>
          <w:tcPr>
            <w:tcW w:type="dxa" w:w="2126"/>
          </w:tcPr>
          <w:p>
            <w:r>
              <w:rPr>
                <w:rFonts w:ascii="Times New Roman" w:hAnsi="Times New Roman"/>
                <w:b w:val="0"/>
                <w:i w:val="0"/>
                <w:sz w:val="22"/>
              </w:rPr>
              <w:t>Persistir extração estruturada</w:t>
            </w:r>
          </w:p>
        </w:tc>
        <w:tc>
          <w:tcPr>
            <w:tcW w:type="dxa" w:w="2126"/>
          </w:tcPr>
          <w:p>
            <w:r>
              <w:rPr>
                <w:rFonts w:ascii="Times New Roman" w:hAnsi="Times New Roman"/>
                <w:b w:val="0"/>
                <w:i w:val="0"/>
                <w:sz w:val="22"/>
              </w:rPr>
              <w:t>Armazenar (p. 196)</w:t>
            </w:r>
          </w:p>
        </w:tc>
        <w:tc>
          <w:tcPr>
            <w:tcW w:type="dxa" w:w="2126"/>
          </w:tcPr>
          <w:p>
            <w:r>
              <w:rPr>
                <w:rFonts w:ascii="Times New Roman" w:hAnsi="Times New Roman"/>
                <w:b w:val="0"/>
                <w:i w:val="0"/>
                <w:sz w:val="22"/>
              </w:rPr>
              <w:t>entidades JPA</w:t>
            </w:r>
          </w:p>
        </w:tc>
      </w:tr>
      <w:tr>
        <w:tc>
          <w:tcPr>
            <w:tcW w:type="dxa" w:w="2126"/>
          </w:tcPr>
          <w:p>
            <w:r>
              <w:rPr>
                <w:rFonts w:ascii="Times New Roman" w:hAnsi="Times New Roman"/>
                <w:b w:val="0"/>
                <w:i w:val="0"/>
                <w:sz w:val="22"/>
              </w:rPr>
              <w:t>RF07</w:t>
            </w:r>
          </w:p>
        </w:tc>
        <w:tc>
          <w:tcPr>
            <w:tcW w:type="dxa" w:w="2126"/>
          </w:tcPr>
          <w:p>
            <w:r>
              <w:rPr>
                <w:rFonts w:ascii="Times New Roman" w:hAnsi="Times New Roman"/>
                <w:b w:val="0"/>
                <w:i w:val="0"/>
                <w:sz w:val="22"/>
              </w:rPr>
              <w:t>Portfólio perfil-aware</w:t>
            </w:r>
          </w:p>
        </w:tc>
        <w:tc>
          <w:tcPr>
            <w:tcW w:type="dxa" w:w="2126"/>
          </w:tcPr>
          <w:p>
            <w:r>
              <w:rPr>
                <w:rFonts w:ascii="Times New Roman" w:hAnsi="Times New Roman"/>
                <w:b w:val="0"/>
                <w:i w:val="0"/>
                <w:sz w:val="22"/>
              </w:rPr>
              <w:t>Abrangência (p. 189); Disponibilizar (p. 196)</w:t>
            </w:r>
          </w:p>
        </w:tc>
        <w:tc>
          <w:tcPr>
            <w:tcW w:type="dxa" w:w="2126"/>
          </w:tcPr>
          <w:p>
            <w:r>
              <w:rPr>
                <w:rFonts w:ascii="Times New Roman" w:hAnsi="Times New Roman"/>
                <w:b w:val="0"/>
                <w:i w:val="0"/>
                <w:sz w:val="22"/>
              </w:rPr>
              <w:t>listagem por papel</w:t>
            </w:r>
          </w:p>
        </w:tc>
      </w:tr>
      <w:tr>
        <w:tc>
          <w:tcPr>
            <w:tcW w:type="dxa" w:w="2126"/>
          </w:tcPr>
          <w:p>
            <w:r>
              <w:rPr>
                <w:rFonts w:ascii="Times New Roman" w:hAnsi="Times New Roman"/>
                <w:b w:val="0"/>
                <w:i w:val="0"/>
                <w:sz w:val="22"/>
              </w:rPr>
              <w:t>RF08</w:t>
            </w:r>
          </w:p>
        </w:tc>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Projetos (p. 186); Disponibilizar (p. 196)</w:t>
            </w:r>
          </w:p>
        </w:tc>
        <w:tc>
          <w:tcPr>
            <w:tcW w:type="dxa" w:w="2126"/>
          </w:tcPr>
          <w:p>
            <w:r>
              <w:rPr>
                <w:rFonts w:ascii="Times New Roman" w:hAnsi="Times New Roman"/>
                <w:b w:val="0"/>
                <w:i w:val="0"/>
                <w:sz w:val="22"/>
              </w:rPr>
              <w:t>detalhe com atributos MPO</w:t>
            </w:r>
          </w:p>
        </w:tc>
      </w:tr>
      <w:tr>
        <w:tc>
          <w:tcPr>
            <w:tcW w:type="dxa" w:w="2126"/>
          </w:tcPr>
          <w:p>
            <w:r>
              <w:rPr>
                <w:rFonts w:ascii="Times New Roman" w:hAnsi="Times New Roman"/>
                <w:b w:val="0"/>
                <w:i w:val="0"/>
                <w:sz w:val="22"/>
              </w:rPr>
              <w:t>RF09</w:t>
            </w:r>
          </w:p>
        </w:tc>
        <w:tc>
          <w:tcPr>
            <w:tcW w:type="dxa" w:w="2126"/>
          </w:tcPr>
          <w:p>
            <w:r>
              <w:rPr>
                <w:rFonts w:ascii="Times New Roman" w:hAnsi="Times New Roman"/>
                <w:b w:val="0"/>
                <w:i w:val="0"/>
                <w:sz w:val="22"/>
              </w:rPr>
              <w:t>Cobertura do MPO</w:t>
            </w:r>
          </w:p>
        </w:tc>
        <w:tc>
          <w:tcPr>
            <w:tcW w:type="dxa" w:w="2126"/>
          </w:tcPr>
          <w:p>
            <w:r>
              <w:rPr>
                <w:rFonts w:ascii="Times New Roman" w:hAnsi="Times New Roman"/>
                <w:b w:val="0"/>
                <w:i w:val="0"/>
                <w:sz w:val="22"/>
              </w:rPr>
              <w:t>Abrangência (p. 189); Avaliar (p. 198)</w:t>
            </w:r>
          </w:p>
        </w:tc>
        <w:tc>
          <w:tcPr>
            <w:tcW w:type="dxa" w:w="2126"/>
          </w:tcPr>
          <w:p>
            <w:r>
              <w:rPr>
                <w:rFonts w:ascii="Times New Roman" w:hAnsi="Times New Roman"/>
                <w:b w:val="0"/>
                <w:i w:val="0"/>
                <w:sz w:val="22"/>
              </w:rPr>
              <w:t>GET /projects/{id}/coverage</w:t>
            </w:r>
          </w:p>
        </w:tc>
      </w:tr>
      <w:tr>
        <w:tc>
          <w:tcPr>
            <w:tcW w:type="dxa" w:w="2126"/>
          </w:tcPr>
          <w:p>
            <w:r>
              <w:rPr>
                <w:rFonts w:ascii="Times New Roman" w:hAnsi="Times New Roman"/>
                <w:b w:val="0"/>
                <w:i w:val="0"/>
                <w:sz w:val="22"/>
              </w:rPr>
              <w:t>RF10</w:t>
            </w:r>
          </w:p>
        </w:tc>
        <w:tc>
          <w:tcPr>
            <w:tcW w:type="dxa" w:w="2126"/>
          </w:tcPr>
          <w:p>
            <w:r>
              <w:rPr>
                <w:rFonts w:ascii="Times New Roman" w:hAnsi="Times New Roman"/>
                <w:b w:val="0"/>
                <w:i w:val="0"/>
                <w:sz w:val="22"/>
              </w:rPr>
              <w:t>Comentar/conversar no projeto</w:t>
            </w:r>
          </w:p>
        </w:tc>
        <w:tc>
          <w:tcPr>
            <w:tcW w:type="dxa" w:w="2126"/>
          </w:tcPr>
          <w:p>
            <w:r>
              <w:rPr>
                <w:rFonts w:ascii="Times New Roman" w:hAnsi="Times New Roman"/>
                <w:b w:val="0"/>
                <w:i w:val="0"/>
                <w:sz w:val="22"/>
              </w:rPr>
              <w:t>Interatividade (p. 191); Interagir (p. 198)</w:t>
            </w:r>
          </w:p>
        </w:tc>
        <w:tc>
          <w:tcPr>
            <w:tcW w:type="dxa" w:w="2126"/>
          </w:tcPr>
          <w:p>
            <w:r>
              <w:rPr>
                <w:rFonts w:ascii="Times New Roman" w:hAnsi="Times New Roman"/>
                <w:b w:val="0"/>
                <w:i w:val="0"/>
                <w:sz w:val="22"/>
              </w:rPr>
              <w:t>discussões da comunidade</w:t>
            </w:r>
          </w:p>
        </w:tc>
      </w:tr>
      <w:tr>
        <w:tc>
          <w:tcPr>
            <w:tcW w:type="dxa" w:w="2126"/>
          </w:tcPr>
          <w:p>
            <w:r>
              <w:rPr>
                <w:rFonts w:ascii="Times New Roman" w:hAnsi="Times New Roman"/>
                <w:b w:val="0"/>
                <w:i w:val="0"/>
                <w:sz w:val="22"/>
              </w:rPr>
              <w:t>RF11</w:t>
            </w:r>
          </w:p>
        </w:tc>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Acompanhar (p. 198)</w:t>
            </w:r>
          </w:p>
        </w:tc>
        <w:tc>
          <w:tcPr>
            <w:tcW w:type="dxa" w:w="2126"/>
          </w:tcPr>
          <w:p>
            <w:r>
              <w:rPr>
                <w:rFonts w:ascii="Times New Roman" w:hAnsi="Times New Roman"/>
                <w:b w:val="0"/>
                <w:i w:val="0"/>
                <w:sz w:val="22"/>
              </w:rPr>
              <w:t>feed temporal in-app</w:t>
            </w:r>
          </w:p>
        </w:tc>
      </w:tr>
      <w:tr>
        <w:tc>
          <w:tcPr>
            <w:tcW w:type="dxa" w:w="2126"/>
          </w:tcPr>
          <w:p>
            <w:r>
              <w:rPr>
                <w:rFonts w:ascii="Times New Roman" w:hAnsi="Times New Roman"/>
                <w:b w:val="0"/>
                <w:i w:val="0"/>
                <w:sz w:val="22"/>
              </w:rPr>
              <w:t>RF12</w:t>
            </w:r>
          </w:p>
        </w:tc>
        <w:tc>
          <w:tcPr>
            <w:tcW w:type="dxa" w:w="2126"/>
          </w:tcPr>
          <w:p>
            <w:r>
              <w:rPr>
                <w:rFonts w:ascii="Times New Roman" w:hAnsi="Times New Roman"/>
                <w:b w:val="0"/>
                <w:i w:val="0"/>
                <w:sz w:val="22"/>
              </w:rPr>
              <w:t>Consolidar aprendizados (IA)</w:t>
            </w:r>
          </w:p>
        </w:tc>
        <w:tc>
          <w:tcPr>
            <w:tcW w:type="dxa" w:w="2126"/>
          </w:tcPr>
          <w:p>
            <w:r>
              <w:rPr>
                <w:rFonts w:ascii="Times New Roman" w:hAnsi="Times New Roman"/>
                <w:b w:val="0"/>
                <w:i w:val="0"/>
                <w:sz w:val="22"/>
              </w:rPr>
              <w:t>Transformar; Categorizar (pp. 196-197)</w:t>
            </w:r>
          </w:p>
        </w:tc>
        <w:tc>
          <w:tcPr>
            <w:tcW w:type="dxa" w:w="2126"/>
          </w:tcPr>
          <w:p>
            <w:r>
              <w:rPr>
                <w:rFonts w:ascii="Times New Roman" w:hAnsi="Times New Roman"/>
                <w:b w:val="0"/>
                <w:i w:val="0"/>
                <w:sz w:val="22"/>
              </w:rPr>
              <w:t>camada de IA (Sintetizadora)</w:t>
            </w:r>
          </w:p>
        </w:tc>
      </w:tr>
      <w:tr>
        <w:tc>
          <w:tcPr>
            <w:tcW w:type="dxa" w:w="2126"/>
          </w:tcPr>
          <w:p>
            <w:r>
              <w:rPr>
                <w:rFonts w:ascii="Times New Roman" w:hAnsi="Times New Roman"/>
                <w:b w:val="0"/>
                <w:i w:val="0"/>
                <w:sz w:val="22"/>
              </w:rPr>
              <w:t>RF13</w:t>
            </w:r>
          </w:p>
        </w:tc>
        <w:tc>
          <w:tcPr>
            <w:tcW w:type="dxa" w:w="2126"/>
          </w:tcPr>
          <w:p>
            <w:r>
              <w:rPr>
                <w:rFonts w:ascii="Times New Roman" w:hAnsi="Times New Roman"/>
                <w:b w:val="0"/>
                <w:i w:val="0"/>
                <w:sz w:val="22"/>
              </w:rPr>
              <w:t>Categorizar por temática/domínio</w:t>
            </w:r>
          </w:p>
        </w:tc>
        <w:tc>
          <w:tcPr>
            <w:tcW w:type="dxa" w:w="2126"/>
          </w:tcPr>
          <w:p>
            <w:r>
              <w:rPr>
                <w:rFonts w:ascii="Times New Roman" w:hAnsi="Times New Roman"/>
                <w:b w:val="0"/>
                <w:i w:val="0"/>
                <w:sz w:val="22"/>
              </w:rPr>
              <w:t>Categorizar/Classificar (pp. 196-197)</w:t>
            </w:r>
          </w:p>
        </w:tc>
        <w:tc>
          <w:tcPr>
            <w:tcW w:type="dxa" w:w="2126"/>
          </w:tcPr>
          <w:p>
            <w:r>
              <w:rPr>
                <w:rFonts w:ascii="Times New Roman" w:hAnsi="Times New Roman"/>
                <w:b w:val="0"/>
                <w:i w:val="0"/>
                <w:sz w:val="22"/>
              </w:rPr>
              <w:t>camada de IA (Configuradora)</w:t>
            </w:r>
          </w:p>
        </w:tc>
      </w:tr>
    </w:tbl>
    <w:p>
      <w:pPr>
        <w:spacing w:before="60"/>
        <w:jc w:val="both"/>
      </w:pPr>
      <w:r>
        <w:rPr>
          <w:rFonts w:ascii="Times New Roman" w:hAnsi="Times New Roman"/>
          <w:b w:val="0"/>
          <w:i w:val="0"/>
          <w:sz w:val="24"/>
        </w:rPr>
        <w:t xml:space="preserve">Repositório: </w:t>
      </w:r>
      <w:hyperlink r:id="rId9">
        <w:r>
          <w:rPr>
            <w:color w:val="1155CC"/>
            <w:u w:val="single"/>
            <w:rFonts w:ascii="Times New Roman" w:hAnsi="Times New Roman"/>
            <w:sz w:val="24"/>
          </w:rPr>
          <w:t>https://github.com/raniel90/obione</w:t>
        </w:r>
      </w:hyperlink>
    </w:p>
    <w:p>
      <w:pPr>
        <w:spacing w:before="60"/>
        <w:jc w:val="both"/>
      </w:pPr>
      <w:r>
        <w:rPr>
          <w:rFonts w:ascii="Times New Roman" w:hAnsi="Times New Roman"/>
          <w:b w:val="0"/>
          <w:i w:val="0"/>
          <w:sz w:val="24"/>
        </w:rPr>
        <w:t xml:space="preserve">Especificação de requisitos: </w:t>
      </w:r>
      <w:hyperlink r:id="rId10">
        <w:r>
          <w:rPr>
            <w:color w:val="1155CC"/>
            <w:u w:val="single"/>
            <w:rFonts w:ascii="Times New Roman" w:hAnsi="Times New Roman"/>
            <w:sz w:val="24"/>
          </w:rPr>
          <w:t>https://github.com/raniel90/obione/blob/main/atividades/requisitos.md</w:t>
        </w:r>
      </w:hyperlink>
    </w:p>
    <w:p>
      <w:pPr>
        <w:spacing w:before="120" w:after="60"/>
        <w:jc w:val="left"/>
      </w:pPr>
      <w:r>
        <w:rPr>
          <w:rFonts w:ascii="Times New Roman" w:hAnsi="Times New Roman"/>
          <w:b/>
          <w:i w:val="0"/>
          <w:sz w:val="24"/>
        </w:rPr>
        <w:t>Apêndice B - Arquitetura do Observatório</w:t>
      </w:r>
    </w:p>
    <w:p>
      <w:pPr>
        <w:spacing w:before="120"/>
        <w:jc w:val="both"/>
      </w:pPr>
      <w:r>
        <w:rPr>
          <w:rFonts w:ascii="Times New Roman" w:hAnsi="Times New Roman"/>
          <w:b w:val="0"/>
          <w:i w:val="0"/>
          <w:sz w:val="24"/>
        </w:rPr>
        <w:t>A arquitetura em camadas do backend, com controladores, serviços, repositórios, entidades e mapeadores, e o pipeline da camada de IA estão descritos em detalhe nos documentos de arquitetura do repositório, listados a seguir.</w:t>
      </w:r>
    </w:p>
    <w:p>
      <w:pPr>
        <w:spacing w:before="60"/>
        <w:jc w:val="both"/>
      </w:pPr>
      <w:r>
        <w:rPr>
          <w:rFonts w:ascii="Times New Roman" w:hAnsi="Times New Roman"/>
          <w:b w:val="0"/>
          <w:i w:val="0"/>
          <w:sz w:val="24"/>
        </w:rPr>
        <w:t xml:space="preserve">Arquitetura do backend: </w:t>
      </w:r>
      <w:hyperlink r:id="rId11">
        <w:r>
          <w:rPr>
            <w:color w:val="1155CC"/>
            <w:u w:val="single"/>
            <w:rFonts w:ascii="Times New Roman" w:hAnsi="Times New Roman"/>
            <w:sz w:val="24"/>
          </w:rPr>
          <w:t>https://github.com/raniel90/obione/blob/main/atividades/arquitetura_backend.md</w:t>
        </w:r>
      </w:hyperlink>
    </w:p>
    <w:p>
      <w:pPr>
        <w:spacing w:before="60"/>
        <w:jc w:val="both"/>
      </w:pPr>
      <w:r>
        <w:rPr>
          <w:rFonts w:ascii="Times New Roman" w:hAnsi="Times New Roman"/>
          <w:b w:val="0"/>
          <w:i w:val="0"/>
          <w:sz w:val="24"/>
        </w:rPr>
        <w:t xml:space="preserve">Pipeline da camada de IA: </w:t>
      </w:r>
      <w:hyperlink r:id="rId12">
        <w:r>
          <w:rPr>
            <w:color w:val="1155CC"/>
            <w:u w:val="single"/>
            <w:rFonts w:ascii="Times New Roman" w:hAnsi="Times New Roman"/>
            <w:sz w:val="24"/>
          </w:rPr>
          <w:t>https://github.com/raniel90/obione/blob/main/atividades/arquitetura_pipeline.md</w:t>
        </w:r>
      </w:hyperlink>
    </w:p>
    <w:p>
      <w:pPr>
        <w:spacing w:before="60"/>
        <w:jc w:val="both"/>
      </w:pPr>
      <w:r>
        <w:rPr>
          <w:rFonts w:ascii="Times New Roman" w:hAnsi="Times New Roman"/>
          <w:b w:val="0"/>
          <w:i w:val="0"/>
          <w:sz w:val="24"/>
        </w:rPr>
        <w:t xml:space="preserve">Diagrama da arquitetura: </w:t>
      </w:r>
      <w:hyperlink r:id="rId13">
        <w:r>
          <w:rPr>
            <w:color w:val="1155CC"/>
            <w:u w:val="single"/>
            <w:rFonts w:ascii="Times New Roman" w:hAnsi="Times New Roman"/>
            <w:sz w:val="24"/>
          </w:rPr>
          <w:t>https://github.com/raniel90/obione/blob/main/atividades/arquitetura_diagrama.md</w:t>
        </w:r>
      </w:hyperlink>
    </w:p>
    <w:p>
      <w:pPr>
        <w:spacing w:before="120" w:after="60"/>
        <w:jc w:val="left"/>
      </w:pPr>
      <w:r>
        <w:rPr>
          <w:rFonts w:ascii="Times New Roman" w:hAnsi="Times New Roman"/>
          <w:b/>
          <w:i w:val="0"/>
          <w:sz w:val="24"/>
        </w:rPr>
        <w:t>Apêndice C - Telas por perfil</w:t>
      </w:r>
    </w:p>
    <w:p>
      <w:pPr>
        <w:spacing w:before="120"/>
        <w:jc w:val="both"/>
      </w:pPr>
      <w:r>
        <w:rPr>
          <w:rFonts w:ascii="Times New Roman" w:hAnsi="Times New Roman"/>
          <w:b w:val="0"/>
          <w:i w:val="0"/>
          <w:sz w:val="24"/>
        </w:rPr>
        <w:t>A Tabela C.1 resume o que cada perfil pode fazer em cada tela. A leitura é aberta a qualquer usuário autenticado; as ações de criação e edição são restritas a consultor e administrador, e o cliente contribui comentando. Em seguida, as Figuras C.1 a C.6 ilustram as telas principais. O conjunto completo está em Principais_Telas_ObiOne.pdf, no repositório.</w:t>
      </w:r>
    </w:p>
    <w:p>
      <w:pPr>
        <w:spacing w:before="120" w:after="120"/>
        <w:jc w:val="center"/>
      </w:pPr>
      <w:r>
        <w:rPr>
          <w:rFonts w:ascii="Helvetica" w:hAnsi="Helvetica"/>
          <w:b/>
          <w:i w:val="0"/>
          <w:sz w:val="20"/>
        </w:rPr>
        <w:t>Tabela C.1. Ações permitidas por perfil em cada tela.</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Tela</w:t>
            </w:r>
          </w:p>
        </w:tc>
        <w:tc>
          <w:tcPr>
            <w:tcW w:type="dxa" w:w="2126"/>
          </w:tcPr>
          <w:p>
            <w:r>
              <w:rPr>
                <w:rFonts w:ascii="Times New Roman" w:hAnsi="Times New Roman"/>
                <w:b/>
                <w:i w:val="0"/>
                <w:sz w:val="22"/>
              </w:rPr>
              <w:t>Consultor</w:t>
            </w:r>
          </w:p>
        </w:tc>
        <w:tc>
          <w:tcPr>
            <w:tcW w:type="dxa" w:w="2126"/>
          </w:tcPr>
          <w:p>
            <w:r>
              <w:rPr>
                <w:rFonts w:ascii="Times New Roman" w:hAnsi="Times New Roman"/>
                <w:b/>
                <w:i w:val="0"/>
                <w:sz w:val="22"/>
              </w:rPr>
              <w:t>Administrador</w:t>
            </w:r>
          </w:p>
        </w:tc>
        <w:tc>
          <w:tcPr>
            <w:tcW w:type="dxa" w:w="2126"/>
          </w:tcPr>
          <w:p>
            <w:r>
              <w:rPr>
                <w:rFonts w:ascii="Times New Roman" w:hAnsi="Times New Roman"/>
                <w:b/>
                <w:i w:val="0"/>
                <w:sz w:val="22"/>
              </w:rPr>
              <w:t>Cliente</w:t>
            </w:r>
          </w:p>
        </w:tc>
      </w:tr>
      <w:tr>
        <w:tc>
          <w:tcPr>
            <w:tcW w:type="dxa" w:w="2126"/>
          </w:tcPr>
          <w:p>
            <w:r>
              <w:rPr>
                <w:rFonts w:ascii="Times New Roman" w:hAnsi="Times New Roman"/>
                <w:b w:val="0"/>
                <w:i w:val="0"/>
                <w:sz w:val="22"/>
              </w:rPr>
              <w:t>Observatório (home)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lê</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lê e comenta</w:t>
            </w:r>
          </w:p>
        </w:tc>
      </w:tr>
      <w:tr>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lê e comenta</w:t>
            </w:r>
          </w:p>
        </w:tc>
      </w:tr>
      <w:tr>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lê</w:t>
            </w:r>
          </w:p>
        </w:tc>
      </w:tr>
      <w:tr>
        <w:tc>
          <w:tcPr>
            <w:tcW w:type="dxa" w:w="2126"/>
          </w:tcPr>
          <w:p>
            <w:r>
              <w:rPr>
                <w:rFonts w:ascii="Times New Roman" w:hAnsi="Times New Roman"/>
                <w:b w:val="0"/>
                <w:i w:val="0"/>
                <w:sz w:val="22"/>
              </w:rPr>
              <w:t>Consolidar com IA</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r>
        <w:tc>
          <w:tcPr>
            <w:tcW w:type="dxa" w:w="2126"/>
          </w:tcPr>
          <w:p>
            <w:r>
              <w:rPr>
                <w:rFonts w:ascii="Times New Roman" w:hAnsi="Times New Roman"/>
                <w:b w:val="0"/>
                <w:i w:val="0"/>
                <w:sz w:val="22"/>
              </w:rPr>
              <w:t>Wizard de cadastro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bl>
    <w:p>
      <w:pPr>
        <w:spacing w:before="120"/>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01-home.png"/>
                    <pic:cNvPicPr/>
                  </pic:nvPicPr>
                  <pic:blipFill>
                    <a:blip r:embed="rId14"/>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C.1. Observatório (home).</w:t>
      </w:r>
    </w:p>
    <w:p>
      <w:pPr>
        <w:spacing w:before="12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02-comunidade.png"/>
                    <pic:cNvPicPr/>
                  </pic:nvPicPr>
                  <pic:blipFill>
                    <a:blip r:embed="rId15"/>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C.2. Comunidade.</w:t>
      </w:r>
    </w:p>
    <w:p>
      <w:pPr>
        <w:spacing w:before="120"/>
        <w:jc w:val="center"/>
      </w:pPr>
      <w:r>
        <w:drawing>
          <wp:inline xmlns:a="http://schemas.openxmlformats.org/drawingml/2006/main" xmlns:pic="http://schemas.openxmlformats.org/drawingml/2006/picture">
            <wp:extent cx="4680000" cy="2925000"/>
            <wp:docPr id="3" name="Picture 3"/>
            <wp:cNvGraphicFramePr>
              <a:graphicFrameLocks noChangeAspect="1"/>
            </wp:cNvGraphicFramePr>
            <a:graphic>
              <a:graphicData uri="http://schemas.openxmlformats.org/drawingml/2006/picture">
                <pic:pic>
                  <pic:nvPicPr>
                    <pic:cNvPr id="0" name="03-detalhe-projeto.png"/>
                    <pic:cNvPicPr/>
                  </pic:nvPicPr>
                  <pic:blipFill>
                    <a:blip r:embed="rId16"/>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C.3. Detalhe do projeto.</w:t>
      </w:r>
    </w:p>
    <w:p>
      <w:pPr>
        <w:spacing w:before="120"/>
        <w:jc w:val="center"/>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04-feed.png"/>
                    <pic:cNvPicPr/>
                  </pic:nvPicPr>
                  <pic:blipFill>
                    <a:blip r:embed="rId17"/>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C.4. Feed de novidades.</w:t>
      </w:r>
    </w:p>
    <w:p>
      <w:pPr>
        <w:spacing w:before="120"/>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05-consolidar-ia.png"/>
                    <pic:cNvPicPr/>
                  </pic:nvPicPr>
                  <pic:blipFill>
                    <a:blip r:embed="rId18"/>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C.5. Consolidar aprendizado com IA.</w:t>
      </w:r>
    </w:p>
    <w:p>
      <w:pPr>
        <w:spacing w:before="120"/>
        <w:jc w:val="center"/>
      </w:pPr>
      <w:r>
        <w:drawing>
          <wp:inline xmlns:a="http://schemas.openxmlformats.org/drawingml/2006/main" xmlns:pic="http://schemas.openxmlformats.org/drawingml/2006/picture">
            <wp:extent cx="4680000" cy="2925000"/>
            <wp:docPr id="6" name="Picture 6"/>
            <wp:cNvGraphicFramePr>
              <a:graphicFrameLocks noChangeAspect="1"/>
            </wp:cNvGraphicFramePr>
            <a:graphic>
              <a:graphicData uri="http://schemas.openxmlformats.org/drawingml/2006/picture">
                <pic:pic>
                  <pic:nvPicPr>
                    <pic:cNvPr id="0" name="06-wizard.png"/>
                    <pic:cNvPicPr/>
                  </pic:nvPicPr>
                  <pic:blipFill>
                    <a:blip r:embed="rId19"/>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C.6. Wizard de cadastro de projeto.</w:t>
      </w:r>
    </w:p>
    <w:p>
      <w:pPr>
        <w:spacing w:before="60"/>
        <w:jc w:val="both"/>
      </w:pPr>
      <w:r>
        <w:rPr>
          <w:rFonts w:ascii="Times New Roman" w:hAnsi="Times New Roman"/>
          <w:b w:val="0"/>
          <w:i w:val="0"/>
          <w:sz w:val="24"/>
        </w:rPr>
        <w:t xml:space="preserve">Telas completas: </w:t>
      </w:r>
      <w:hyperlink r:id="rId20">
        <w:r>
          <w:rPr>
            <w:color w:val="1155CC"/>
            <w:u w:val="single"/>
            <w:rFonts w:ascii="Times New Roman" w:hAnsi="Times New Roman"/>
            <w:sz w:val="24"/>
          </w:rPr>
          <w:t>https://github.com/raniel90/obione/blob/main/atividades/Principais_Telas_ObiOne.pdf</w:t>
        </w:r>
      </w:hyperlink>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niel90/obione" TargetMode="External"/><Relationship Id="rId10" Type="http://schemas.openxmlformats.org/officeDocument/2006/relationships/hyperlink" Target="https://github.com/raniel90/obione/blob/main/atividades/requisitos.md" TargetMode="External"/><Relationship Id="rId11" Type="http://schemas.openxmlformats.org/officeDocument/2006/relationships/hyperlink" Target="https://github.com/raniel90/obione/blob/main/atividades/arquitetura_backend.md" TargetMode="External"/><Relationship Id="rId12" Type="http://schemas.openxmlformats.org/officeDocument/2006/relationships/hyperlink" Target="https://github.com/raniel90/obione/blob/main/atividades/arquitetura_pipeline.md" TargetMode="External"/><Relationship Id="rId13" Type="http://schemas.openxmlformats.org/officeDocument/2006/relationships/hyperlink" Target="https://github.com/raniel90/obione/blob/main/atividades/arquitetura_diagrama.md"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raniel90/obione/blob/main/atividades/Principais_Telas_ObiOn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