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de observação previstos pelo MPO, distribuídos em oito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 observações já registradas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reúne o contexto e o analisa à luz dos atributos de observação do MPO; aciona a IA, que devolve uma sugestão estruturada; registra essa sugestão de forma auditável,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Análise pela IA à luz do MPO  →  Sugestão estruturada e auditável  →  Revisão do consultor  →  Observação ou aprendizado publicado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Quatro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A quarta é a consciência do estado do observatório: ao sugerir observações, o modelo recebe a lista do que o projeto já registra e é instruído a não repetir aspectos em observação, e um filtro determinístico descarta, em código, qualquer sugestão cujo atributo já esteja coberto, mesmo que o modelo desobedeça. O provedor é configurável: um modo determinístico, sem chave e voltado a testes, e o provedor da OpenAI, com o modelo gpt-5.4-mini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 No caso da Conectora, a própria síntese fica persistida nesse log: o sistema recupera a última versão por domínio, com a data de geração, e oferece a regeração sob demanda, tratando o resultado como um artefato de conhecimento versionado, e não como uma saída efêmera.</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A configuração dessas permissões é, ela própria, governada por regras assimétricas: o perfil do administrador é fixo, com todas as permissões habilitadas e imutáveis; apenas o administrador altera as permissões do consultor; e o consultor gerencia apenas as do cliente, com as regras aplicadas no backend, e não apenas na interface. A integridade da evidência segue o mesmo princípio: uma observação com conversa vinculada não pode ser excluída, preservando o registro que sustenta o debate da comunidade.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Essa leitura já produziu um terceiro ciclo de design, posterior à segunda rodada. O cadastro tornou-se IA-first, com a descrição textual como único insumo e degradação graciosa quando a IA não responde; o ciclo de observação, conversa e consolidação passou a acontecer em uma única tela, com um clique para abrir a conversa e o diálogo de consolidação reduzido ao essencial; e as telas foram enxugadas para diminuir a carga de leitura. Essas mudanças respondem diretamente à restrição de clareza apontada pela avaliação, mas ainda não foram reavaliadas: a rodada controlada prevista nas questões em aberto é o teste natural desse redesenho.</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do redesenho IA-first e da navegação guiada; ampliar a validação com mais participantes e domínios; executar o protocolo de avaliação da extração do MPO; e avaliar a síntese cross-projeto (Conectora), já implementada com anonimização e com cada síntese persistida no log de auditoria,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JWT stateless;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3780000" cy="23625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3780000" cy="23625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3780000" cy="23625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3780000" cy="23625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3780000" cy="23625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3780000" cy="23625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3780000" cy="23625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3780000" cy="23625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3780000" cy="23625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3780000" cy="23625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3780000" cy="23625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3780000" cy="2362500"/>
                    </a:xfrm>
                    <a:prstGeom prst="rect"/>
                  </pic:spPr>
                </pic:pic>
              </a:graphicData>
            </a:graphic>
          </wp:inline>
        </w:drawing>
      </w:r>
    </w:p>
    <w:p>
      <w:pPr>
        <w:spacing w:before="120" w:after="120"/>
        <w:jc w:val="center"/>
      </w:pPr>
      <w:r>
        <w:rPr>
          <w:rFonts w:ascii="Helvetica" w:hAnsi="Helvetica"/>
          <w:b/>
          <w:i w:val="0"/>
          <w:sz w:val="20"/>
        </w:rPr>
        <w:t>Figura C.6. Wizard de cadastro de projeto.</w:t>
      </w:r>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