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/>
        <w:jc w:val="center"/>
      </w:pPr>
      <w:r>
        <w:rPr>
          <w:rFonts w:ascii="Times New Roman" w:hAnsi="Times New Roman"/>
          <w:b/>
          <w:i w:val="0"/>
          <w:sz w:val="32"/>
        </w:rPr>
        <w:t>ObiOne: um observatório-comunidade de projetos viabilizado por IA Generativa</w:t>
      </w:r>
    </w:p>
    <w:p>
      <w:pPr>
        <w:spacing w:before="0" w:after="240"/>
        <w:jc w:val="center"/>
      </w:pPr>
      <w:r>
        <w:rPr>
          <w:rFonts w:ascii="Times New Roman" w:hAnsi="Times New Roman"/>
          <w:b/>
          <w:i w:val="0"/>
          <w:sz w:val="24"/>
        </w:rPr>
        <w:t>Bruno Rocha, Cynthia Oliveira, Moisés Júnior, Raniel Silva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4"/>
        </w:rPr>
        <w:t>Escola Politécnica de Pernambuco — Universidade de Pernambuco (UPE)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4"/>
        </w:rPr>
        <w:t>Recife — PE — Brasil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sz w:val="24"/>
        </w:rPr>
        <w:t>Orientador: Prof. Ivaldir Honório de Farias Júnior</w:t>
      </w:r>
    </w:p>
    <w:p>
      <w:pPr>
        <w:spacing w:before="120" w:after="120"/>
        <w:jc w:val="center"/>
      </w:pPr>
      <w:r>
        <w:rPr>
          <w:rFonts w:ascii="Courier New" w:hAnsi="Courier New"/>
          <w:b w:val="0"/>
          <w:i w:val="0"/>
          <w:sz w:val="20"/>
        </w:rPr>
        <w:t>{bruno.rocha, cynthia.oliveira, moises.junior, raniel.silva}@upe.br</w:t>
      </w:r>
    </w:p>
    <w:p>
      <w:pPr>
        <w:spacing w:before="120" w:after="120"/>
        <w:ind w:left="454" w:right="454"/>
        <w:jc w:val="both"/>
      </w:pPr>
      <w:r>
        <w:rPr>
          <w:rFonts w:ascii="Times New Roman" w:hAnsi="Times New Roman"/>
          <w:b/>
          <w:i/>
          <w:sz w:val="24"/>
        </w:rPr>
        <w:t xml:space="preserve">Resumo. </w:t>
      </w:r>
      <w:r>
        <w:rPr>
          <w:rFonts w:ascii="Times New Roman" w:hAnsi="Times New Roman"/>
          <w:b w:val="0"/>
          <w:i/>
          <w:sz w:val="24"/>
        </w:rPr>
        <w:t>Consultorias acumulam conhecimento valioso a cada projeto, mas raramente dispõem de um sistema leve o bastante para preservá-lo e reaproveitá-lo entre clientes. Este artigo apresenta o ObiOne, um observatório-comunidade de projetos construído sobre o Modelo de Observatório de Projetos (MPO) e potencializado por IA Generativa. O trabalho segue a Design Science Research: além de construir o artefato, avalia seu funcionamento real (ciclo exercitado de ponta a ponta com IA da OpenAI) e a percepção de valor em um piloto com quatro consultores. Os resultados foram positivos (média 4,48 de 5), com governança e aprendizados como dimensões mais fortes (5,0) e a clareza inicial como único ponto de atenção (3,8). A principal contribuição é a demonstração empírica de que o MPO é implementável com IA generativa em uma consultoria real.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i w:val="0"/>
          <w:sz w:val="26"/>
        </w:rPr>
        <w:t>1. Introdução</w:t>
      </w:r>
    </w:p>
    <w:p>
      <w:pPr>
        <w:spacing w:before="120"/>
        <w:jc w:val="both"/>
      </w:pPr>
      <w:r>
        <w:rPr>
          <w:rFonts w:ascii="Times New Roman" w:hAnsi="Times New Roman"/>
          <w:b w:val="0"/>
          <w:i w:val="0"/>
          <w:sz w:val="24"/>
        </w:rPr>
        <w:t>Em consultorias, o conhecimento produzido em um projeto tende a ficar com quem o viveu. Lições sobre o que deu certo, sobre riscos que se materializaram e sobre decisões que mudaram o rumo do trabalho raramente são capturadas de forma reaproveitável. Revisões sistemáticas sobre gestão do conhecimento mostram que a captura, a análise e a aplicação de lições aprendidas dependem mais de fatores culturais e organizacionais do que de ferramentas (Henz, 2024; Kamudyariwa et al., 2025). O obstáculo prático é o custo: manter um repositório vivo de conhecimento exige um esforço contínuo que poucas consultorias de pequeno e médio porte conseguem sustentar.</w:t>
      </w:r>
    </w:p>
    <w:p>
      <w:pPr>
        <w:spacing w:before="12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Observatórios de projetos são uma resposta a esse problema. São sistemas de informação que apoiam a coleta, a organização, o armazenamento, a análise e a publicação de observações, promovendo transparência (Vieira et al., CISTI). O Modelo de Observatório de Projetos (MPO) consolida essa abordagem em um conjunto de conceitos hierárquicos que orienta a concepção desses sistemas (Vieira, 2022; de Farias Junior et al., 2025). Ferramentas usuais de gestão de projetos registram o que foi feito, mas não capturam o porquê das decisões nem transformam observações em conhecimento compartilhado.</w:t>
      </w:r>
    </w:p>
    <w:p>
      <w:pPr>
        <w:spacing w:before="12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Há duas lacunas. A primeira é técnica e empírica: embora o MPO tenha sido validado conceitualmente e em estudos de caso (de Farias Junior et al., 2025), nenhuma implementação conhecida o operacionaliza com IA generativa. A segunda é comunitária: os observatórios descritos na literatura tratam da organização executora, sem explorar a participação do cliente como ator do ciclo de conhecimento. A IA generativa abriu uma janela de oportunidade ao reduzir o custo de extrair e sintetizar informação textual.</w:t>
      </w:r>
    </w:p>
    <w:p>
      <w:pPr>
        <w:spacing w:before="12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O objetivo do observatório é dar à consultoria um lugar leve para observar seus projetos, conversar sobre o que encontra e consolidar aprendizados reaproveitáveis. O objetivo deste artigo é responder à pergunta: como a IA generativa pode viabilizar um observatório-comunidade de projetos, reduzindo a fricção de manutenção e promovendo o engajamento entre a organização executora e seus clientes? Para isso, apresenta o ObiOne, descreve sua construção e relata uma avaliação de uso e percepção.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i w:val="0"/>
          <w:sz w:val="26"/>
        </w:rPr>
        <w:t>2. Fundamentação Teórica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i w:val="0"/>
          <w:sz w:val="24"/>
        </w:rPr>
        <w:t>2.1. Observatórios de projetos e o MPO</w:t>
      </w:r>
    </w:p>
    <w:p>
      <w:pPr>
        <w:spacing w:before="120"/>
        <w:jc w:val="both"/>
      </w:pPr>
      <w:r>
        <w:rPr>
          <w:rFonts w:ascii="Times New Roman" w:hAnsi="Times New Roman"/>
          <w:b w:val="0"/>
          <w:i w:val="0"/>
          <w:sz w:val="24"/>
        </w:rPr>
        <w:t>Observatórios de projetos são sistemas de informação que sistematizam a transparência por meio da observação (Vieira et al., CISTI). O MPO é um modelo conceitual para esses observatórios, organizado a partir de conceitos estruturados em três níveis, geral, intermediário e específico (de Farias Junior et al., 2025). Sua versão de tese sistematiza atributos de observação no Quadro 37, abrangendo dimensões que vão de dados estruturais do projeto a registros narrativos como escopo, riscos e lições aprendidas (Vieira, 2022).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i w:val="0"/>
          <w:sz w:val="24"/>
        </w:rPr>
        <w:t>2.2. Gestão do conhecimento em projetos</w:t>
      </w:r>
    </w:p>
    <w:p>
      <w:pPr>
        <w:spacing w:before="120"/>
        <w:jc w:val="both"/>
      </w:pPr>
      <w:r>
        <w:rPr>
          <w:rFonts w:ascii="Times New Roman" w:hAnsi="Times New Roman"/>
          <w:b w:val="0"/>
          <w:i w:val="0"/>
          <w:sz w:val="24"/>
        </w:rPr>
        <w:t>A literatura de gestão do conhecimento trata da captura e do reaproveitamento do que se aprende ao longo do trabalho. Revisões recentes apontam que a implementação efetiva depende de cultura, apoio gerencial e melhoria contínua (Henz, 2024), e que em projetos complexos a aprendizagem se sustenta quando a captura, a análise e a aplicação de lições são sistemáticas (Kamudyariwa et al., 2025).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i w:val="0"/>
          <w:sz w:val="24"/>
        </w:rPr>
        <w:t>2.3. IA Generativa como assistente e Design Science Research</w:t>
      </w:r>
    </w:p>
    <w:p>
      <w:pPr>
        <w:spacing w:before="120"/>
        <w:jc w:val="both"/>
      </w:pPr>
      <w:r>
        <w:rPr>
          <w:rFonts w:ascii="Times New Roman" w:hAnsi="Times New Roman"/>
          <w:b w:val="0"/>
          <w:i w:val="0"/>
          <w:sz w:val="24"/>
        </w:rPr>
        <w:t>Modelos de linguagem têm sido estudados como apoio à análise textual. Estudos recentes mostram que a IA acelera a identificação de temas descritivos e reduz o esforço operacional, mas perde nuances que dependem de conhecimento contextual humano (CHI, 2026; medRxiv, 2024). O consenso emergente é o de uma parceria guiada, em que o humano permanece como líder intelectual, princípio conhecido como human-in-the-loop. A construção do ObiOne segue a Design Science Research, que estabelece o artefato como forma legítima de pesquisa (Hevner et al., 2004) e organiza o trabalho em atividades de problema, objetivos, design, demonstração, avaliação e comunicação (Peffers et al., 2007). Ferramentas usuais de gestão capturam o estado das tarefas, mas não o raciocínio das decisões; o MPO e o ObiOne endereçam essa lacuna ao tratar a observação como objeto de primeira classe.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i w:val="0"/>
          <w:sz w:val="26"/>
        </w:rPr>
        <w:t>3. Desenvolvimento do Observatório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i w:val="0"/>
          <w:sz w:val="24"/>
        </w:rPr>
        <w:t>3.1. Contexto, stakeholders e abordagem</w:t>
      </w:r>
    </w:p>
    <w:p>
      <w:pPr>
        <w:spacing w:before="120"/>
        <w:jc w:val="both"/>
      </w:pPr>
      <w:r>
        <w:rPr>
          <w:rFonts w:ascii="Times New Roman" w:hAnsi="Times New Roman"/>
          <w:b w:val="0"/>
          <w:i w:val="0"/>
          <w:sz w:val="24"/>
        </w:rPr>
        <w:t>O estudo de caso é uma consultoria de marketing. Os stakeholders são a consultoria, como organização executora e curadora, e seus clientes, que acessam cada um o próprio projeto. A abordagem é a Design Science Research: por ser uma pergunta de viabilidade, responder exige construir o sistema, colocá-lo em uso e observar o resultado (Hevner et al., 2004; Peffers et al., 2007).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i w:val="0"/>
          <w:sz w:val="24"/>
        </w:rPr>
        <w:t>3.2. Requisitos e rastreabilidade ao MPO</w:t>
      </w:r>
    </w:p>
    <w:p>
      <w:pPr>
        <w:spacing w:before="120"/>
        <w:jc w:val="both"/>
      </w:pPr>
      <w:r>
        <w:rPr>
          <w:rFonts w:ascii="Times New Roman" w:hAnsi="Times New Roman"/>
          <w:b w:val="0"/>
          <w:i w:val="0"/>
          <w:sz w:val="24"/>
        </w:rPr>
        <w:t>A construção partiu de um mapeamento explícito entre requisitos e o MPO, garantindo que o artefato implementasse o modelo. O critério associa cada requisito a uma dimensão ou característica do MPO e à sua materialização no sistema. A Tabela 1 apresenta uma amostra representativa.</w:t>
      </w:r>
    </w:p>
    <w:p>
      <w:pPr>
        <w:spacing w:before="120" w:after="120"/>
        <w:jc w:val="center"/>
      </w:pPr>
      <w:r>
        <w:rPr>
          <w:rFonts w:ascii="Helvetica" w:hAnsi="Helvetica"/>
          <w:b/>
          <w:i w:val="0"/>
          <w:sz w:val="20"/>
        </w:rPr>
        <w:t>Tabela 1. Amostra da rastreabilidade requisito → MPO → implementação.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Requisito (ObiOne)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Âncora no MPO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Implementação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Catálogo de atributos de observação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Quadro 37: 44 atributos em 8 dimensões (Vieira, 2022)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mpo/MpoCatalog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Cobertura de observação por projeto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Característica Abrangência (Vieira, 2022)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GET /projects/{id}/coverage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Governança de acesso por papel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Característica Segurança (Vieira, 2022)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filtro por papel (consultor/cliente)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Registro e acompanhamento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Processos Acompanhar e Avaliar (Vieira, 2022)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ciclo observação → conversa → aprendizado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Consolidação de aprendizados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Transparência e disseminação (de Farias Junior et al., 2025)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comunidade por domínio</w:t>
            </w:r>
          </w:p>
        </w:tc>
      </w:tr>
    </w:tbl>
    <w:p>
      <w:pPr>
        <w:spacing w:before="120"/>
        <w:jc w:val="both"/>
      </w:pPr>
      <w:r>
        <w:rPr>
          <w:rFonts w:ascii="Times New Roman" w:hAnsi="Times New Roman"/>
          <w:b w:val="0"/>
          <w:i w:val="0"/>
          <w:sz w:val="24"/>
        </w:rPr>
        <w:t>A cobertura resultante abrange os 44 atributos do Quadro 37 em 8 dimensões. Trata-se de cobertura arquitetural: o sistema provê os campos e os fluxos correspondentes. A avaliação empírica da qualidade da extração é uma frente prevista no protocolo, ainda não executada (Seção 4.4).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i w:val="0"/>
          <w:sz w:val="24"/>
        </w:rPr>
        <w:t>3.3. Arquitetura e ferramentas</w:t>
      </w:r>
    </w:p>
    <w:p>
      <w:pPr>
        <w:spacing w:before="120"/>
        <w:jc w:val="both"/>
      </w:pPr>
      <w:r>
        <w:rPr>
          <w:rFonts w:ascii="Times New Roman" w:hAnsi="Times New Roman"/>
          <w:b w:val="0"/>
          <w:i w:val="0"/>
          <w:sz w:val="24"/>
        </w:rPr>
        <w:t>O ObiOne é uma aplicação web. O backend usa Java 21 e Spring Boot, com persistência via JPA; o frontend usa React e TanStack Router. O provedor de IA é configurável, com um modo determinístico para testes e o provedor da OpenAI para uso real. Não foram usadas plataformas low-code/no-code: o sistema foi desenvolvido em código, o que deu controle sobre o pipeline de IA e sobre a governança.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i w:val="0"/>
          <w:sz w:val="24"/>
        </w:rPr>
        <w:t>3.4. Pipeline de IA, governança e ciclo</w:t>
      </w:r>
    </w:p>
    <w:p>
      <w:pPr>
        <w:spacing w:before="120"/>
        <w:jc w:val="both"/>
      </w:pPr>
      <w:r>
        <w:rPr>
          <w:rFonts w:ascii="Times New Roman" w:hAnsi="Times New Roman"/>
          <w:b w:val="0"/>
          <w:i w:val="0"/>
          <w:sz w:val="24"/>
        </w:rPr>
        <w:t>A IA atua em quatro papéis assistivos. A Observadora sugere observações ancoradas na gramática do MPO; a Sintetizadora consolida conversas em aprendizados; a Configuradora apoia o cadastro e a categorização de domínio; a Consultora apoia a leitura do portfólio. Cada sugestão é registrada com proveniência e indicação de aceite, permitindo auditar o uso da IA.</w:t>
      </w:r>
    </w:p>
    <w:p>
      <w:pPr>
        <w:spacing w:before="12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O acesso é semi-aberto: a consultoria enxerga todo o portfólio e conduz a curadoria; cada cliente acessa apenas o seu projeto e participa das conversas. As mutações são restritas a consultor e administrador. Uma decisão central, e não óbvia, é a de que a IA nunca publica sozinha: ela sugere, e o consultor revisa e decide. A escolha pelo human-in-the-loop preserva a responsabilidade humana, dá rastreabilidade às sugestões e protege contra a dependência tecnológica (CHI, 2026; medRxiv, 2024). O fluxo central conecta cadastro assistido, registro de observações, conversa na comunidade e consolidação de aprendizados, com um feed que reflete a atividade.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i w:val="0"/>
          <w:sz w:val="26"/>
        </w:rPr>
        <w:t>4. Resultados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i w:val="0"/>
          <w:sz w:val="24"/>
        </w:rPr>
        <w:t>4.1. Viabilidade técnica</w:t>
      </w:r>
    </w:p>
    <w:p>
      <w:pPr>
        <w:spacing w:before="120"/>
        <w:jc w:val="both"/>
      </w:pPr>
      <w:r>
        <w:rPr>
          <w:rFonts w:ascii="Times New Roman" w:hAnsi="Times New Roman"/>
          <w:b w:val="0"/>
          <w:i w:val="0"/>
          <w:sz w:val="24"/>
        </w:rPr>
        <w:t>Em junho de 2026, o ciclo foi exercitado de ponta a ponta com a IA da OpenAI e dados de simulação. As quatro frentes assistivas operaram de forma integrada: cadastro, sugestão de observações priorizadas pelos riscos declarados, aceite pelo consultor, alimentação da cobertura, conversa com participação do cliente e atualização do feed. A governança por papel foi confirmada na interface.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i w:val="0"/>
          <w:sz w:val="24"/>
        </w:rPr>
        <w:t>4.2. Percepção de valor (piloto, N=4)</w:t>
      </w:r>
    </w:p>
    <w:p>
      <w:pPr>
        <w:spacing w:before="120"/>
        <w:jc w:val="both"/>
      </w:pPr>
      <w:r>
        <w:rPr>
          <w:rFonts w:ascii="Times New Roman" w:hAnsi="Times New Roman"/>
          <w:b w:val="0"/>
          <w:i w:val="0"/>
          <w:sz w:val="24"/>
        </w:rPr>
        <w:t>Participaram quatro consultores, com uso atual de Trello (dois dos quatro), planilhas e outra ferramenta; a familiaridade com gestão de projetos era de um participante em nível alto e três em nível médio. A média geral foi 4,48 de 5, com 44 de 48 respostas nas notas 4 ou 5 e 29 de 48 nas notas máximas. A Tabela 2 apresenta as médias por dimensão.</w:t>
      </w:r>
    </w:p>
    <w:p>
      <w:pPr>
        <w:spacing w:before="120" w:after="120"/>
        <w:jc w:val="center"/>
      </w:pPr>
      <w:r>
        <w:rPr>
          <w:rFonts w:ascii="Helvetica" w:hAnsi="Helvetica"/>
          <w:b/>
          <w:i w:val="0"/>
          <w:sz w:val="20"/>
        </w:rPr>
        <w:t>Tabela 2. Médias por dimensão (escala 1 a 5, N=4).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Dimensão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Média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Dimensão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Média</w:t>
            </w:r>
          </w:p>
        </w:tc>
      </w:tr>
      <w:tr>
        <w:tc>
          <w:tcPr>
            <w:tcW w:type="dxa" w:w="2126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Aprendizados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5,0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Usabilidade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4,5</w:t>
            </w:r>
          </w:p>
        </w:tc>
      </w:tr>
      <w:tr>
        <w:tc>
          <w:tcPr>
            <w:tcW w:type="dxa" w:w="2126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Governança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5,0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Diferenciação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4,3</w:t>
            </w:r>
          </w:p>
        </w:tc>
      </w:tr>
      <w:tr>
        <w:tc>
          <w:tcPr>
            <w:tcW w:type="dxa" w:w="2126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Organização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4,8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Portfólio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4,3</w:t>
            </w:r>
          </w:p>
        </w:tc>
      </w:tr>
      <w:tr>
        <w:tc>
          <w:tcPr>
            <w:tcW w:type="dxa" w:w="2126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Conteúdo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4,8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Intenção de uso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4,3</w:t>
            </w:r>
          </w:p>
        </w:tc>
      </w:tr>
      <w:tr>
        <w:tc>
          <w:tcPr>
            <w:tcW w:type="dxa" w:w="2126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Comunidade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4,8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Ciclo de conhecimento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4,0</w:t>
            </w:r>
          </w:p>
        </w:tc>
      </w:tr>
      <w:tr>
        <w:tc>
          <w:tcPr>
            <w:tcW w:type="dxa" w:w="2126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IA assistiva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4,5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Clareza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3,8</w:t>
            </w:r>
          </w:p>
        </w:tc>
      </w:tr>
    </w:tbl>
    <w:p>
      <w:pPr>
        <w:spacing w:before="120"/>
        <w:jc w:val="both"/>
      </w:pPr>
      <w:r>
        <w:rPr>
          <w:rFonts w:ascii="Times New Roman" w:hAnsi="Times New Roman"/>
          <w:b w:val="0"/>
          <w:i w:val="0"/>
          <w:sz w:val="24"/>
        </w:rPr>
        <w:t>As dimensões mais bem avaliadas foram governança e aprendizados, ambas 5,0, seguidas por organização, conteúdo e comunidade. O padrão é consistente com a tese: o valor percebido se concentra no que a comunidade produz e governa, não nas funcionalidades de IA isoladamente, que receberam 4,5. Nas respostas abertas, um participante destacou que as diversas pontas do trabalho ficam conectadas no mesmo lugar, e a conversa em comunidade foi apontada como diferencial.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i w:val="0"/>
          <w:sz w:val="24"/>
        </w:rPr>
        <w:t>4.3. Benefícios esperados</w:t>
      </w:r>
    </w:p>
    <w:p>
      <w:pPr>
        <w:spacing w:before="120"/>
        <w:jc w:val="both"/>
      </w:pPr>
      <w:r>
        <w:rPr>
          <w:rFonts w:ascii="Times New Roman" w:hAnsi="Times New Roman"/>
          <w:b w:val="0"/>
          <w:i w:val="0"/>
          <w:sz w:val="24"/>
        </w:rPr>
        <w:t>Os resultados indicam três benefícios esperados: redução do custo de manter o conhecimento vivo entre projetos; aumento do engajamento entre consultoria e clientes pela conversa sobre as observações; e reaproveitamento de aprendizados consolidados em novos projetos do mesmo domínio.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i w:val="0"/>
          <w:sz w:val="24"/>
        </w:rPr>
        <w:t>4.4. Limitações</w:t>
      </w:r>
    </w:p>
    <w:p>
      <w:pPr>
        <w:spacing w:before="120"/>
        <w:jc w:val="both"/>
      </w:pPr>
      <w:r>
        <w:rPr>
          <w:rFonts w:ascii="Times New Roman" w:hAnsi="Times New Roman"/>
          <w:b w:val="0"/>
          <w:i w:val="0"/>
          <w:sz w:val="24"/>
        </w:rPr>
        <w:t>O piloto tem quatro participantes de uma mesma consultoria; os resultados são reportados como casos, sem inferência estatística. A clareza inicial foi a única dimensão abaixo de 4,0 (3,8): as respostas indicaram dúvida sobre o objetivo do sistema e sobre o conceito de comunidades. Como ação corretiva, foi adicionado um onboarding de primeiro acesso. A avaliação da qualidade da extração dos atributos do MPO, prevista no protocolo, ainda não foi executada.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i w:val="0"/>
          <w:sz w:val="26"/>
        </w:rPr>
        <w:t>5. Discussão e Lições Aprendidas</w:t>
      </w:r>
    </w:p>
    <w:p>
      <w:pPr>
        <w:spacing w:before="120"/>
        <w:jc w:val="both"/>
      </w:pPr>
      <w:r>
        <w:rPr>
          <w:rFonts w:ascii="Times New Roman" w:hAnsi="Times New Roman"/>
          <w:b w:val="0"/>
          <w:i w:val="0"/>
          <w:sz w:val="24"/>
        </w:rPr>
        <w:t>Os resultados confirmam o MPO como base válida e mostram que ele é implementável com IA generativa a um custo viável para uma consultoria de pequeno e médio porte. Estudos anteriores avaliaram o modelo conceitualmente e em casos (de Farias Junior et al., 2025); o ObiOne acrescenta uma implementação operacional com IA. A IA reduz a fricção de iniciar o ciclo; à objeção de que criaria dependência, o desenho responde com o human-in-the-loop, e os dados respondem com a evidência de que o valor percebido se concentra na comunidade.</w:t>
      </w:r>
    </w:p>
    <w:p>
      <w:pPr>
        <w:spacing w:before="12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Como decisões arquiteturais, destacam-se a IA estritamente assistiva e a governança por papel, que viabiliza o acesso semi-aberto com isolamento entre clientes. Entre vantagens e limitações das ferramentas, o desenvolvimento em código deu controle sobre o pipeline e a governança, ao custo de mais esforço do que uma abordagem low-code. A experiência de uso do MPO mostrou que traduzir 44 atributos em uma interface sem jargão é mais difícil do que implementá-los.</w:t>
      </w:r>
    </w:p>
    <w:p>
      <w:pPr>
        <w:spacing w:before="12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Quanto aos aprendizados da equipe, no plano operacional o escopo amplo frente ao prazo exigiu disciplina de cronograma e trabalho de preparação de dados e integração contínua, com deslizes de data corrigidos ao longo do projeto. No plano técnico, os principais desafios foram a integração da IA, a configuração de acesso remoto para validação e a manutenção do ambiente. No plano conceitual, entender o MPO em profundidade foi determinante. No plano de equipe, coordenar quatro integrantes e integrar frentes de extração, frontend, avaliação e escrita exigiu comunicação constante.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i w:val="0"/>
          <w:sz w:val="26"/>
        </w:rPr>
        <w:t>6. Conclusão</w:t>
      </w:r>
    </w:p>
    <w:p>
      <w:pPr>
        <w:spacing w:before="120"/>
        <w:jc w:val="both"/>
      </w:pPr>
      <w:r>
        <w:rPr>
          <w:rFonts w:ascii="Times New Roman" w:hAnsi="Times New Roman"/>
          <w:b w:val="0"/>
          <w:i w:val="0"/>
          <w:sz w:val="24"/>
        </w:rPr>
        <w:t>O custo de manter um observatório de projetos caiu com a IA generativa, mas o diferencial de valor é a comunidade, e isso não é substituível por tecnologia. Como síntese da experiência, o ObiOne demonstra empiricamente que o MPO é implementável com IA generativa em uma consultoria real, e que a participação de consultoria e clientes em um ciclo comum de conhecimento distingue o observatório de uma ferramenta de gestão.</w:t>
      </w:r>
    </w:p>
    <w:p>
      <w:pPr>
        <w:spacing w:before="12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A principal contribuição é essa demonstração empírica. Como evoluções futuras, destacam-se ampliar a validação com mais participantes e domínios; avaliar o impacto da IA na qualidade dos aprendizados, e não apenas na redução de fricção; e explorar a síntese cross-projeto, que reconhece padrões entre clientes e ficou fora do escopo deste estudo.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i w:val="0"/>
          <w:sz w:val="26"/>
        </w:rPr>
        <w:t>Referências</w:t>
      </w:r>
    </w:p>
    <w:p>
      <w:pPr>
        <w:spacing w:after="120"/>
        <w:ind w:left="720" w:hanging="720"/>
        <w:jc w:val="both"/>
      </w:pPr>
      <w:r>
        <w:rPr>
          <w:rFonts w:ascii="Times New Roman" w:hAnsi="Times New Roman"/>
          <w:b w:val="0"/>
          <w:i w:val="0"/>
          <w:sz w:val="24"/>
        </w:rPr>
        <w:t>de Farias Junior, I. H., Vieira, J. K. M., de Moura, H. P. and Sampaio, L. T. (2025) "A Conceptual Model for Project Observatories", IEEE Access, v. 13. DOI: 10.1109/ACCESS.2025.3589743.</w:t>
      </w:r>
    </w:p>
    <w:p>
      <w:pPr>
        <w:spacing w:after="120"/>
        <w:ind w:left="720" w:hanging="720"/>
        <w:jc w:val="both"/>
      </w:pPr>
      <w:r>
        <w:rPr>
          <w:rFonts w:ascii="Times New Roman" w:hAnsi="Times New Roman"/>
          <w:b w:val="0"/>
          <w:i w:val="0"/>
          <w:sz w:val="24"/>
        </w:rPr>
        <w:t>Henz, P. (2024) "Knowledge management implementation: A systematic literature review", Knowledge and Process Management. DOI: 10.1002/kpm.1780.</w:t>
      </w:r>
    </w:p>
    <w:p>
      <w:pPr>
        <w:spacing w:after="120"/>
        <w:ind w:left="720" w:hanging="720"/>
        <w:jc w:val="both"/>
      </w:pPr>
      <w:r>
        <w:rPr>
          <w:rFonts w:ascii="Times New Roman" w:hAnsi="Times New Roman"/>
          <w:b w:val="0"/>
          <w:i w:val="0"/>
          <w:sz w:val="24"/>
        </w:rPr>
        <w:t>Hevner, A. R., March, S. T., Park, J. and Ram, S. (2004) "Design Science in Information Systems Research", MIS Quarterly, v. 28, n. 1, p. 75-106. DOI: 10.2307/25148625.</w:t>
      </w:r>
    </w:p>
    <w:p>
      <w:pPr>
        <w:spacing w:after="120"/>
        <w:ind w:left="720" w:hanging="720"/>
        <w:jc w:val="both"/>
      </w:pPr>
      <w:r>
        <w:rPr>
          <w:rFonts w:ascii="Times New Roman" w:hAnsi="Times New Roman"/>
          <w:b w:val="0"/>
          <w:i w:val="0"/>
          <w:sz w:val="24"/>
        </w:rPr>
        <w:t>Kamudyariwa, X. B., Osobajo, O. A., Oke, A. and Adebayo, Y. (2025) "Application of the systemic lessons learned knowledge model to learning in complex projects". DOI: 10.1177/13505076251339433.</w:t>
      </w:r>
    </w:p>
    <w:p>
      <w:pPr>
        <w:spacing w:after="120"/>
        <w:ind w:left="720" w:hanging="720"/>
        <w:jc w:val="both"/>
      </w:pPr>
      <w:r>
        <w:rPr>
          <w:rFonts w:ascii="Times New Roman" w:hAnsi="Times New Roman"/>
          <w:b w:val="0"/>
          <w:i w:val="0"/>
          <w:sz w:val="24"/>
        </w:rPr>
        <w:t>Peffers, K., Tuunanen, T., Rothenberger, M. A. and Chatterjee, S. (2007) "A Design Science Research Methodology for Information Systems Research", Journal of Management Information Systems, v. 24, n. 3, p. 45-77. DOI: 10.2753/MIS0742-1222240302.</w:t>
      </w:r>
    </w:p>
    <w:p>
      <w:pPr>
        <w:spacing w:after="120"/>
        <w:ind w:left="720" w:hanging="720"/>
        <w:jc w:val="both"/>
      </w:pPr>
      <w:r>
        <w:rPr>
          <w:rFonts w:ascii="Times New Roman" w:hAnsi="Times New Roman"/>
          <w:b w:val="0"/>
          <w:i w:val="0"/>
          <w:sz w:val="24"/>
        </w:rPr>
        <w:t>"Generative AI for Thematic Analysis in a Maternal Health Study: Coding Semi-structured Interviews using Large Language Models" (2024), medRxiv (preprint). DOI: 10.1101/2024.09.16.24313707.</w:t>
      </w:r>
    </w:p>
    <w:p>
      <w:pPr>
        <w:spacing w:after="120"/>
        <w:ind w:left="720" w:hanging="720"/>
        <w:jc w:val="both"/>
      </w:pPr>
      <w:r>
        <w:rPr>
          <w:rFonts w:ascii="Times New Roman" w:hAnsi="Times New Roman"/>
          <w:b w:val="0"/>
          <w:i w:val="0"/>
          <w:sz w:val="24"/>
        </w:rPr>
        <w:t>"Qualitative Coding Analysis through Open-Source Large Language Models: A User Study and Design Recommendations" (2026), In: CHI Conference on Human Factors in Computing Systems, Extended Abstracts. DOI: 10.1145/3772363.3798320.</w:t>
      </w:r>
    </w:p>
    <w:p>
      <w:pPr>
        <w:spacing w:after="120"/>
        <w:ind w:left="720" w:hanging="720"/>
        <w:jc w:val="both"/>
      </w:pPr>
      <w:r>
        <w:rPr>
          <w:rFonts w:ascii="Times New Roman" w:hAnsi="Times New Roman"/>
          <w:b w:val="0"/>
          <w:i w:val="0"/>
          <w:sz w:val="24"/>
        </w:rPr>
        <w:t>Vieira, J. K. M. (2022) "Observatórios de Projetos: Um Modelo Conceitual", Tese de Doutorado, Centro de Informática, Universidade Federal de Pernambuco, Recife.</w:t>
      </w:r>
    </w:p>
    <w:p>
      <w:pPr>
        <w:spacing w:after="120"/>
        <w:ind w:left="720" w:hanging="720"/>
        <w:jc w:val="both"/>
      </w:pPr>
      <w:r>
        <w:rPr>
          <w:rFonts w:ascii="Times New Roman" w:hAnsi="Times New Roman"/>
          <w:b w:val="0"/>
          <w:i w:val="0"/>
          <w:sz w:val="24"/>
        </w:rPr>
        <w:t>Vieira, J. K. M., de Farias Junior, I. H. and de Moura, H. P. "Observatories as Transparency Instruments for Projects", In: Conferência Ibérica de Sistemas e Tecnologias de Informação (CISTI).</w:t>
      </w:r>
    </w:p>
    <w:p>
      <w:pPr>
        <w:spacing w:after="120"/>
        <w:ind w:left="720" w:hanging="720"/>
        <w:jc w:val="both"/>
      </w:pPr>
      <w:r>
        <w:rPr>
          <w:rFonts w:ascii="Times New Roman" w:hAnsi="Times New Roman"/>
          <w:b w:val="0"/>
          <w:i w:val="0"/>
          <w:sz w:val="24"/>
        </w:rPr>
        <w:t>Vieira, J. K. M., de Farias Junior, I. H. and de Moura, H. P. "Utilization of a Conceptual Model in Projects Observatories Development: A Case Study".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i w:val="0"/>
          <w:sz w:val="26"/>
        </w:rPr>
        <w:t>Apêndices</w:t>
      </w:r>
    </w:p>
    <w:p>
      <w:pPr>
        <w:spacing w:before="120"/>
        <w:jc w:val="both"/>
      </w:pPr>
      <w:r>
        <w:rPr>
          <w:rFonts w:ascii="Times New Roman" w:hAnsi="Times New Roman"/>
          <w:b w:val="0"/>
          <w:i w:val="0"/>
          <w:sz w:val="24"/>
        </w:rPr>
        <w:t>O material completo do projeto (requisitos, código do backend e do frontend, arquitetura, protocolo de avaliação e telas) está disponível no repositório do ObiOne no GitHub:</w:t>
      </w:r>
    </w:p>
    <w:p>
      <w:pPr>
        <w:spacing w:before="12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Repositório: https://github.com/raniel90/obione</w:t>
      </w:r>
    </w:p>
    <w:p>
      <w:pPr>
        <w:spacing w:before="12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Requisitos: https://github.com/raniel90/obione/blob/main/atividades/requisitos.md</w:t>
      </w:r>
    </w:p>
    <w:p>
      <w:pPr>
        <w:spacing w:before="12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Código (backend e frontend): https://github.com/raniel90/obione/tree/main</w:t>
      </w:r>
    </w:p>
    <w:p>
      <w:pPr>
        <w:spacing w:before="12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Arquitetura e protocolo de avaliação: https://github.com/raniel90/obione/tree/main/atividades</w:t>
      </w:r>
    </w:p>
    <w:sectPr w:rsidR="00FC693F" w:rsidRPr="0006063C" w:rsidSect="00034616">
      <w:pgSz w:w="11906" w:h="16838"/>
      <w:pgMar w:top="1984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