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3B1EF">
      <w:pPr>
        <w:pStyle w:val="2"/>
        <w:keepNext w:val="0"/>
        <w:keepLines w:val="0"/>
        <w:widowControl/>
        <w:suppressLineNumbers w:val="0"/>
        <w:jc w:val="both"/>
      </w:pPr>
    </w:p>
    <w:p w14:paraId="536DAB1B">
      <w:pPr>
        <w:pStyle w:val="2"/>
        <w:keepNext w:val="0"/>
        <w:keepLines w:val="0"/>
        <w:widowControl/>
        <w:suppressLineNumbers w:val="0"/>
        <w:jc w:val="both"/>
      </w:pPr>
      <w:r>
        <w:t>Pourquoi faire l’EDA sur le train ?</w:t>
      </w:r>
    </w:p>
    <w:p w14:paraId="2337693D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Découverte des caractéristiques</w:t>
      </w:r>
    </w:p>
    <w:p w14:paraId="5409BE8E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 xml:space="preserve">L’EDA sert à comprendre la </w:t>
      </w:r>
      <w:r>
        <w:rPr>
          <w:rStyle w:val="7"/>
        </w:rPr>
        <w:t>structure, la tendance, la saisonnalité et la volatilité</w:t>
      </w:r>
      <w:r>
        <w:t xml:space="preserve"> de la série.</w:t>
      </w:r>
    </w:p>
    <w:p w14:paraId="116ED1B6">
      <w:pPr>
        <w:pStyle w:val="8"/>
        <w:keepNext w:val="0"/>
        <w:keepLines w:val="0"/>
        <w:widowControl/>
        <w:suppressLineNumbers w:val="0"/>
        <w:ind w:left="1440"/>
        <w:jc w:val="both"/>
        <w:rPr>
          <w:rFonts w:hint="default"/>
          <w:lang w:val="fr-FR"/>
        </w:rPr>
      </w:pPr>
      <w:r>
        <w:t xml:space="preserve">L’échantillon d’entraînement contient </w:t>
      </w:r>
      <w:r>
        <w:rPr>
          <w:rStyle w:val="7"/>
        </w:rPr>
        <w:t>90 % des données</w:t>
      </w:r>
      <w:r>
        <w:t>, donc il est représentatif</w:t>
      </w:r>
      <w:r>
        <w:rPr>
          <w:rFonts w:hint="default"/>
          <w:lang w:val="fr-FR"/>
        </w:rPr>
        <w:t>.</w:t>
      </w:r>
    </w:p>
    <w:p w14:paraId="7E748B28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Éviter les fuites de données (data leakage)</w:t>
      </w:r>
    </w:p>
    <w:p w14:paraId="1DA35FF4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Si tu explores ou transforme le test (par exemple détecte et retire des outliers sur tout le dataset), tu risques d’utiliser des informations du futur.</w:t>
      </w:r>
    </w:p>
    <w:p w14:paraId="50D03A3C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Cela peut biaiser la modélisation et l’évaluation.</w:t>
      </w:r>
    </w:p>
    <w:p w14:paraId="06B65757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Décisions de transformation</w:t>
      </w:r>
    </w:p>
    <w:p w14:paraId="38056135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Les choix de transformation (log, différenciation, normalisation) doivent être basés uniquement sur le train.</w:t>
      </w:r>
    </w:p>
    <w:p w14:paraId="4ED4D9F9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On applique ensuite ces mêmes transformations au test.</w:t>
      </w:r>
    </w:p>
    <w:p w14:paraId="18633F39">
      <w:pPr>
        <w:jc w:val="both"/>
      </w:pPr>
    </w:p>
    <w:p w14:paraId="3C3522FC">
      <w:pPr>
        <w:jc w:val="both"/>
      </w:pPr>
    </w:p>
    <w:p w14:paraId="3F7638B3">
      <w:pPr>
        <w:pStyle w:val="8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982970" cy="2103755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/>
                    </pic:cNvPicPr>
                  </pic:nvPicPr>
                  <pic:blipFill>
                    <a:blip r:embed="rId4"/>
                    <a:srcRect t="1524" b="49941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6793">
      <w:pPr>
        <w:pStyle w:val="3"/>
        <w:keepNext w:val="0"/>
        <w:keepLines w:val="0"/>
        <w:widowControl/>
        <w:suppressLineNumbers w:val="0"/>
        <w:jc w:val="both"/>
      </w:pPr>
      <w:r>
        <w:t xml:space="preserve">🛢️ </w:t>
      </w:r>
      <w:r>
        <w:rPr>
          <w:rStyle w:val="7"/>
          <w:b/>
          <w:bCs/>
        </w:rPr>
        <w:t>1. Pétrole brut (WTI)</w:t>
      </w:r>
    </w:p>
    <w:p w14:paraId="69308FBB">
      <w:pPr>
        <w:pStyle w:val="4"/>
        <w:keepNext w:val="0"/>
        <w:keepLines w:val="0"/>
        <w:widowControl/>
        <w:suppressLineNumbers w:val="0"/>
        <w:jc w:val="both"/>
      </w:pPr>
      <w:r>
        <w:t xml:space="preserve">🔹 </w:t>
      </w:r>
      <w:r>
        <w:rPr>
          <w:rStyle w:val="7"/>
          <w:b/>
          <w:bCs/>
        </w:rPr>
        <w:t>Tendance générale</w:t>
      </w:r>
    </w:p>
    <w:p w14:paraId="7B552E60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2015 – 2019</w:t>
      </w:r>
      <w:r>
        <w:t xml:space="preserve"> : légère tendance </w:t>
      </w:r>
      <w:r>
        <w:rPr>
          <w:rStyle w:val="7"/>
        </w:rPr>
        <w:t>haussière</w:t>
      </w:r>
      <w:r>
        <w:t xml:space="preserve"> après une chute initiale (reprise progressive du marché pétrolier).</w:t>
      </w:r>
    </w:p>
    <w:p w14:paraId="4BF37C04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2020</w:t>
      </w:r>
      <w:r>
        <w:t xml:space="preserve"> : forte </w:t>
      </w:r>
      <w:r>
        <w:rPr>
          <w:rStyle w:val="7"/>
        </w:rPr>
        <w:t>baisse brutale</w:t>
      </w:r>
      <w:r>
        <w:t xml:space="preserve"> autour de la pandémie COVID-19 → effondrement historique du prix du baril.</w:t>
      </w:r>
    </w:p>
    <w:p w14:paraId="71F186B6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2021 – 2022</w:t>
      </w:r>
      <w:r>
        <w:t xml:space="preserve"> : forte </w:t>
      </w:r>
      <w:r>
        <w:rPr>
          <w:rStyle w:val="7"/>
        </w:rPr>
        <w:t>hausse</w:t>
      </w:r>
      <w:r>
        <w:t xml:space="preserve"> (reprise économique mondiale + tensions géopolitiques, notamment guerre en Ukraine).</w:t>
      </w:r>
    </w:p>
    <w:p w14:paraId="288D08A7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2023 – 2025</w:t>
      </w:r>
      <w:r>
        <w:t xml:space="preserve"> : tendance </w:t>
      </w:r>
      <w:r>
        <w:rPr>
          <w:rStyle w:val="7"/>
        </w:rPr>
        <w:t>légèrement baissière ou stable</w:t>
      </w:r>
      <w:r>
        <w:t>, les prix se stabilisent autour de 70–80 USD.</w:t>
      </w:r>
    </w:p>
    <w:p w14:paraId="2F9473E3">
      <w:pPr>
        <w:pStyle w:val="4"/>
        <w:keepNext w:val="0"/>
        <w:keepLines w:val="0"/>
        <w:widowControl/>
        <w:suppressLineNumbers w:val="0"/>
        <w:jc w:val="both"/>
      </w:pPr>
      <w:r>
        <w:t xml:space="preserve">🔹 </w:t>
      </w:r>
      <w:r>
        <w:rPr>
          <w:rStyle w:val="7"/>
          <w:b/>
          <w:bCs/>
        </w:rPr>
        <w:t>Saisonnalité</w:t>
      </w:r>
    </w:p>
    <w:p w14:paraId="44222430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Aucune </w:t>
      </w:r>
      <w:r>
        <w:rPr>
          <w:rStyle w:val="7"/>
        </w:rPr>
        <w:t>saisonnalité régulière</w:t>
      </w:r>
      <w:r>
        <w:t xml:space="preserve"> nette n’est visible à l’œil nu.</w:t>
      </w:r>
      <w:r>
        <w:br w:type="textWrapping"/>
      </w:r>
      <w:r>
        <w:t xml:space="preserve">Cependant, on observe souvent de </w:t>
      </w:r>
      <w:r>
        <w:rPr>
          <w:rStyle w:val="7"/>
        </w:rPr>
        <w:t>petites fluctuations cycliques</w:t>
      </w:r>
      <w:r>
        <w:t xml:space="preserve"> (hausse en hiver, baisse en été) typiques des cycles de consommation énergétique, mais ici le bruit et les chocs macroéconomiques dominent ces effets.</w:t>
      </w:r>
    </w:p>
    <w:p w14:paraId="3F0341AF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fr-FR"/>
        </w:rPr>
      </w:pPr>
      <w:r>
        <w:t xml:space="preserve">🔹 </w:t>
      </w:r>
      <w:r>
        <w:rPr>
          <w:rStyle w:val="7"/>
          <w:b/>
          <w:bCs/>
        </w:rPr>
        <w:t>Anomalie</w:t>
      </w:r>
      <w:r>
        <w:rPr>
          <w:rStyle w:val="7"/>
          <w:rFonts w:hint="default"/>
          <w:b/>
          <w:bCs/>
          <w:lang w:val="fr-FR"/>
        </w:rPr>
        <w:t>s</w:t>
      </w:r>
    </w:p>
    <w:p w14:paraId="7D73D920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Pics brusques</w:t>
      </w:r>
      <w:r>
        <w:t xml:space="preserve"> visibles vers </w:t>
      </w:r>
      <w:r>
        <w:rPr>
          <w:rStyle w:val="7"/>
        </w:rPr>
        <w:t>2016</w:t>
      </w:r>
      <w:r>
        <w:t xml:space="preserve"> et </w:t>
      </w:r>
      <w:r>
        <w:rPr>
          <w:rStyle w:val="7"/>
        </w:rPr>
        <w:t>2022</w:t>
      </w:r>
      <w:r>
        <w:t>, probablement dus à :</w:t>
      </w:r>
    </w:p>
    <w:p w14:paraId="03A97D01">
      <w:pPr>
        <w:pStyle w:val="8"/>
        <w:keepNext w:val="0"/>
        <w:keepLines w:val="0"/>
        <w:widowControl/>
        <w:suppressLineNumbers w:val="0"/>
        <w:ind w:left="1440"/>
        <w:jc w:val="both"/>
      </w:pPr>
      <w:r>
        <w:rPr>
          <w:rStyle w:val="7"/>
        </w:rPr>
        <w:t>Chocs d’offre</w:t>
      </w:r>
      <w:r>
        <w:t xml:space="preserve"> (conflits, décisions de l’OPEP).</w:t>
      </w:r>
    </w:p>
    <w:p w14:paraId="648F5756">
      <w:pPr>
        <w:pStyle w:val="8"/>
        <w:keepNext w:val="0"/>
        <w:keepLines w:val="0"/>
        <w:widowControl/>
        <w:suppressLineNumbers w:val="0"/>
        <w:ind w:left="1440"/>
        <w:jc w:val="both"/>
      </w:pPr>
      <w:r>
        <w:rPr>
          <w:rStyle w:val="7"/>
        </w:rPr>
        <w:t>Chocs de demande</w:t>
      </w:r>
      <w:r>
        <w:t xml:space="preserve"> (COVID-19).</w:t>
      </w:r>
    </w:p>
    <w:p w14:paraId="5E6E6FDF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Valeurs extrêmes</w:t>
      </w:r>
      <w:r>
        <w:t xml:space="preserve"> en 2020 : certaines données montrent même des prix négatifs (lors du krach pétrolier).</w:t>
      </w:r>
    </w:p>
    <w:p w14:paraId="325439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both"/>
      </w:pPr>
    </w:p>
    <w:p w14:paraId="151B7644">
      <w:pPr>
        <w:keepNext w:val="0"/>
        <w:keepLines w:val="0"/>
        <w:widowControl/>
        <w:suppressLineNumbers w:val="0"/>
        <w:jc w:val="both"/>
      </w:pPr>
      <w:r>
        <w:pict>
          <v:rect id="_x0000_i1025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60CD7">
      <w:pPr>
        <w:pStyle w:val="3"/>
        <w:keepNext w:val="0"/>
        <w:keepLines w:val="0"/>
        <w:widowControl/>
        <w:suppressLineNumbers w:val="0"/>
        <w:jc w:val="both"/>
      </w:pPr>
      <w:r>
        <w:t xml:space="preserve">🔥 </w:t>
      </w:r>
      <w:r>
        <w:rPr>
          <w:rStyle w:val="7"/>
          <w:b/>
          <w:bCs/>
        </w:rPr>
        <w:t>2. Gaz naturel (UNG)</w:t>
      </w:r>
    </w:p>
    <w:p w14:paraId="00B55E4C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fr-FR"/>
        </w:rPr>
      </w:pPr>
      <w:r>
        <w:t xml:space="preserve">🔹 </w:t>
      </w:r>
      <w:r>
        <w:rPr>
          <w:rStyle w:val="7"/>
          <w:b/>
          <w:bCs/>
        </w:rPr>
        <w:t>Tendance général</w:t>
      </w:r>
      <w:r>
        <w:rPr>
          <w:rStyle w:val="7"/>
          <w:rFonts w:hint="default"/>
          <w:b/>
          <w:bCs/>
          <w:lang w:val="fr-FR"/>
        </w:rPr>
        <w:t>e</w:t>
      </w:r>
    </w:p>
    <w:p w14:paraId="1D5579DC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2014 – 2018</w:t>
      </w:r>
      <w:r>
        <w:t xml:space="preserve"> : forte </w:t>
      </w:r>
      <w:r>
        <w:rPr>
          <w:rStyle w:val="7"/>
        </w:rPr>
        <w:t>tendance baissière</w:t>
      </w:r>
      <w:r>
        <w:t>, due à la surproduction américaine (boom du gaz de schiste).</w:t>
      </w:r>
    </w:p>
    <w:p w14:paraId="3882BB8E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2019 – 2021</w:t>
      </w:r>
      <w:r>
        <w:t xml:space="preserve"> : relative </w:t>
      </w:r>
      <w:r>
        <w:rPr>
          <w:rStyle w:val="7"/>
        </w:rPr>
        <w:t>stagnation</w:t>
      </w:r>
      <w:r>
        <w:t>, autour de 100 USD.</w:t>
      </w:r>
    </w:p>
    <w:p w14:paraId="28369F16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2021 – 2022</w:t>
      </w:r>
      <w:r>
        <w:t xml:space="preserve"> : </w:t>
      </w:r>
      <w:r>
        <w:rPr>
          <w:rStyle w:val="7"/>
        </w:rPr>
        <w:t>hausse marquée</w:t>
      </w:r>
      <w:r>
        <w:t xml:space="preserve"> (crise énergétique mondiale et tensions géopolitiques).</w:t>
      </w:r>
    </w:p>
    <w:p w14:paraId="1CE756CB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2023 – 2025</w:t>
      </w:r>
      <w:r>
        <w:t xml:space="preserve"> : </w:t>
      </w:r>
      <w:r>
        <w:rPr>
          <w:rStyle w:val="7"/>
        </w:rPr>
        <w:t>reflux important</w:t>
      </w:r>
      <w:r>
        <w:t xml:space="preserve"> → retour à des niveaux bas avec stabilisation.</w:t>
      </w:r>
    </w:p>
    <w:p w14:paraId="2890F1A8">
      <w:pPr>
        <w:pStyle w:val="4"/>
        <w:keepNext w:val="0"/>
        <w:keepLines w:val="0"/>
        <w:widowControl/>
        <w:suppressLineNumbers w:val="0"/>
        <w:jc w:val="both"/>
      </w:pPr>
      <w:r>
        <w:t xml:space="preserve">🔹 </w:t>
      </w:r>
      <w:r>
        <w:rPr>
          <w:rStyle w:val="7"/>
          <w:b/>
          <w:bCs/>
        </w:rPr>
        <w:t>Saisonnalité</w:t>
      </w:r>
    </w:p>
    <w:p w14:paraId="1F4A9CE3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Possible </w:t>
      </w:r>
      <w:r>
        <w:rPr>
          <w:rStyle w:val="7"/>
        </w:rPr>
        <w:t>saisonnalité annuelle</w:t>
      </w:r>
      <w:r>
        <w:t xml:space="preserve"> faible : hausse en hiver (demande de chauffage) et baisse en été, mais difficile à distinguer visuellement dans cette échelle temporelle longue.</w:t>
      </w:r>
    </w:p>
    <w:p w14:paraId="6966ED0A">
      <w:pPr>
        <w:pStyle w:val="4"/>
        <w:keepNext w:val="0"/>
        <w:keepLines w:val="0"/>
        <w:widowControl/>
        <w:suppressLineNumbers w:val="0"/>
        <w:jc w:val="both"/>
        <w:rPr>
          <w:rStyle w:val="7"/>
          <w:b/>
          <w:bCs/>
        </w:rPr>
      </w:pPr>
      <w:r>
        <w:t xml:space="preserve">🔹 </w:t>
      </w:r>
      <w:r>
        <w:rPr>
          <w:rStyle w:val="7"/>
          <w:b/>
          <w:bCs/>
        </w:rPr>
        <w:t>Anomalies</w:t>
      </w:r>
    </w:p>
    <w:p w14:paraId="4439DEA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7"/>
          <w:b/>
          <w:bCs/>
        </w:rPr>
        <w:t>Pics nets</w:t>
      </w:r>
      <w:r>
        <w:t xml:space="preserve"> autour de </w:t>
      </w:r>
      <w:r>
        <w:rPr>
          <w:rStyle w:val="7"/>
          <w:b/>
          <w:bCs/>
        </w:rPr>
        <w:t>2022</w:t>
      </w:r>
      <w:r>
        <w:t xml:space="preserve"> (crise énergétique liée à la guerre Russie-Ukraine).</w:t>
      </w:r>
    </w:p>
    <w:p w14:paraId="0B1CE334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Quelques </w:t>
      </w:r>
      <w:r>
        <w:rPr>
          <w:rStyle w:val="7"/>
        </w:rPr>
        <w:t>spikes isolés</w:t>
      </w:r>
      <w:r>
        <w:t xml:space="preserve"> en 2018 et 2020 (événements de marché ponctuels).</w:t>
      </w:r>
    </w:p>
    <w:p w14:paraId="7BC567EE">
      <w:pPr>
        <w:pStyle w:val="8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3040" cy="3956685"/>
            <wp:effectExtent l="0" t="0" r="0" b="5715"/>
            <wp:docPr id="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B7E8">
      <w:pPr>
        <w:pStyle w:val="8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1770" cy="4030345"/>
            <wp:effectExtent l="0" t="0" r="1270" b="8255"/>
            <wp:docPr id="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32EE">
      <w:pPr>
        <w:jc w:val="both"/>
      </w:pPr>
      <w:r>
        <w:rPr>
          <w:rFonts w:hint="default"/>
          <w:lang w:val="en-US" w:eastAsia="zh-CN"/>
        </w:rPr>
        <w:t>On observe une tendance globale haussière du pétrole entre 2016 et 2022, suivie d’une forte volatilité liée à des chocs économiques et géopolitiques (COVID-19, guerre en Ukraine). Le gaz présente aussi une forte variabilité saisonnière (hausse en hiver, baisse en été).</w:t>
      </w:r>
    </w:p>
    <w:p w14:paraId="6E8991D9">
      <w:pPr>
        <w:pStyle w:val="8"/>
        <w:keepNext w:val="0"/>
        <w:keepLines w:val="0"/>
        <w:widowControl/>
        <w:suppressLineNumbers w:val="0"/>
        <w:jc w:val="both"/>
      </w:pPr>
    </w:p>
    <w:p w14:paraId="55889BCE">
      <w:pPr>
        <w:pStyle w:val="8"/>
        <w:keepNext w:val="0"/>
        <w:keepLines w:val="0"/>
        <w:widowControl/>
        <w:suppressLineNumbers w:val="0"/>
        <w:ind w:left="120" w:hanging="120" w:hangingChars="50"/>
        <w:jc w:val="both"/>
      </w:pPr>
      <w:r>
        <w:rPr>
          <w:rFonts w:hint="default"/>
          <w:lang w:val="fr-FR"/>
        </w:rPr>
        <w:t>Petrole:</w:t>
      </w:r>
      <w:r>
        <w:drawing>
          <wp:inline distT="0" distB="0" distL="114300" distR="114300">
            <wp:extent cx="5267325" cy="3792220"/>
            <wp:effectExtent l="0" t="0" r="5715" b="2540"/>
            <wp:docPr id="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E778">
      <w:pPr>
        <w:jc w:val="both"/>
      </w:pPr>
      <w:r>
        <w:t>Interprétation à écrire : La composante “trend” montre une tendance à long terme : croissance jusqu’en 2022 puis stabilisation. La “seasonal” révèle des variations périodiques liées à la consommation énergétique. Les “random” représentent des chocs imprévisibles (crise sanitaire, événements géopolitiques).</w:t>
      </w:r>
    </w:p>
    <w:p w14:paraId="7500EBB2">
      <w:pPr>
        <w:pStyle w:val="8"/>
        <w:keepNext w:val="0"/>
        <w:keepLines w:val="0"/>
        <w:widowControl/>
        <w:suppressLineNumbers w:val="0"/>
        <w:ind w:left="120" w:hanging="120" w:hangingChars="50"/>
        <w:jc w:val="both"/>
      </w:pPr>
      <w:r>
        <w:rPr>
          <w:rFonts w:hint="default"/>
          <w:lang w:val="fr-FR"/>
        </w:rPr>
        <w:t>Gaz:</w:t>
      </w:r>
      <w:r>
        <w:drawing>
          <wp:inline distT="0" distB="0" distL="114300" distR="114300">
            <wp:extent cx="5267325" cy="3870325"/>
            <wp:effectExtent l="0" t="0" r="5715" b="635"/>
            <wp:docPr id="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7AD1">
      <w:pPr>
        <w:pStyle w:val="8"/>
        <w:keepNext w:val="0"/>
        <w:keepLines w:val="0"/>
        <w:widowControl/>
        <w:suppressLineNumbers w:val="0"/>
        <w:ind w:left="120" w:hanging="120" w:hangingChars="50"/>
        <w:jc w:val="both"/>
      </w:pPr>
    </w:p>
    <w:p w14:paraId="48F5D95E">
      <w:pPr>
        <w:pStyle w:val="8"/>
        <w:keepNext w:val="0"/>
        <w:keepLines w:val="0"/>
        <w:widowControl/>
        <w:suppressLineNumbers w:val="0"/>
        <w:ind w:left="120" w:hanging="120" w:hangingChars="50"/>
        <w:jc w:val="both"/>
      </w:pPr>
    </w:p>
    <w:p w14:paraId="6F8C20DB">
      <w:pPr>
        <w:pStyle w:val="8"/>
        <w:keepNext w:val="0"/>
        <w:keepLines w:val="0"/>
        <w:widowControl/>
        <w:suppressLineNumbers w:val="0"/>
        <w:jc w:val="both"/>
      </w:pPr>
      <w:r>
        <w:t xml:space="preserve">Voici comment </w:t>
      </w:r>
      <w:r>
        <w:rPr>
          <w:rStyle w:val="7"/>
        </w:rPr>
        <w:t xml:space="preserve">interpréter les résultats du </w:t>
      </w:r>
      <w:bookmarkStart w:id="0" w:name="_GoBack"/>
      <w:r>
        <w:rPr>
          <w:rStyle w:val="7"/>
        </w:rPr>
        <w:t xml:space="preserve">test ADF </w:t>
      </w:r>
      <w:bookmarkEnd w:id="0"/>
      <w:r>
        <w:rPr>
          <w:rStyle w:val="7"/>
        </w:rPr>
        <w:t>(Augmented Dickey-Fuller)</w:t>
      </w:r>
      <w:r>
        <w:t xml:space="preserve"> pour tes deux séries (pétrole et gaz naturel) :</w:t>
      </w:r>
    </w:p>
    <w:p w14:paraId="17E1050D">
      <w:pPr>
        <w:jc w:val="both"/>
      </w:pPr>
      <w:r>
        <w:rPr>
          <w:rFonts w:hint="default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7" name="Imag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Interprétation : Hypothèse nulle (H₀) : la série n’est pas stationnaire (elle a une tendance). Hypothèse alternative (H₁) : la série est stationnaire. </w:t>
      </w:r>
      <w:r>
        <w:rPr>
          <w:rFonts w:hint="default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9" name="Image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3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Comme p-value = 0.4377 &gt; 0.05, </w:t>
      </w:r>
      <w:r>
        <w:rPr>
          <w:rFonts w:hint="default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10" name="Image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4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on ne rejette pas H₀ → ta série n’est pas stationnaire</w:t>
      </w:r>
    </w:p>
    <w:p w14:paraId="46DFAE92">
      <w:pPr>
        <w:jc w:val="both"/>
        <w:rPr>
          <w:rFonts w:hint="default"/>
        </w:rPr>
      </w:pPr>
    </w:p>
    <w:p w14:paraId="0BB51193">
      <w:pPr>
        <w:jc w:val="both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11" name="Image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5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Résultat : Dickey-Fuller = -16.855 p-value = 0.01 alternative hypothesis: stationary </w:t>
      </w:r>
      <w:r>
        <w:rPr>
          <w:rFonts w:hint="default"/>
          <w:lang w:val="en-US" w:eastAsia="zh-CN"/>
        </w:rPr>
        <w:drawing>
          <wp:inline distT="0" distB="0" distL="114300" distR="114300">
            <wp:extent cx="152400" cy="152400"/>
            <wp:effectExtent l="0" t="0" r="0" b="0"/>
            <wp:docPr id="8" name="Image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Interprétation : p-value &lt; 0.05 → on rejette l’hypothèse nulle H₀.</w:t>
      </w:r>
    </w:p>
    <w:p w14:paraId="16B4FA00">
      <w:pPr>
        <w:jc w:val="both"/>
        <w:rPr>
          <w:rFonts w:hint="default"/>
        </w:rPr>
      </w:pPr>
    </w:p>
    <w:p w14:paraId="2DB6FC5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Donc, la série est stationnaire après une différenciation.</w:t>
      </w:r>
    </w:p>
    <w:p w14:paraId="5710E7DA">
      <w:pPr>
        <w:jc w:val="both"/>
      </w:pPr>
      <w:r>
        <w:drawing>
          <wp:inline distT="0" distB="0" distL="114300" distR="114300">
            <wp:extent cx="5273040" cy="3979545"/>
            <wp:effectExtent l="0" t="0" r="0" b="13335"/>
            <wp:docPr id="1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E7E0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011930"/>
            <wp:effectExtent l="0" t="0" r="3810" b="11430"/>
            <wp:docPr id="1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E432">
      <w:pPr>
        <w:jc w:val="both"/>
        <w:rPr>
          <w:rFonts w:hint="default"/>
          <w:lang w:val="en-US" w:eastAsia="zh-CN"/>
        </w:rPr>
      </w:pPr>
    </w:p>
    <w:p w14:paraId="398F19A8">
      <w:pPr>
        <w:jc w:val="both"/>
        <w:rPr>
          <w:rFonts w:hint="default"/>
          <w:lang w:val="en-US" w:eastAsia="zh-CN"/>
        </w:rPr>
      </w:pPr>
    </w:p>
    <w:p w14:paraId="6D41B47F">
      <w:pPr>
        <w:jc w:val="both"/>
        <w:rPr>
          <w:rFonts w:hint="default"/>
          <w:lang w:val="en-US" w:eastAsia="zh-CN"/>
        </w:rPr>
      </w:pPr>
    </w:p>
    <w:p w14:paraId="5A4FAA4E">
      <w:pPr>
        <w:jc w:val="both"/>
        <w:rPr>
          <w:rFonts w:hint="default"/>
          <w:lang w:val="en-US" w:eastAsia="zh-CN"/>
        </w:rPr>
      </w:pPr>
    </w:p>
    <w:p w14:paraId="296B4301">
      <w:pPr>
        <w:jc w:val="both"/>
        <w:rPr>
          <w:rFonts w:hint="default"/>
          <w:lang w:val="en-US" w:eastAsia="zh-CN"/>
        </w:rPr>
      </w:pPr>
    </w:p>
    <w:p w14:paraId="60A1055A">
      <w:pPr>
        <w:jc w:val="both"/>
        <w:rPr>
          <w:rFonts w:hint="default"/>
          <w:lang w:val="en-US" w:eastAsia="zh-CN"/>
        </w:rPr>
      </w:pPr>
    </w:p>
    <w:p w14:paraId="1EDD59B8">
      <w:pPr>
        <w:jc w:val="both"/>
        <w:rPr>
          <w:rFonts w:hint="default"/>
          <w:lang w:val="en-US" w:eastAsia="zh-CN"/>
        </w:rPr>
      </w:pPr>
    </w:p>
    <w:p w14:paraId="71917EBC">
      <w:pPr>
        <w:jc w:val="both"/>
      </w:pPr>
      <w:r>
        <w:drawing>
          <wp:inline distT="0" distB="0" distL="114300" distR="114300">
            <wp:extent cx="5268595" cy="3968750"/>
            <wp:effectExtent l="0" t="0" r="4445" b="8890"/>
            <wp:docPr id="1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2886">
      <w:pPr>
        <w:jc w:val="both"/>
      </w:pPr>
      <w:r>
        <w:drawing>
          <wp:inline distT="0" distB="0" distL="114300" distR="114300">
            <wp:extent cx="5269230" cy="3790950"/>
            <wp:effectExtent l="0" t="0" r="3810" b="3810"/>
            <wp:docPr id="1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E375">
      <w:pPr>
        <w:pStyle w:val="3"/>
        <w:keepNext w:val="0"/>
        <w:keepLines w:val="0"/>
        <w:widowControl/>
        <w:suppressLineNumbers w:val="0"/>
        <w:jc w:val="both"/>
      </w:pPr>
      <w:r>
        <w:rPr>
          <w:rStyle w:val="7"/>
          <w:b/>
          <w:bCs/>
        </w:rPr>
        <w:t>a) Constat visuel</w:t>
      </w:r>
    </w:p>
    <w:p w14:paraId="7108FA8A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Les points rouges sur le boxplot ou sur le graphique temporel </w:t>
      </w:r>
      <w:r>
        <w:rPr>
          <w:rStyle w:val="7"/>
        </w:rPr>
        <w:t>sont éloignés de la majorité des données</w:t>
      </w:r>
      <w:r>
        <w:t>.</w:t>
      </w:r>
    </w:p>
    <w:p w14:paraId="284E6BE9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Cela indique une </w:t>
      </w:r>
      <w:r>
        <w:rPr>
          <w:rStyle w:val="7"/>
        </w:rPr>
        <w:t>variation extrême sur une journée ou une période</w:t>
      </w:r>
      <w:r>
        <w:t>.</w:t>
      </w:r>
    </w:p>
    <w:p w14:paraId="708F3889">
      <w:pPr>
        <w:pStyle w:val="3"/>
        <w:keepNext w:val="0"/>
        <w:keepLines w:val="0"/>
        <w:widowControl/>
        <w:suppressLineNumbers w:val="0"/>
        <w:jc w:val="both"/>
      </w:pPr>
      <w:r>
        <w:rPr>
          <w:rStyle w:val="7"/>
          <w:b/>
          <w:bCs/>
        </w:rPr>
        <w:t>b) Interprétation économique</w:t>
      </w:r>
    </w:p>
    <w:p w14:paraId="608B0BD0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Pétrole (WTI)</w:t>
      </w:r>
      <w:r>
        <w:t xml:space="preserve"> :</w:t>
      </w:r>
    </w:p>
    <w:p w14:paraId="249B790C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Chocs de l’offre/demande (ex. décisions de l’OPEP, conflits géopolitiques)</w:t>
      </w:r>
    </w:p>
    <w:p w14:paraId="4E5068FC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Crises économiques (pandémie, récession)</w:t>
      </w:r>
    </w:p>
    <w:p w14:paraId="37298B5B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Événements spécifiques : explosion d’usines, tempêtes, embargo</w:t>
      </w:r>
    </w:p>
    <w:p w14:paraId="1141D7B1">
      <w:pPr>
        <w:pStyle w:val="8"/>
        <w:keepNext w:val="0"/>
        <w:keepLines w:val="0"/>
        <w:widowControl/>
        <w:suppressLineNumbers w:val="0"/>
        <w:ind w:left="720"/>
        <w:jc w:val="both"/>
      </w:pPr>
      <w:r>
        <w:rPr>
          <w:rStyle w:val="7"/>
        </w:rPr>
        <w:t>Gaz naturel (UNG)</w:t>
      </w:r>
      <w:r>
        <w:t xml:space="preserve"> :</w:t>
      </w:r>
    </w:p>
    <w:p w14:paraId="2656A7A6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Variation saisonnière forte (hiver/été)</w:t>
      </w:r>
    </w:p>
    <w:p w14:paraId="2F15BB9E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Pics de consommation ou pénurie</w:t>
      </w:r>
    </w:p>
    <w:p w14:paraId="62F1D037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>Catastrophes naturelles (ouragans, tempêtes)</w:t>
      </w:r>
    </w:p>
    <w:p w14:paraId="02EADC6C">
      <w:pPr>
        <w:pStyle w:val="3"/>
        <w:keepNext w:val="0"/>
        <w:keepLines w:val="0"/>
        <w:widowControl/>
        <w:suppressLineNumbers w:val="0"/>
        <w:jc w:val="both"/>
      </w:pPr>
      <w:r>
        <w:rPr>
          <w:rStyle w:val="7"/>
          <w:b/>
          <w:bCs/>
        </w:rPr>
        <w:t>c) Impact sur l’analyse</w:t>
      </w:r>
    </w:p>
    <w:p w14:paraId="7CFD32D7">
      <w:pPr>
        <w:pStyle w:val="8"/>
        <w:keepNext w:val="0"/>
        <w:keepLines w:val="0"/>
        <w:widowControl/>
        <w:suppressLineNumbers w:val="0"/>
        <w:ind w:left="720"/>
        <w:jc w:val="both"/>
      </w:pPr>
      <w:r>
        <w:t xml:space="preserve">Les outliers </w:t>
      </w:r>
      <w:r>
        <w:rPr>
          <w:rStyle w:val="7"/>
        </w:rPr>
        <w:t>peuvent fausser la moyenne, la variance et la modélisation</w:t>
      </w:r>
      <w:r>
        <w:t>.</w:t>
      </w:r>
    </w:p>
    <w:p w14:paraId="465D6BDA">
      <w:pPr>
        <w:pStyle w:val="8"/>
        <w:keepNext w:val="0"/>
        <w:keepLines w:val="0"/>
        <w:widowControl/>
        <w:suppressLineNumbers w:val="0"/>
        <w:ind w:left="720"/>
        <w:jc w:val="both"/>
      </w:pPr>
      <w:r>
        <w:t>Pour des modèles ARIMA/GARCH/LSTM :</w:t>
      </w:r>
    </w:p>
    <w:p w14:paraId="27C02E73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 xml:space="preserve">On peut </w:t>
      </w:r>
      <w:r>
        <w:rPr>
          <w:rStyle w:val="7"/>
        </w:rPr>
        <w:t>les garder</w:t>
      </w:r>
      <w:r>
        <w:t xml:space="preserve"> si ce sont des événements réels importants (événements extrêmes légitimes).</w:t>
      </w:r>
    </w:p>
    <w:p w14:paraId="0D443A09">
      <w:pPr>
        <w:pStyle w:val="8"/>
        <w:keepNext w:val="0"/>
        <w:keepLines w:val="0"/>
        <w:widowControl/>
        <w:suppressLineNumbers w:val="0"/>
        <w:ind w:left="1440"/>
        <w:jc w:val="both"/>
      </w:pPr>
      <w:r>
        <w:t xml:space="preserve">On peut </w:t>
      </w:r>
      <w:r>
        <w:rPr>
          <w:rStyle w:val="7"/>
        </w:rPr>
        <w:t>les corriger ou lisser</w:t>
      </w:r>
      <w:r>
        <w:t xml:space="preserve"> si ce sont des erreurs de mesure ou des valeurs aberrantes techniques.</w:t>
      </w:r>
    </w:p>
    <w:p w14:paraId="3D712A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</w:pPr>
    </w:p>
    <w:p w14:paraId="5C3C57A9">
      <w:pPr>
        <w:keepNext w:val="0"/>
        <w:keepLines w:val="0"/>
        <w:widowControl/>
        <w:suppressLineNumbers w:val="0"/>
        <w:jc w:val="both"/>
      </w:pPr>
      <w:r>
        <w:pict>
          <v:rect id="_x0000_i1026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9378C">
      <w:pPr>
        <w:pStyle w:val="2"/>
        <w:keepNext w:val="0"/>
        <w:keepLines w:val="0"/>
        <w:widowControl/>
        <w:suppressLineNumbers w:val="0"/>
        <w:jc w:val="both"/>
      </w:pPr>
      <w:r>
        <w:t>3️⃣ Exemple de commentaire concret</w:t>
      </w:r>
    </w:p>
    <w:p w14:paraId="0790899F">
      <w:pPr>
        <w:pStyle w:val="8"/>
        <w:keepNext w:val="0"/>
        <w:keepLines w:val="0"/>
        <w:widowControl/>
        <w:suppressLineNumbers w:val="0"/>
        <w:jc w:val="both"/>
      </w:pPr>
      <w:r>
        <w:rPr>
          <w:rStyle w:val="7"/>
        </w:rPr>
        <w:t>Pétrole (WTI) :</w:t>
      </w:r>
    </w:p>
    <w:p w14:paraId="700B1948">
      <w:pPr>
        <w:pStyle w:val="8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SimSun" w:hAnsi="SimSun" w:eastAsia="SimSun" w:cs="SimSun"/>
          <w:sz w:val="24"/>
          <w:szCs w:val="24"/>
        </w:rPr>
        <w:t>“On observe plusieurs valeurs aberrantes en mars 2020 et avril 2020, correspondant au choc lié à la pandémie de COVID-19 et à l’effondrement des prix du pétrole. Ces pics baissiers sont extrêmes par rapport à la tendance générale et influencent fortement la volatilité de la série.”</w:t>
      </w:r>
    </w:p>
    <w:p w14:paraId="3BA8C03C">
      <w:pPr>
        <w:pStyle w:val="8"/>
        <w:keepNext w:val="0"/>
        <w:keepLines w:val="0"/>
        <w:widowControl/>
        <w:suppressLineNumbers w:val="0"/>
        <w:jc w:val="both"/>
      </w:pPr>
      <w:r>
        <w:rPr>
          <w:rStyle w:val="7"/>
        </w:rPr>
        <w:t>Gaz naturel (UNG) :</w:t>
      </w:r>
    </w:p>
    <w:p w14:paraId="48C9E330">
      <w:pPr>
        <w:pStyle w:val="8"/>
        <w:keepNext w:val="0"/>
        <w:keepLines w:val="0"/>
        <w:widowControl/>
        <w:suppressLineNumbers w:val="0"/>
        <w:ind w:left="720" w:right="720"/>
        <w:jc w:val="both"/>
      </w:pPr>
      <w:r>
        <w:rPr>
          <w:rFonts w:hint="eastAsia" w:ascii="SimSun" w:hAnsi="SimSun" w:eastAsia="SimSun" w:cs="SimSun"/>
          <w:sz w:val="24"/>
          <w:szCs w:val="24"/>
        </w:rPr>
        <w:t>“Certaines valeurs aberrantes apparaissent en janvier et février, périodes de forte demande hivernale aux États-Unis. Ces pointes de prix sont cohérentes avec la saisonnalité et ne doivent pas être supprimées si l’on veut modéliser le comportement réel du marché.”</w:t>
      </w:r>
    </w:p>
    <w:p w14:paraId="42FF5488">
      <w:pPr>
        <w:jc w:val="both"/>
        <w:rPr>
          <w:rFonts w:hint="default"/>
          <w:lang w:val="en-US" w:eastAsia="zh-CN"/>
        </w:rPr>
      </w:pPr>
    </w:p>
    <w:p w14:paraId="0B86FFC7">
      <w:pPr>
        <w:pStyle w:val="8"/>
        <w:keepNext w:val="0"/>
        <w:keepLines w:val="0"/>
        <w:widowControl/>
        <w:suppressLineNumbers w:val="0"/>
        <w:ind w:left="720"/>
        <w:jc w:val="both"/>
      </w:pPr>
    </w:p>
    <w:p w14:paraId="150215D5">
      <w:pPr>
        <w:pStyle w:val="8"/>
        <w:keepNext w:val="0"/>
        <w:keepLines w:val="0"/>
        <w:widowControl/>
        <w:suppressLineNumbers w:val="0"/>
        <w:ind w:left="720" w:right="720"/>
        <w:jc w:val="both"/>
        <w:rPr>
          <w:rFonts w:hint="eastAsia" w:ascii="SimSun" w:hAnsi="SimSun" w:eastAsia="SimSun" w:cs="SimSun"/>
          <w:sz w:val="24"/>
          <w:szCs w:val="24"/>
        </w:rPr>
      </w:pPr>
    </w:p>
    <w:p w14:paraId="187AE7C3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7030A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ascii="Arial-BoldMT" w:hAnsi="Arial-BoldMT" w:eastAsia="Arial-BoldMT" w:cs="Arial-BoldMT"/>
          <w:b/>
          <w:bCs/>
          <w:color w:val="7030A0"/>
          <w:kern w:val="0"/>
          <w:sz w:val="22"/>
          <w:szCs w:val="22"/>
          <w:lang w:val="en-US" w:eastAsia="zh-CN" w:bidi="ar"/>
        </w:rPr>
        <w:t>Modélisation classique</w:t>
      </w:r>
    </w:p>
    <w:p w14:paraId="2D4EDF6F">
      <w:pPr>
        <w:pStyle w:val="8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La </w:t>
      </w:r>
      <w:r>
        <w:rPr>
          <w:rStyle w:val="7"/>
          <w:rFonts w:hint="default" w:ascii="Arial" w:hAnsi="Arial" w:eastAsia="SimSun" w:cs="Arial"/>
          <w:b w:val="0"/>
          <w:bCs w:val="0"/>
          <w:sz w:val="24"/>
          <w:szCs w:val="24"/>
        </w:rPr>
        <w:t>modélisation ARIMA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(AutoRegressive Integrated Moving Average) est utilisée pour </w:t>
      </w:r>
      <w:r>
        <w:rPr>
          <w:rStyle w:val="7"/>
          <w:rFonts w:hint="default" w:ascii="Arial" w:hAnsi="Arial" w:eastAsia="SimSun" w:cs="Arial"/>
          <w:b w:val="0"/>
          <w:bCs w:val="0"/>
          <w:sz w:val="24"/>
          <w:szCs w:val="24"/>
        </w:rPr>
        <w:t>prévoir des séries temporelles univariées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, comme ici les prix du pétrole (WTI) et du gaz naturel (UNG)</w:t>
      </w:r>
    </w:p>
    <w:p w14:paraId="40395C3D">
      <w:pPr>
        <w:pStyle w:val="8"/>
        <w:keepNext w:val="0"/>
        <w:keepLines w:val="0"/>
        <w:widowControl/>
        <w:suppressLineNumbers w:val="0"/>
      </w:pPr>
      <w:r>
        <w:t>ARIMA sert à capturer et modéliser trois composantes principales d’une série temporelle :</w:t>
      </w:r>
    </w:p>
    <w:p w14:paraId="1EE43FA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AR (AutoRegressive)</w:t>
      </w:r>
      <w:r>
        <w:t xml:space="preserve"> : corrélation linéaire avec les valeurs passées.</w:t>
      </w:r>
    </w:p>
    <w:p w14:paraId="2713752E">
      <w:pPr>
        <w:pStyle w:val="8"/>
        <w:keepNext w:val="0"/>
        <w:keepLines w:val="0"/>
        <w:widowControl/>
        <w:suppressLineNumbers w:val="0"/>
        <w:ind w:left="1440"/>
      </w:pPr>
      <w:r>
        <w:t>Exemple : le prix aujourd’hui dépend d’hier ou de la veille.</w:t>
      </w:r>
    </w:p>
    <w:p w14:paraId="272557B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I (Integrated)</w:t>
      </w:r>
      <w:r>
        <w:t xml:space="preserve"> : différenciation pour rendre la série stationnaire.</w:t>
      </w:r>
    </w:p>
    <w:p w14:paraId="046D684F">
      <w:pPr>
        <w:pStyle w:val="8"/>
        <w:keepNext w:val="0"/>
        <w:keepLines w:val="0"/>
        <w:widowControl/>
        <w:suppressLineNumbers w:val="0"/>
        <w:ind w:left="1440"/>
      </w:pPr>
      <w:r>
        <w:t>Exemple : si les prix ont tendance à monter avec le temps, la différenciation supprime la tendance.</w:t>
      </w:r>
    </w:p>
    <w:p w14:paraId="158420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MA (Moving Average)</w:t>
      </w:r>
      <w:r>
        <w:t xml:space="preserve"> : corrélation avec les erreurs passées.</w:t>
      </w:r>
    </w:p>
    <w:p w14:paraId="16C1A782">
      <w:pPr>
        <w:pStyle w:val="8"/>
        <w:keepNext w:val="0"/>
        <w:keepLines w:val="0"/>
        <w:widowControl/>
        <w:suppressLineNumbers w:val="0"/>
        <w:ind w:left="1440"/>
      </w:pPr>
      <w:r>
        <w:t>Exemple : ajuster les prévisions en fonction des chocs ou variations imprévues des jours précédents.</w:t>
      </w:r>
    </w:p>
    <w:p w14:paraId="518686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6167BBA">
      <w:pPr>
        <w:pStyle w:val="8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2DA1791B">
      <w:pPr>
        <w:pStyle w:val="8"/>
        <w:keepNext w:val="0"/>
        <w:keepLines w:val="0"/>
        <w:widowControl/>
        <w:suppressLineNumbers w:val="0"/>
      </w:pPr>
      <w:r>
        <w:t xml:space="preserve">Parfait ! Analysons </w:t>
      </w:r>
      <w:r>
        <w:rPr>
          <w:rStyle w:val="7"/>
        </w:rPr>
        <w:t>tes résultats ARIMA et SARIMA</w:t>
      </w:r>
      <w:r>
        <w:t xml:space="preserve"> pour le pétrole et le gaz avec précision et en détail.</w:t>
      </w:r>
    </w:p>
    <w:p w14:paraId="598A0CD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8B0F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1️⃣ Résumé des modèles ajustés</w:t>
      </w:r>
    </w:p>
    <w:p w14:paraId="5E8B29F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Pétrole (WTI)</w:t>
      </w:r>
    </w:p>
    <w:p w14:paraId="37374FB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Modèle ARIMA sélectionné (auto.arima, sans saisonnalité) :</w:t>
      </w:r>
      <w:r>
        <w:t xml:space="preserve"> ARIMA(1,1,1)</w:t>
      </w:r>
    </w:p>
    <w:p w14:paraId="21FC859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Modèle SARIMA (avec saisonnalité activée) :</w:t>
      </w:r>
      <w:r>
        <w:t xml:space="preserve"> ARIMA(1,1,1) → identique à ARIMA</w:t>
      </w:r>
    </w:p>
    <w:p w14:paraId="1F0D53A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Interprétation des paramètres :</w:t>
      </w:r>
    </w:p>
    <w:p w14:paraId="0610BC3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ar1 = 0.0547</w:t>
      </w:r>
      <w:r>
        <w:t xml:space="preserve"> : faible influence de la valeur précédente sur la valeur actuelle.</w:t>
      </w:r>
    </w:p>
    <w:p w14:paraId="552B892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ma1 = -0.6548</w:t>
      </w:r>
      <w:r>
        <w:t xml:space="preserve"> : forte correction basée sur l’erreur passée.</w:t>
      </w:r>
    </w:p>
    <w:p w14:paraId="1D00046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d = 1</w:t>
      </w:r>
      <w:r>
        <w:t xml:space="preserve"> : la série a été différenciée une fois pour la rendre stationnaire (suppression de la tendance).</w:t>
      </w:r>
    </w:p>
    <w:p w14:paraId="443614A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Variance résiduelle (sigma^2) = 14.75</w:t>
      </w:r>
      <w:r>
        <w:t xml:space="preserve"> → erreurs du modèle relativement faibles par rapport à l’échelle du prix (~50-100 USD).</w:t>
      </w:r>
    </w:p>
    <w:p w14:paraId="0D12355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 xml:space="preserve">Critères d’information </w:t>
      </w:r>
    </w:p>
    <w:p w14:paraId="2344684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AIC = 13606.4</w:t>
      </w:r>
      <w:r>
        <w:t xml:space="preserve">, </w:t>
      </w:r>
      <w:r>
        <w:rPr>
          <w:rStyle w:val="7"/>
        </w:rPr>
        <w:t>BIC = 13623.8</w:t>
      </w:r>
    </w:p>
    <w:p w14:paraId="6CDFDD52">
      <w:pPr>
        <w:pStyle w:val="8"/>
        <w:keepNext w:val="0"/>
        <w:keepLines w:val="0"/>
        <w:widowControl/>
        <w:suppressLineNumbers w:val="0"/>
        <w:ind w:left="1440"/>
      </w:pPr>
      <w:r>
        <w:t xml:space="preserve">AIC/BIC identiques pour ARIMA et SARIMA → activation de la saisonnalité n’améliore pas le modèle. La série semble </w:t>
      </w:r>
      <w:r>
        <w:rPr>
          <w:rStyle w:val="7"/>
        </w:rPr>
        <w:t>non saisonnière</w:t>
      </w:r>
      <w:r>
        <w:t xml:space="preserve"> sur cette période (2015 à 2025).</w:t>
      </w:r>
    </w:p>
    <w:p w14:paraId="02DFED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Performances sur le train :</w:t>
      </w:r>
    </w:p>
    <w:p w14:paraId="131870F0">
      <w:pPr>
        <w:pStyle w:val="8"/>
        <w:keepNext w:val="0"/>
        <w:keepLines w:val="0"/>
        <w:widowControl/>
        <w:suppressLineNumbers w:val="0"/>
        <w:ind w:left="1440"/>
      </w:pPr>
      <w:r>
        <w:t>RMSE = 3.84, MAE = 1.61, MAPE = 2.89%</w:t>
      </w:r>
    </w:p>
    <w:p w14:paraId="53F7F714">
      <w:pPr>
        <w:pStyle w:val="8"/>
        <w:keepNext w:val="0"/>
        <w:keepLines w:val="0"/>
        <w:widowControl/>
        <w:suppressLineNumbers w:val="0"/>
        <w:ind w:left="1440"/>
      </w:pPr>
      <w:r>
        <w:t>Très faible MAPE → modèle suit bien les variations locales de la série.</w:t>
      </w:r>
    </w:p>
    <w:p w14:paraId="11398F9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Performances sur le test :</w:t>
      </w:r>
    </w:p>
    <w:p w14:paraId="6ADE9E16">
      <w:pPr>
        <w:pStyle w:val="8"/>
        <w:keepNext w:val="0"/>
        <w:keepLines w:val="0"/>
        <w:widowControl/>
        <w:suppressLineNumbers w:val="0"/>
        <w:ind w:left="1440"/>
      </w:pPr>
      <w:r>
        <w:t>RMSE = 9.92, MAE = 8.27</w:t>
      </w:r>
    </w:p>
    <w:p w14:paraId="53B13E7C">
      <w:pPr>
        <w:pStyle w:val="8"/>
        <w:keepNext w:val="0"/>
        <w:keepLines w:val="0"/>
        <w:widowControl/>
        <w:suppressLineNumbers w:val="0"/>
        <w:ind w:left="1440"/>
      </w:pPr>
      <w:r>
        <w:t>L’erreur augmente sur le test → volatilité imprévisible du pétrole sur les dernières observations.</w:t>
      </w:r>
    </w:p>
    <w:p w14:paraId="61BE09C1">
      <w:pPr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Gaz naturel (UNG)</w:t>
      </w:r>
    </w:p>
    <w:p w14:paraId="095FC761">
      <w:pPr>
        <w:keepNext w:val="0"/>
        <w:keepLines w:val="0"/>
        <w:widowControl/>
        <w:suppressLineNumbers w:val="0"/>
      </w:pPr>
      <w:r>
        <w:rPr>
          <w:rStyle w:val="7"/>
        </w:rPr>
        <w:t>Modèle ARIMA sélectionné :</w:t>
      </w:r>
      <w:r>
        <w:t xml:space="preserve"> ARIMA(2,1,2)</w:t>
      </w:r>
    </w:p>
    <w:p w14:paraId="652A503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SARIMA activé :</w:t>
      </w:r>
      <w:r>
        <w:t xml:space="preserve"> ARIMA(2,1,2) → pas de saisonnalité détectée automatiquement</w:t>
      </w:r>
    </w:p>
    <w:p w14:paraId="74BCBEF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Interprétation des paramètres :</w:t>
      </w:r>
    </w:p>
    <w:p w14:paraId="4BE4C2B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ar1 = -0.8076</w:t>
      </w:r>
      <w:r>
        <w:t xml:space="preserve">, </w:t>
      </w:r>
      <w:r>
        <w:rPr>
          <w:rStyle w:val="6"/>
        </w:rPr>
        <w:t>ar2 = -0.9695</w:t>
      </w:r>
      <w:r>
        <w:t xml:space="preserve"> : forte dépendance négative sur les 2 dernières valeurs.</w:t>
      </w:r>
    </w:p>
    <w:p w14:paraId="2B81468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ma1 = 0.8081</w:t>
      </w:r>
      <w:r>
        <w:t xml:space="preserve">, </w:t>
      </w:r>
      <w:r>
        <w:rPr>
          <w:rStyle w:val="6"/>
        </w:rPr>
        <w:t>ma2 = 0.9531</w:t>
      </w:r>
      <w:r>
        <w:t xml:space="preserve"> : la prévision prend en compte fortement les erreurs passées.</w:t>
      </w:r>
    </w:p>
    <w:p w14:paraId="1173321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d = 1</w:t>
      </w:r>
      <w:r>
        <w:t xml:space="preserve"> : différenciation première pour stationnarité.</w:t>
      </w:r>
    </w:p>
    <w:p w14:paraId="7C9A6DD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Variance résiduelle (sigma^2) = 9.083</w:t>
      </w:r>
      <w:r>
        <w:t xml:space="preserve"> → plus faible que pour le pétrole → série légèrement moins volatile.</w:t>
      </w:r>
    </w:p>
    <w:p w14:paraId="2287812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Critères d’information :</w:t>
      </w:r>
    </w:p>
    <w:p w14:paraId="6CEE800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AIC = 12394.8</w:t>
      </w:r>
      <w:r>
        <w:t xml:space="preserve">, </w:t>
      </w:r>
      <w:r>
        <w:rPr>
          <w:rStyle w:val="7"/>
        </w:rPr>
        <w:t>BIC = 12423.9</w:t>
      </w:r>
    </w:p>
    <w:p w14:paraId="664D218F">
      <w:pPr>
        <w:pStyle w:val="8"/>
        <w:keepNext w:val="0"/>
        <w:keepLines w:val="0"/>
        <w:widowControl/>
        <w:suppressLineNumbers w:val="0"/>
        <w:ind w:left="1440"/>
      </w:pPr>
      <w:r>
        <w:t>ARIMA(2,1,2) est optimal par rapport aux autres configurations testées.</w:t>
      </w:r>
    </w:p>
    <w:p w14:paraId="3838EC0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Performances sur le train :</w:t>
      </w:r>
    </w:p>
    <w:p w14:paraId="3F1B67CC">
      <w:pPr>
        <w:pStyle w:val="8"/>
        <w:keepNext w:val="0"/>
        <w:keepLines w:val="0"/>
        <w:widowControl/>
        <w:suppressLineNumbers w:val="0"/>
        <w:ind w:left="1440"/>
      </w:pPr>
      <w:r>
        <w:t>RMSE = 3.01, MAE = 1.95, MAPE = 2.41% → modèle suit bien la série.</w:t>
      </w:r>
    </w:p>
    <w:p w14:paraId="6E0DB43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Performances sur le test :</w:t>
      </w:r>
    </w:p>
    <w:p w14:paraId="26C6454C">
      <w:pPr>
        <w:pStyle w:val="8"/>
        <w:keepNext w:val="0"/>
        <w:keepLines w:val="0"/>
        <w:widowControl/>
        <w:suppressLineNumbers w:val="0"/>
        <w:ind w:left="1440"/>
      </w:pPr>
      <w:r>
        <w:t>RMSE = 2.98, MAE = 2.42 → erreurs encore faibles → le modèle prédit mieux le gaz que le pétrole, probablement à cause de volatilité plus faible.</w:t>
      </w:r>
    </w:p>
    <w:p w14:paraId="3A4D0D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4EF2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2️⃣ Comparaison ARIMA vs SARIMA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786"/>
        <w:gridCol w:w="2220"/>
        <w:gridCol w:w="1148"/>
        <w:gridCol w:w="1028"/>
        <w:gridCol w:w="1889"/>
      </w:tblGrid>
      <w:tr w14:paraId="14B66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29E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Série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3AB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Modèle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5A5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Paramètres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D9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RMSE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26F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MAE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72C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Saison détectée</w:t>
            </w:r>
          </w:p>
        </w:tc>
      </w:tr>
      <w:tr w14:paraId="7E8A3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1B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Pétrole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25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ARIMA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D7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(1,1,1)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3D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9.92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5F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4A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</w:t>
            </w:r>
          </w:p>
        </w:tc>
      </w:tr>
      <w:tr w14:paraId="7D74F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38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Pétrole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5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SARIMA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E0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(1,1,1)(0,0,0)[12]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71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9.92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B3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DA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</w:t>
            </w:r>
          </w:p>
        </w:tc>
      </w:tr>
      <w:tr w14:paraId="25B3B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CB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5E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ARIMA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03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(2,1,2)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CB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32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9C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</w:t>
            </w:r>
          </w:p>
        </w:tc>
      </w:tr>
      <w:tr w14:paraId="3DA93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12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1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SARIMA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9A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(2,1,2)(0,0,0)[12]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8F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61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56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</w:t>
            </w:r>
          </w:p>
        </w:tc>
      </w:tr>
    </w:tbl>
    <w:p w14:paraId="7AE15C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Interprétation :</w:t>
      </w:r>
    </w:p>
    <w:p w14:paraId="7972A8F9">
      <w:pPr>
        <w:pStyle w:val="8"/>
        <w:keepNext w:val="0"/>
        <w:keepLines w:val="0"/>
        <w:widowControl/>
        <w:suppressLineNumbers w:val="0"/>
        <w:ind w:left="720"/>
      </w:pPr>
      <w:r>
        <w:t>La saisonnalité n’est pas significative pour ces séries → SARIMA ne change rien.</w:t>
      </w:r>
    </w:p>
    <w:p w14:paraId="4F9A9DFA">
      <w:pPr>
        <w:pStyle w:val="8"/>
        <w:keepNext w:val="0"/>
        <w:keepLines w:val="0"/>
        <w:widowControl/>
        <w:suppressLineNumbers w:val="0"/>
        <w:ind w:left="720"/>
      </w:pPr>
      <w:r>
        <w:t>Les erreurs de prévision (RMSE et MAE) sont cohérentes entre ARIMA et SARIM</w:t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4E25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Interprétation des modèles</w:t>
      </w:r>
    </w:p>
    <w:p w14:paraId="744980B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Pétrole (ARIMA(1,1,1))</w:t>
      </w:r>
    </w:p>
    <w:p w14:paraId="49982D03">
      <w:pPr>
        <w:pStyle w:val="8"/>
        <w:keepNext w:val="0"/>
        <w:keepLines w:val="0"/>
        <w:widowControl/>
        <w:suppressLineNumbers w:val="0"/>
        <w:ind w:left="720"/>
      </w:pPr>
      <w:r>
        <w:t>Le prix suit une tendance globale (differenciation d=1) avec des ajustements rapides basés sur l’erreur du jour précédent (MA1 négatif).</w:t>
      </w:r>
    </w:p>
    <w:p w14:paraId="42158C47">
      <w:pPr>
        <w:pStyle w:val="8"/>
        <w:keepNext w:val="0"/>
        <w:keepLines w:val="0"/>
        <w:widowControl/>
        <w:suppressLineNumbers w:val="0"/>
        <w:ind w:left="720"/>
      </w:pPr>
      <w:r>
        <w:t>La volatilité des prix rend la prévision plus difficile → erreurs plus grandes sur le test.</w:t>
      </w:r>
    </w:p>
    <w:p w14:paraId="19798F38">
      <w:pPr>
        <w:pStyle w:val="8"/>
        <w:keepNext w:val="0"/>
        <w:keepLines w:val="0"/>
        <w:widowControl/>
        <w:suppressLineNumbers w:val="0"/>
        <w:ind w:left="720"/>
      </w:pPr>
      <w:r>
        <w:t>Modèle suffisant pour prévisions courtes ou analyse de tendance.</w:t>
      </w:r>
    </w:p>
    <w:p w14:paraId="4FD372C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Gaz naturel (ARIMA(2,1,2))</w:t>
      </w:r>
    </w:p>
    <w:p w14:paraId="6FF240BA">
      <w:pPr>
        <w:pStyle w:val="8"/>
        <w:keepNext w:val="0"/>
        <w:keepLines w:val="0"/>
        <w:widowControl/>
        <w:suppressLineNumbers w:val="0"/>
        <w:ind w:left="720"/>
      </w:pPr>
      <w:r>
        <w:t>Le gaz est plus autocorrélé sur 2 jours précédents (AR2) et corrige fortement les erreurs passées (MA2).</w:t>
      </w:r>
    </w:p>
    <w:p w14:paraId="2B629061">
      <w:pPr>
        <w:pStyle w:val="8"/>
        <w:keepNext w:val="0"/>
        <w:keepLines w:val="0"/>
        <w:widowControl/>
        <w:suppressLineNumbers w:val="0"/>
        <w:ind w:left="720"/>
      </w:pPr>
      <w:r>
        <w:t>Modèle robuste → prévisions plus fiables avec RMSE plus faible.</w:t>
      </w:r>
    </w:p>
    <w:p w14:paraId="7F6B8CC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4️⃣ Conclusion générale</w:t>
      </w:r>
    </w:p>
    <w:p w14:paraId="4EBACD8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Séries non saisonnières</w:t>
      </w:r>
      <w:r>
        <w:t xml:space="preserve"> → SARIMA n’apporte pas d’amélioration.</w:t>
      </w:r>
    </w:p>
    <w:p w14:paraId="0497DD8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ARIMA simple</w:t>
      </w:r>
      <w:r>
        <w:t xml:space="preserve"> suffit pour ces séries sur horizon court/moyen.</w:t>
      </w:r>
    </w:p>
    <w:p w14:paraId="0DEF43E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Pétrole vs Gaz</w:t>
      </w:r>
      <w:r>
        <w:t xml:space="preserve"> :</w:t>
      </w:r>
    </w:p>
    <w:p w14:paraId="1FB2D05E">
      <w:pPr>
        <w:pStyle w:val="8"/>
        <w:keepNext w:val="0"/>
        <w:keepLines w:val="0"/>
        <w:widowControl/>
        <w:suppressLineNumbers w:val="0"/>
        <w:ind w:left="1440"/>
      </w:pPr>
      <w:r>
        <w:t>Pétrole plus volatile → erreurs de prévision plus importantes.</w:t>
      </w:r>
    </w:p>
    <w:p w14:paraId="06AC63EB">
      <w:pPr>
        <w:pStyle w:val="8"/>
        <w:keepNext w:val="0"/>
        <w:keepLines w:val="0"/>
        <w:widowControl/>
        <w:suppressLineNumbers w:val="0"/>
        <w:ind w:left="1440"/>
      </w:pPr>
      <w:r>
        <w:t>Gaz plus stable → modèle ARIMA performant</w:t>
      </w:r>
    </w:p>
    <w:p w14:paraId="2707A6F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Utilité</w:t>
      </w:r>
      <w:r>
        <w:t xml:space="preserve"> : ces modèles permettent :</w:t>
      </w:r>
    </w:p>
    <w:p w14:paraId="157D8787">
      <w:pPr>
        <w:pStyle w:val="8"/>
        <w:keepNext w:val="0"/>
        <w:keepLines w:val="0"/>
        <w:widowControl/>
        <w:suppressLineNumbers w:val="0"/>
        <w:ind w:left="1440"/>
      </w:pPr>
      <w:r>
        <w:t>prévoir les prix futurs à court terme</w:t>
      </w:r>
    </w:p>
    <w:p w14:paraId="30E02C1C">
      <w:pPr>
        <w:pStyle w:val="8"/>
        <w:keepNext w:val="0"/>
        <w:keepLines w:val="0"/>
        <w:widowControl/>
        <w:suppressLineNumbers w:val="0"/>
        <w:ind w:left="1440"/>
      </w:pPr>
      <w:r>
        <w:t>détecter des anomalies ou changements de tendance</w:t>
      </w:r>
    </w:p>
    <w:p w14:paraId="7BB550D1">
      <w:pPr>
        <w:pStyle w:val="8"/>
        <w:keepNext w:val="0"/>
        <w:keepLines w:val="0"/>
        <w:widowControl/>
        <w:suppressLineNumbers w:val="0"/>
        <w:ind w:left="1440"/>
      </w:pPr>
      <w:r>
        <w:t>servir de base pour des modèles plus complexes (VAR, LSTM, etc.</w:t>
      </w:r>
    </w:p>
    <w:p w14:paraId="033257D2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8EFF7"/>
    <w:multiLevelType w:val="multilevel"/>
    <w:tmpl w:val="D2E8E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810EA"/>
    <w:rsid w:val="077665A4"/>
    <w:rsid w:val="162810EA"/>
    <w:rsid w:val="6B52262F"/>
    <w:rsid w:val="757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2081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2025-11-09T16:17:00Z</dcterms:created>
  <dc:creator>ranim</dc:creator>
  <cp:lastModifiedBy>ranim</cp:lastModifiedBy>
  <dcterms:modified xsi:type="dcterms:W3CDTF">2025-11-11T21:37:12Z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B8C451C5154F4F939E9B3A372E53248D_11</vt:lpwstr>
  </property>
</Properties>
</file>