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color w:val="808080"/>
          <w:sz w:val="24"/>
          <w:szCs w:val="24"/>
        </w:rPr>
        <w:t xml:space="preserve">IBM Corporation — Technical White Paper</w:t>
      </w:r>
    </w:p>
    <w:p>
      <w:pPr>
        <w:spacing w:after="240"/>
        <w:jc w:val="center"/>
      </w:pPr>
      <w:r>
        <w:rPr>
          <w:b/>
          <w:bCs/>
          <w:color w:val="0043CE"/>
          <w:sz w:val="56"/>
          <w:szCs w:val="56"/>
        </w:rPr>
        <w:t xml:space="preserve">Hybrid Cloud et IA d'entreprise</w:t>
      </w:r>
    </w:p>
    <w:p>
      <w:pPr>
        <w:spacing w:after="800"/>
        <w:jc w:val="center"/>
      </w:pPr>
      <w:r>
        <w:rPr>
          <w:i/>
          <w:iCs/>
          <w:color w:val="606060"/>
          <w:sz w:val="28"/>
          <w:szCs w:val="28"/>
        </w:rPr>
        <w:t xml:space="preserve">Architecture de référence, patrons de déploiement et retours d'expérience</w:t>
      </w:r>
    </w:p>
    <w:p>
      <w:pPr>
        <w:jc w:val="center"/>
      </w:pPr>
      <w:r>
        <w:rPr>
          <w:color w:val="606060"/>
          <w:sz w:val="22"/>
          <w:szCs w:val="22"/>
        </w:rPr>
        <w:t xml:space="preserve">Édition 2025 — v3.1</w:t>
      </w:r>
    </w:p>
    <w:p>
      <w:pPr>
        <w:spacing w:before="4000"/>
        <w:jc w:val="center"/>
      </w:pPr>
      <w:r>
        <w:rPr>
          <w:sz w:val="22"/>
          <w:szCs w:val="22"/>
        </w:rPr>
        <w:t xml:space="preserve">Ce white paper technique complète le rapport stratégique annuel 2025. Il détaille l'architecture de référence IBM Hybrid Cloud, les patrons d'intégration entre watsonx, Red Hat OpenShift et IBM Z, ainsi que les retours d'expérience de déploiements chez nos principaux clients.</w:t>
      </w:r>
    </w:p>
    <w:p>
      <w:r>
        <w:br w:type="page"/>
      </w:r>
    </w:p>
    <w:p>
      <w:pPr>
        <w:pStyle w:val="Heading1"/>
        <w:spacing w:after="200" w:before="400"/>
      </w:pPr>
      <w:r>
        <w:rPr>
          <w:b/>
          <w:bCs/>
          <w:color w:val="0043CE"/>
          <w:sz w:val="32"/>
          <w:szCs w:val="32"/>
        </w:rPr>
        <w:t xml:space="preserve">1. Introduction</w:t>
      </w:r>
    </w:p>
    <w:p>
      <w:pPr>
        <w:spacing w:after="140" w:line="320" w:lineRule="auto"/>
        <w:jc w:val="both"/>
      </w:pPr>
      <w:r>
        <w:rPr>
          <w:sz w:val="22"/>
          <w:szCs w:val="22"/>
        </w:rPr>
        <w:t xml:space="preserve">L'ère de l'intelligence artificielle générative a changé les priorités des directions informatiques d'entreprise. La question centrale n'est plus « comment expérimenter l'IA », mais « comment industrialiser l'IA dans le respect des contraintes de sécurité, de gouvernance et de résidence des données propres à notre organisation ». C'est à cette question qu'IBM répond avec une architecture Hybrid Cloud intégrée, articulée autour de trois plateformes complémentaires : IBM watsonx pour les charges IA, Red Hat OpenShift pour l'exécution conteneurisée, et IBM Z Systems pour les charges critiques à faible latence.</w:t>
      </w:r>
    </w:p>
    <w:p>
      <w:pPr>
        <w:spacing w:after="140" w:line="320" w:lineRule="auto"/>
        <w:jc w:val="both"/>
      </w:pPr>
      <w:r>
        <w:rPr>
          <w:sz w:val="22"/>
          <w:szCs w:val="22"/>
        </w:rPr>
        <w:t xml:space="preserve">Ce document est destiné aux architectes d'entreprise, aux responsables de plateformes de données et aux CTO qui évaluent la mise en œuvre d'une infrastructure d'IA d'entreprise. Il présente les composants techniques, les patrons d'intégration éprouvés en production chez nos clients, et les scénarios de déploiement les plus fréquents.</w:t>
      </w:r>
    </w:p>
    <w:p>
      <w:pPr>
        <w:pStyle w:val="Heading2"/>
        <w:spacing w:after="140" w:before="280"/>
      </w:pPr>
      <w:r>
        <w:rPr>
          <w:b/>
          <w:bCs/>
          <w:color w:val="0F62FE"/>
          <w:sz w:val="24"/>
          <w:szCs w:val="24"/>
        </w:rPr>
        <w:t xml:space="preserve">1.1 Champ du document</w:t>
      </w:r>
    </w:p>
    <w:p>
      <w:pPr>
        <w:spacing w:after="140" w:line="320" w:lineRule="auto"/>
        <w:jc w:val="both"/>
      </w:pPr>
      <w:r>
        <w:rPr>
          <w:sz w:val="22"/>
          <w:szCs w:val="22"/>
        </w:rPr>
        <w:t xml:space="preserve">Le champ couvert par ce white paper est délibérément technique. Les questions de stratégie, de positionnement produit et de performance financière sont abordées dans le rapport stratégique annuel 2025 publié en parallèle. Ici, nous nous concentrons sur l'architecture de référence, les choix de conception, les points de vigilance rencontrés en production et les guides de dimensionnement.</w:t>
      </w:r>
    </w:p>
    <w:p>
      <w:pPr>
        <w:pStyle w:val="Heading2"/>
        <w:spacing w:after="140" w:before="280"/>
      </w:pPr>
      <w:r>
        <w:rPr>
          <w:b/>
          <w:bCs/>
          <w:color w:val="0F62FE"/>
          <w:sz w:val="24"/>
          <w:szCs w:val="24"/>
        </w:rPr>
        <w:t xml:space="preserve">1.2 Positionnement de la plateforme</w:t>
      </w:r>
    </w:p>
    <w:p>
      <w:pPr>
        <w:spacing w:after="140" w:line="320" w:lineRule="auto"/>
        <w:jc w:val="both"/>
      </w:pPr>
      <w:r>
        <w:rPr>
          <w:sz w:val="22"/>
          <w:szCs w:val="22"/>
        </w:rPr>
        <w:t xml:space="preserve">IBM Hybrid Cloud est bâti sur trois principes non négociables : la portabilité des charges entre environnements (public, privé, edge), la gouvernance intégrée dès la conception (pas ajoutée après coup), et l'ouverture par les standards (Kubernetes, ONNX, OpenLineage, MCP). Cette approche s'oppose délibérément aux plateformes propriétaires fermées, dont l'attractivité initiale masque souvent un verrouillage à long terme.</w:t>
      </w:r>
    </w:p>
    <w:p>
      <w:r>
        <w:br w:type="page"/>
      </w:r>
    </w:p>
    <w:p>
      <w:pPr>
        <w:pStyle w:val="Heading1"/>
        <w:spacing w:after="200" w:before="400"/>
      </w:pPr>
      <w:r>
        <w:rPr>
          <w:b/>
          <w:bCs/>
          <w:color w:val="0043CE"/>
          <w:sz w:val="32"/>
          <w:szCs w:val="32"/>
        </w:rPr>
        <w:t xml:space="preserve">2. Architecture de référence Hybrid Cloud</w:t>
      </w:r>
    </w:p>
    <w:p>
      <w:pPr>
        <w:spacing w:after="140" w:line="320" w:lineRule="auto"/>
        <w:jc w:val="both"/>
      </w:pPr>
      <w:r>
        <w:rPr>
          <w:sz w:val="22"/>
          <w:szCs w:val="22"/>
        </w:rPr>
        <w:t xml:space="preserve">L'architecture de référence IBM Hybrid Cloud organise les composants en cinq couches empilées, chacune adressant une préoccupation distincte. La séparation des responsabilités entre ces couches est stricte : chaque composant expose une interface documentée à la couche supérieure et n'appelle que les interfaces des couches inférieures.</w:t>
      </w:r>
    </w:p>
    <w:p>
      <w:pPr>
        <w:pStyle w:val="Heading2"/>
        <w:spacing w:after="140" w:before="280"/>
      </w:pPr>
      <w:r>
        <w:rPr>
          <w:b/>
          <w:bCs/>
          <w:color w:val="0F62FE"/>
          <w:sz w:val="24"/>
          <w:szCs w:val="24"/>
        </w:rPr>
        <w:t xml:space="preserve">2.1 Vue d'ensemble en couches</w:t>
      </w:r>
    </w:p>
    <w:tbl>
      <w:tblPr>
        <w:tblW w:type="dxa" w:w="10200"/>
        <w:tblBorders>
          <w:top w:val="single" w:color="D0D0D0" w:sz="4"/>
          <w:left w:val="single" w:color="D0D0D0" w:sz="4"/>
          <w:bottom w:val="single" w:color="D0D0D0" w:sz="4"/>
          <w:right w:val="single" w:color="D0D0D0" w:sz="4"/>
          <w:insideH w:val="single" w:color="D0D0D0" w:sz="4"/>
          <w:insideV w:val="single" w:color="D0D0D0" w:sz="4"/>
        </w:tblBorders>
      </w:tblPr>
      <w:tblGrid>
        <w:gridCol w:w="2500"/>
        <w:gridCol w:w="4500"/>
        <w:gridCol w:w="3200"/>
      </w:tblGrid>
      <w:tr>
        <w:tc>
          <w:tcPr>
            <w:tcW w:type="dxa" w:w="2500"/>
            <w:shd w:fill="0F62FE" w:color="auto" w:val="clear"/>
            <w:tcMar>
              <w:top w:type="dxa" w:w="100"/>
              <w:left w:type="dxa" w:w="100"/>
              <w:bottom w:type="dxa" w:w="100"/>
              <w:right w:type="dxa" w:w="100"/>
            </w:tcMar>
          </w:tcPr>
          <w:p>
            <w:pPr>
              <w:jc w:val="left"/>
            </w:pPr>
            <w:r>
              <w:rPr>
                <w:b/>
                <w:bCs/>
                <w:color w:val="FFFFFF"/>
                <w:sz w:val="20"/>
                <w:szCs w:val="20"/>
              </w:rPr>
              <w:t xml:space="preserve">Couche</w:t>
            </w:r>
          </w:p>
        </w:tc>
        <w:tc>
          <w:tcPr>
            <w:tcW w:type="dxa" w:w="4500"/>
            <w:shd w:fill="0F62FE" w:color="auto" w:val="clear"/>
            <w:tcMar>
              <w:top w:type="dxa" w:w="100"/>
              <w:left w:type="dxa" w:w="100"/>
              <w:bottom w:type="dxa" w:w="100"/>
              <w:right w:type="dxa" w:w="100"/>
            </w:tcMar>
          </w:tcPr>
          <w:p>
            <w:pPr>
              <w:jc w:val="left"/>
            </w:pPr>
            <w:r>
              <w:rPr>
                <w:b/>
                <w:bCs/>
                <w:color w:val="FFFFFF"/>
                <w:sz w:val="20"/>
                <w:szCs w:val="20"/>
              </w:rPr>
              <w:t xml:space="preserve">Rôle</w:t>
            </w:r>
          </w:p>
        </w:tc>
        <w:tc>
          <w:tcPr>
            <w:tcW w:type="dxa" w:w="3200"/>
            <w:shd w:fill="0F62FE" w:color="auto" w:val="clear"/>
            <w:tcMar>
              <w:top w:type="dxa" w:w="100"/>
              <w:left w:type="dxa" w:w="100"/>
              <w:bottom w:type="dxa" w:w="100"/>
              <w:right w:type="dxa" w:w="100"/>
            </w:tcMar>
          </w:tcPr>
          <w:p>
            <w:pPr>
              <w:jc w:val="left"/>
            </w:pPr>
            <w:r>
              <w:rPr>
                <w:b/>
                <w:bCs/>
                <w:color w:val="FFFFFF"/>
                <w:sz w:val="20"/>
                <w:szCs w:val="20"/>
              </w:rPr>
              <w:t xml:space="preserve">Composants IBM</w:t>
            </w:r>
          </w:p>
        </w:tc>
      </w:tr>
      <w:tr>
        <w:tc>
          <w:tcPr>
            <w:tcW w:type="dxa" w:w="2500"/>
            <w:tcMar>
              <w:top w:type="dxa" w:w="100"/>
              <w:left w:type="dxa" w:w="100"/>
              <w:bottom w:type="dxa" w:w="100"/>
              <w:right w:type="dxa" w:w="100"/>
            </w:tcMar>
          </w:tcPr>
          <w:p>
            <w:pPr>
              <w:jc w:val="left"/>
            </w:pPr>
            <w:r>
              <w:rPr>
                <w:sz w:val="20"/>
                <w:szCs w:val="20"/>
              </w:rPr>
              <w:t xml:space="preserve">Applications</w:t>
            </w:r>
          </w:p>
        </w:tc>
        <w:tc>
          <w:tcPr>
            <w:tcW w:type="dxa" w:w="4500"/>
            <w:shd w:fill="F4F4F4" w:color="auto" w:val="clear"/>
            <w:tcMar>
              <w:top w:type="dxa" w:w="100"/>
              <w:left w:type="dxa" w:w="100"/>
              <w:bottom w:type="dxa" w:w="100"/>
              <w:right w:type="dxa" w:w="100"/>
            </w:tcMar>
          </w:tcPr>
          <w:p>
            <w:pPr>
              <w:jc w:val="left"/>
            </w:pPr>
            <w:r>
              <w:rPr>
                <w:sz w:val="20"/>
                <w:szCs w:val="20"/>
              </w:rPr>
              <w:t xml:space="preserve">Applications métier, agents IA, interfaces utilisateurs</w:t>
            </w:r>
          </w:p>
        </w:tc>
        <w:tc>
          <w:tcPr>
            <w:tcW w:type="dxa" w:w="3200"/>
            <w:tcMar>
              <w:top w:type="dxa" w:w="100"/>
              <w:left w:type="dxa" w:w="100"/>
              <w:bottom w:type="dxa" w:w="100"/>
              <w:right w:type="dxa" w:w="100"/>
            </w:tcMar>
          </w:tcPr>
          <w:p>
            <w:pPr>
              <w:jc w:val="left"/>
            </w:pPr>
            <w:r>
              <w:rPr>
                <w:sz w:val="20"/>
                <w:szCs w:val="20"/>
              </w:rPr>
              <w:t xml:space="preserve">watsonx Orchestrate, Instana, Turbonomic</w:t>
            </w:r>
          </w:p>
        </w:tc>
      </w:tr>
      <w:tr>
        <w:tc>
          <w:tcPr>
            <w:tcW w:type="dxa" w:w="2500"/>
            <w:shd w:fill="F4F4F4" w:color="auto" w:val="clear"/>
            <w:tcMar>
              <w:top w:type="dxa" w:w="100"/>
              <w:left w:type="dxa" w:w="100"/>
              <w:bottom w:type="dxa" w:w="100"/>
              <w:right w:type="dxa" w:w="100"/>
            </w:tcMar>
          </w:tcPr>
          <w:p>
            <w:pPr>
              <w:jc w:val="left"/>
            </w:pPr>
            <w:r>
              <w:rPr>
                <w:sz w:val="20"/>
                <w:szCs w:val="20"/>
              </w:rPr>
              <w:t xml:space="preserve">IA et données</w:t>
            </w:r>
          </w:p>
        </w:tc>
        <w:tc>
          <w:tcPr>
            <w:tcW w:type="dxa" w:w="4500"/>
            <w:tcMar>
              <w:top w:type="dxa" w:w="100"/>
              <w:left w:type="dxa" w:w="100"/>
              <w:bottom w:type="dxa" w:w="100"/>
              <w:right w:type="dxa" w:w="100"/>
            </w:tcMar>
          </w:tcPr>
          <w:p>
            <w:pPr>
              <w:jc w:val="left"/>
            </w:pPr>
            <w:r>
              <w:rPr>
                <w:sz w:val="20"/>
                <w:szCs w:val="20"/>
              </w:rPr>
              <w:t xml:space="preserve">Développement, gouvernance et exécution des modèles ; gestion du data lakehouse</w:t>
            </w:r>
          </w:p>
        </w:tc>
        <w:tc>
          <w:tcPr>
            <w:tcW w:type="dxa" w:w="3200"/>
            <w:shd w:fill="F4F4F4" w:color="auto" w:val="clear"/>
            <w:tcMar>
              <w:top w:type="dxa" w:w="100"/>
              <w:left w:type="dxa" w:w="100"/>
              <w:bottom w:type="dxa" w:w="100"/>
              <w:right w:type="dxa" w:w="100"/>
            </w:tcMar>
          </w:tcPr>
          <w:p>
            <w:pPr>
              <w:jc w:val="left"/>
            </w:pPr>
            <w:r>
              <w:rPr>
                <w:sz w:val="20"/>
                <w:szCs w:val="20"/>
              </w:rPr>
              <w:t xml:space="preserve">watsonx.ai, watsonx.data, watsonx.governance</w:t>
            </w:r>
          </w:p>
        </w:tc>
      </w:tr>
      <w:tr>
        <w:tc>
          <w:tcPr>
            <w:tcW w:type="dxa" w:w="2500"/>
            <w:tcMar>
              <w:top w:type="dxa" w:w="100"/>
              <w:left w:type="dxa" w:w="100"/>
              <w:bottom w:type="dxa" w:w="100"/>
              <w:right w:type="dxa" w:w="100"/>
            </w:tcMar>
          </w:tcPr>
          <w:p>
            <w:pPr>
              <w:jc w:val="left"/>
            </w:pPr>
            <w:r>
              <w:rPr>
                <w:sz w:val="20"/>
                <w:szCs w:val="20"/>
              </w:rPr>
              <w:t xml:space="preserve">Plateforme d'exécution</w:t>
            </w:r>
          </w:p>
        </w:tc>
        <w:tc>
          <w:tcPr>
            <w:tcW w:type="dxa" w:w="4500"/>
            <w:shd w:fill="F4F4F4" w:color="auto" w:val="clear"/>
            <w:tcMar>
              <w:top w:type="dxa" w:w="100"/>
              <w:left w:type="dxa" w:w="100"/>
              <w:bottom w:type="dxa" w:w="100"/>
              <w:right w:type="dxa" w:w="100"/>
            </w:tcMar>
          </w:tcPr>
          <w:p>
            <w:pPr>
              <w:jc w:val="left"/>
            </w:pPr>
            <w:r>
              <w:rPr>
                <w:sz w:val="20"/>
                <w:szCs w:val="20"/>
              </w:rPr>
              <w:t xml:space="preserve">Conteneurisation, orchestration, service mesh</w:t>
            </w:r>
          </w:p>
        </w:tc>
        <w:tc>
          <w:tcPr>
            <w:tcW w:type="dxa" w:w="3200"/>
            <w:tcMar>
              <w:top w:type="dxa" w:w="100"/>
              <w:left w:type="dxa" w:w="100"/>
              <w:bottom w:type="dxa" w:w="100"/>
              <w:right w:type="dxa" w:w="100"/>
            </w:tcMar>
          </w:tcPr>
          <w:p>
            <w:pPr>
              <w:jc w:val="left"/>
            </w:pPr>
            <w:r>
              <w:rPr>
                <w:sz w:val="20"/>
                <w:szCs w:val="20"/>
              </w:rPr>
              <w:t xml:space="preserve">Red Hat OpenShift, Kubernetes</w:t>
            </w:r>
          </w:p>
        </w:tc>
      </w:tr>
      <w:tr>
        <w:tc>
          <w:tcPr>
            <w:tcW w:type="dxa" w:w="2500"/>
            <w:shd w:fill="F4F4F4" w:color="auto" w:val="clear"/>
            <w:tcMar>
              <w:top w:type="dxa" w:w="100"/>
              <w:left w:type="dxa" w:w="100"/>
              <w:bottom w:type="dxa" w:w="100"/>
              <w:right w:type="dxa" w:w="100"/>
            </w:tcMar>
          </w:tcPr>
          <w:p>
            <w:pPr>
              <w:jc w:val="left"/>
            </w:pPr>
            <w:r>
              <w:rPr>
                <w:sz w:val="20"/>
                <w:szCs w:val="20"/>
              </w:rPr>
              <w:t xml:space="preserve">Infrastructure</w:t>
            </w:r>
          </w:p>
        </w:tc>
        <w:tc>
          <w:tcPr>
            <w:tcW w:type="dxa" w:w="4500"/>
            <w:tcMar>
              <w:top w:type="dxa" w:w="100"/>
              <w:left w:type="dxa" w:w="100"/>
              <w:bottom w:type="dxa" w:w="100"/>
              <w:right w:type="dxa" w:w="100"/>
            </w:tcMar>
          </w:tcPr>
          <w:p>
            <w:pPr>
              <w:jc w:val="left"/>
            </w:pPr>
            <w:r>
              <w:rPr>
                <w:sz w:val="20"/>
                <w:szCs w:val="20"/>
              </w:rPr>
              <w:t xml:space="preserve">Compute, stockage, réseau, accélération dédiée</w:t>
            </w:r>
          </w:p>
        </w:tc>
        <w:tc>
          <w:tcPr>
            <w:tcW w:type="dxa" w:w="3200"/>
            <w:shd w:fill="F4F4F4" w:color="auto" w:val="clear"/>
            <w:tcMar>
              <w:top w:type="dxa" w:w="100"/>
              <w:left w:type="dxa" w:w="100"/>
              <w:bottom w:type="dxa" w:w="100"/>
              <w:right w:type="dxa" w:w="100"/>
            </w:tcMar>
          </w:tcPr>
          <w:p>
            <w:pPr>
              <w:jc w:val="left"/>
            </w:pPr>
            <w:r>
              <w:rPr>
                <w:sz w:val="20"/>
                <w:szCs w:val="20"/>
              </w:rPr>
              <w:t xml:space="preserve">IBM Z (z17 + Telum II), Power, IBM Storage FlashSystem</w:t>
            </w:r>
          </w:p>
        </w:tc>
      </w:tr>
      <w:tr>
        <w:tc>
          <w:tcPr>
            <w:tcW w:type="dxa" w:w="2500"/>
            <w:tcMar>
              <w:top w:type="dxa" w:w="100"/>
              <w:left w:type="dxa" w:w="100"/>
              <w:bottom w:type="dxa" w:w="100"/>
              <w:right w:type="dxa" w:w="100"/>
            </w:tcMar>
          </w:tcPr>
          <w:p>
            <w:pPr>
              <w:jc w:val="left"/>
            </w:pPr>
            <w:r>
              <w:rPr>
                <w:sz w:val="20"/>
                <w:szCs w:val="20"/>
              </w:rPr>
              <w:t xml:space="preserve">Sécurité et gouvernance</w:t>
            </w:r>
          </w:p>
        </w:tc>
        <w:tc>
          <w:tcPr>
            <w:tcW w:type="dxa" w:w="4500"/>
            <w:shd w:fill="F4F4F4" w:color="auto" w:val="clear"/>
            <w:tcMar>
              <w:top w:type="dxa" w:w="100"/>
              <w:left w:type="dxa" w:w="100"/>
              <w:bottom w:type="dxa" w:w="100"/>
              <w:right w:type="dxa" w:w="100"/>
            </w:tcMar>
          </w:tcPr>
          <w:p>
            <w:pPr>
              <w:jc w:val="left"/>
            </w:pPr>
            <w:r>
              <w:rPr>
                <w:sz w:val="20"/>
                <w:szCs w:val="20"/>
              </w:rPr>
              <w:t xml:space="preserve">Identité, chiffrement, audit, conformité réglementaire</w:t>
            </w:r>
          </w:p>
        </w:tc>
        <w:tc>
          <w:tcPr>
            <w:tcW w:type="dxa" w:w="3200"/>
            <w:tcMar>
              <w:top w:type="dxa" w:w="100"/>
              <w:left w:type="dxa" w:w="100"/>
              <w:bottom w:type="dxa" w:w="100"/>
              <w:right w:type="dxa" w:w="100"/>
            </w:tcMar>
          </w:tcPr>
          <w:p>
            <w:pPr>
              <w:jc w:val="left"/>
            </w:pPr>
            <w:r>
              <w:rPr>
                <w:sz w:val="20"/>
                <w:szCs w:val="20"/>
              </w:rPr>
              <w:t xml:space="preserve">IBM Security Verify, Guardium, QRadar SIEM</w:t>
            </w:r>
          </w:p>
        </w:tc>
      </w:tr>
    </w:tbl>
    <w:p>
      <w:pPr>
        <w:spacing w:after="240" w:before="120"/>
        <w:jc w:val="center"/>
      </w:pPr>
      <w:r>
        <w:rPr>
          <w:i/>
          <w:iCs/>
          <w:color w:val="808080"/>
          <w:sz w:val="18"/>
          <w:szCs w:val="18"/>
        </w:rPr>
        <w:t xml:space="preserve">Tableau 1. Architecture de référence en couches — composants IBM associés.</w:t>
      </w:r>
    </w:p>
    <w:p>
      <w:pPr>
        <w:pStyle w:val="Heading2"/>
        <w:spacing w:after="140" w:before="280"/>
      </w:pPr>
      <w:r>
        <w:rPr>
          <w:b/>
          <w:bCs/>
          <w:color w:val="0F62FE"/>
          <w:sz w:val="24"/>
          <w:szCs w:val="24"/>
        </w:rPr>
        <w:t xml:space="preserve">2.2 Principes directeurs</w:t>
      </w:r>
    </w:p>
    <w:p>
      <w:pPr>
        <w:pStyle w:val="ListParagraph"/>
        <w:numPr>
          <w:ilvl w:val="0"/>
          <w:numId w:val="1"/>
        </w:numPr>
        <w:spacing w:after="100" w:line="300"/>
      </w:pPr>
      <w:r>
        <w:rPr>
          <w:sz w:val="22"/>
          <w:szCs w:val="22"/>
        </w:rPr>
        <w:t xml:space="preserve">Séparation stricte entre le plan de contrôle (gouvernance, catalogage) et le plan d'exécution (compute, stockage) : les décisions de politique sont prises indépendamment de l'endroit où les charges s'exécutent.</w:t>
      </w:r>
    </w:p>
    <w:p>
      <w:pPr>
        <w:pStyle w:val="ListParagraph"/>
        <w:numPr>
          <w:ilvl w:val="0"/>
          <w:numId w:val="1"/>
        </w:numPr>
        <w:spacing w:after="100" w:line="300"/>
      </w:pPr>
      <w:r>
        <w:rPr>
          <w:sz w:val="22"/>
          <w:szCs w:val="22"/>
        </w:rPr>
        <w:t xml:space="preserve">Portabilité des charges entre environnements par la conteneurisation systématique et l'utilisation de standards ouverts : une application déployée sur OpenShift on-premises peut être exécutée sans modification sur IBM Cloud, AWS ou Azure ROSA.</w:t>
      </w:r>
    </w:p>
    <w:p>
      <w:pPr>
        <w:pStyle w:val="ListParagraph"/>
        <w:numPr>
          <w:ilvl w:val="0"/>
          <w:numId w:val="1"/>
        </w:numPr>
        <w:spacing w:after="100" w:line="300"/>
      </w:pPr>
      <w:r>
        <w:rPr>
          <w:sz w:val="22"/>
          <w:szCs w:val="22"/>
        </w:rPr>
        <w:t xml:space="preserve">Résidence des données comme critère de conception primaire : les modèles sont déployés là où les données résident, et non l'inverse. Cette contrainte est particulièrement forte pour les secteurs bancaire, santé et public.</w:t>
      </w:r>
    </w:p>
    <w:p>
      <w:pPr>
        <w:pStyle w:val="ListParagraph"/>
        <w:numPr>
          <w:ilvl w:val="0"/>
          <w:numId w:val="1"/>
        </w:numPr>
        <w:spacing w:after="100" w:line="300"/>
      </w:pPr>
      <w:r>
        <w:rPr>
          <w:sz w:val="22"/>
          <w:szCs w:val="22"/>
        </w:rPr>
        <w:t xml:space="preserve">Traçabilité de bout en bout : chaque prédiction produite en production doit pouvoir être associée au modèle qui l'a générée, au jeu de données qui l'a entraîné, et à la décision qui l'a exploitée. Cette exigence est portée nativement par watsonx.governance.</w:t>
      </w:r>
    </w:p>
    <w:p>
      <w:pPr>
        <w:pStyle w:val="ListParagraph"/>
        <w:numPr>
          <w:ilvl w:val="0"/>
          <w:numId w:val="1"/>
        </w:numPr>
        <w:spacing w:after="100" w:line="300"/>
      </w:pPr>
      <w:r>
        <w:rPr>
          <w:sz w:val="22"/>
          <w:szCs w:val="22"/>
        </w:rPr>
        <w:t xml:space="preserve">Homogénéité opérationnelle entre environnements : les mêmes outils d'observabilité, d'alerting et de rollback s'appliquent à tous les environnements, réduisant considérablement la charge cognitive des équipes SRE.</w:t>
      </w:r>
    </w:p>
    <w:p>
      <w:r>
        <w:br w:type="page"/>
      </w:r>
    </w:p>
    <w:p>
      <w:pPr>
        <w:pStyle w:val="Heading1"/>
        <w:spacing w:after="200" w:before="400"/>
      </w:pPr>
      <w:r>
        <w:rPr>
          <w:b/>
          <w:bCs/>
          <w:color w:val="0043CE"/>
          <w:sz w:val="32"/>
          <w:szCs w:val="32"/>
        </w:rPr>
        <w:t xml:space="preserve">3. IBM watsonx — architecture et composants</w:t>
      </w:r>
    </w:p>
    <w:p>
      <w:pPr>
        <w:spacing w:after="140" w:line="320" w:lineRule="auto"/>
        <w:jc w:val="both"/>
      </w:pPr>
      <w:r>
        <w:rPr>
          <w:sz w:val="22"/>
          <w:szCs w:val="22"/>
        </w:rPr>
        <w:t xml:space="preserve">La plateforme watsonx est le socle IA d'entreprise d'IBM. Elle regroupe trois produits complémentaires conçus pour couvrir l'ensemble du cycle de vie des modèles d'intelligence artificielle en entreprise : le développement (watsonx.ai), la gestion des données (watsonx.data) et la gouvernance (watsonx.governance).</w:t>
      </w:r>
    </w:p>
    <w:p>
      <w:pPr>
        <w:pStyle w:val="Heading2"/>
        <w:spacing w:after="140" w:before="280"/>
      </w:pPr>
      <w:r>
        <w:rPr>
          <w:b/>
          <w:bCs/>
          <w:color w:val="0F62FE"/>
          <w:sz w:val="24"/>
          <w:szCs w:val="24"/>
        </w:rPr>
        <w:t xml:space="preserve">3.1 watsonx.ai — développement et déploiement</w:t>
      </w:r>
    </w:p>
    <w:p>
      <w:pPr>
        <w:spacing w:after="140" w:line="320" w:lineRule="auto"/>
        <w:jc w:val="both"/>
      </w:pPr>
      <w:r>
        <w:rPr>
          <w:sz w:val="22"/>
          <w:szCs w:val="22"/>
        </w:rPr>
        <w:t xml:space="preserve">watsonx.ai est le studio de développement, de fine-tuning et de déploiement des modèles. Il expose un catalogue de modèles pré-entraînés — famille Granite (propriétaire IBM, sous licence Apache 2.0), Llama, Mistral, ainsi que des modèles spécialisés partenaires — et permet leur adaptation à des domaines métier spécifiques via différentes techniques : Prompt Tuning, LoRA, QLoRA et full fine-tuning pour les cas les plus exigeants.</w:t>
      </w:r>
    </w:p>
    <w:p>
      <w:pPr>
        <w:spacing w:after="140" w:line="320" w:lineRule="auto"/>
        <w:jc w:val="both"/>
      </w:pPr>
      <w:r>
        <w:rPr>
          <w:sz w:val="22"/>
          <w:szCs w:val="22"/>
        </w:rPr>
        <w:t xml:space="preserve">La version 2025 de watsonx.ai apporte trois évolutions majeures : le support natif des agents autonomes via le protocole MCP (Model Context Protocol), l'intégration d'un moteur d'orchestration multi-modèles (routage intelligent selon le coût, la latence et la précision requise), et une intégration profonde avec watsonx.data pour l'entraînement en place sans copie de données.</w:t>
      </w:r>
    </w:p>
    <w:p>
      <w:pPr>
        <w:pStyle w:val="Heading3"/>
        <w:spacing w:after="120" w:before="200"/>
      </w:pPr>
      <w:r>
        <w:rPr>
          <w:b/>
          <w:bCs/>
          <w:color w:val="0043CE"/>
          <w:sz w:val="20"/>
          <w:szCs w:val="20"/>
        </w:rPr>
        <w:t xml:space="preserve">3.1.1 Famille de modèles Granite 3.0</w:t>
      </w:r>
    </w:p>
    <w:p>
      <w:pPr>
        <w:spacing w:after="140" w:line="320" w:lineRule="auto"/>
        <w:jc w:val="both"/>
      </w:pPr>
      <w:r>
        <w:rPr>
          <w:sz w:val="22"/>
          <w:szCs w:val="22"/>
        </w:rPr>
        <w:t xml:space="preserve">Granite 3.0 est la troisième génération des modèles de fondation propriétaires IBM. Publiée en 2025 sous licence Apache 2.0, elle est disponible en quatre tailles (2B, 8B, 20B et 34B paramètres) et cible spécifiquement les cas d'usage d'entreprise. Les modèles ont été entraînés sur un corpus dédupliqué et filtré pour minimiser le risque de reproduction de contenu protégé par le droit d'auteur.</w:t>
      </w:r>
    </w:p>
    <w:p>
      <w:pPr>
        <w:spacing w:after="140" w:line="320" w:lineRule="auto"/>
        <w:jc w:val="both"/>
      </w:pPr>
      <w:r>
        <w:rPr>
          <w:sz w:val="22"/>
          <w:szCs w:val="22"/>
        </w:rPr>
        <w:t xml:space="preserve">Deux caractéristiques techniques distinguent Granite des modèles grand public : d'une part, l'entraînement inclut un volume important de code métier (COBOL, PL/1, SAS) et de terminologie technique sectorielle (finance, santé, industrie) ; d'autre part, chaque modèle est livré avec une carte modèle exhaustive documentant la composition des données d'entraînement, les benchmarks obtenus et les limites connues. Cette documentation répond aux exigences de l'AI Act européen sur les modèles à haut risque.</w:t>
      </w:r>
    </w:p>
    <w:p>
      <w:pPr>
        <w:pStyle w:val="Heading2"/>
        <w:spacing w:after="140" w:before="280"/>
      </w:pPr>
      <w:r>
        <w:rPr>
          <w:b/>
          <w:bCs/>
          <w:color w:val="0F62FE"/>
          <w:sz w:val="24"/>
          <w:szCs w:val="24"/>
        </w:rPr>
        <w:t xml:space="preserve">3.2 watsonx.data — data lakehouse ouvert</w:t>
      </w:r>
    </w:p>
    <w:p>
      <w:pPr>
        <w:spacing w:after="140" w:line="320" w:lineRule="auto"/>
        <w:jc w:val="both"/>
      </w:pPr>
      <w:r>
        <w:rPr>
          <w:sz w:val="22"/>
          <w:szCs w:val="22"/>
        </w:rPr>
        <w:t xml:space="preserve">watsonx.data est un data lakehouse bâti sur des formats ouverts (Apache Iceberg, Parquet, ORC) et fédérant plusieurs moteurs d'exécution : Presto pour les requêtes ad-hoc, Spark pour les traitements ETL massifs, et Milvus pour la recherche vectorielle. Cette hétérogénéité contrôlée permet d'appliquer le bon moteur au bon usage sans multiplier les copies de données.</w:t>
      </w:r>
    </w:p>
    <w:p>
      <w:pPr>
        <w:spacing w:after="140" w:line="320" w:lineRule="auto"/>
        <w:jc w:val="both"/>
      </w:pPr>
      <w:r>
        <w:rPr>
          <w:sz w:val="22"/>
          <w:szCs w:val="22"/>
        </w:rPr>
        <w:t xml:space="preserve">La particularité fondamentale de watsonx.data réside dans son approche « data virtualization first » : les données restent physiquement dans leurs systèmes d'origine (entrepôts Db2, Teradata, Snowflake, systèmes mainframe) et ne sont matérialisées localement que lorsque la performance des requêtes l'exige. Cette approche minimise la duplication, réduit les coûts d'infrastructure et évite les problèmes de fraîcheur chroniques dans les architectures ETL traditionnelles.</w:t>
      </w:r>
    </w:p>
    <w:p>
      <w:pPr>
        <w:pStyle w:val="Heading2"/>
        <w:spacing w:after="140" w:before="280"/>
      </w:pPr>
      <w:r>
        <w:rPr>
          <w:b/>
          <w:bCs/>
          <w:color w:val="0F62FE"/>
          <w:sz w:val="24"/>
          <w:szCs w:val="24"/>
        </w:rPr>
        <w:t xml:space="preserve">3.3 watsonx.governance — traçabilité et conformité</w:t>
      </w:r>
    </w:p>
    <w:p>
      <w:pPr>
        <w:spacing w:after="140" w:line="320" w:lineRule="auto"/>
        <w:jc w:val="both"/>
      </w:pPr>
      <w:r>
        <w:rPr>
          <w:sz w:val="22"/>
          <w:szCs w:val="22"/>
        </w:rPr>
        <w:t xml:space="preserve">watsonx.governance est le composant qui distingue le plus visiblement IBM des offres concurrentes. Il assure la gouvernance de l'ensemble du cycle de vie des modèles : inventaire, évaluation systématique (précision, biais, robustesse), surveillance de la dérive en production, gestion des incidents et documentation réglementaire.</w:t>
      </w:r>
    </w:p>
    <w:p>
      <w:pPr>
        <w:spacing w:after="140" w:line="320" w:lineRule="auto"/>
        <w:jc w:val="both"/>
      </w:pPr>
      <w:r>
        <w:rPr>
          <w:sz w:val="22"/>
          <w:szCs w:val="22"/>
        </w:rPr>
        <w:t xml:space="preserve">L'AI Act européen, entré en application en août 2025, impose aux fournisseurs de systèmes d'IA à haut risque un ensemble d'obligations documentaires et opérationnelles précises. watsonx.governance a été conçu pour répondre nativement à ces obligations. Les documents produits — fiches de conformité, rapports d'évaluation, journaux d'incidents — sont directement exploitables par les autorités de contrôle.</w:t>
      </w:r>
    </w:p>
    <w:p>
      <w:pPr>
        <w:spacing w:after="240" w:before="240" w:line="320" w:lineRule="auto"/>
        <w:ind w:left="720" w:right="720"/>
        <w:jc w:val="both"/>
      </w:pPr>
      <w:r>
        <w:rPr>
          <w:i/>
          <w:iCs/>
          <w:color w:val="0043CE"/>
          <w:sz w:val="22"/>
          <w:szCs w:val="22"/>
        </w:rPr>
        <w:t xml:space="preserve">"Le déploiement de watsonx.governance chez HSBC nous a permis de rationaliser en moins de six mois la gestion de plus de 340 modèles IA en production. La traçabilité automatisée, l'évaluation continue des dérives et la documentation réglementaire intégrée transforment radicalement notre capacité à répondre aux auditeurs et régulateurs." — Responsable Data &amp; AI, HSBC Holdings, Retour d'expérience client, novembre 2025.</w:t>
      </w:r>
    </w:p>
    <w:p>
      <w:r>
        <w:br w:type="page"/>
      </w:r>
    </w:p>
    <w:p>
      <w:pPr>
        <w:pStyle w:val="Heading1"/>
        <w:spacing w:after="200" w:before="400"/>
      </w:pPr>
      <w:r>
        <w:rPr>
          <w:b/>
          <w:bCs/>
          <w:color w:val="0043CE"/>
          <w:sz w:val="32"/>
          <w:szCs w:val="32"/>
        </w:rPr>
        <w:t xml:space="preserve">4. Red Hat OpenShift — la plateforme d'exécution</w:t>
      </w:r>
    </w:p>
    <w:p>
      <w:pPr>
        <w:spacing w:after="140" w:line="320" w:lineRule="auto"/>
        <w:jc w:val="both"/>
      </w:pPr>
      <w:r>
        <w:rPr>
          <w:sz w:val="22"/>
          <w:szCs w:val="22"/>
        </w:rPr>
        <w:t xml:space="preserve">Red Hat OpenShift est la plateforme d'exécution conteneurisée qui sous-tend l'ensemble de la stack IBM Hybrid Cloud. Bâtie sur Kubernetes et sécurisée par SELinux, OpenShift apporte les capacités opérationnelles nécessaires à un déploiement d'entreprise : haute disponibilité, mise à jour sans interruption de service, gestion multi-tenants stricte, observabilité intégrée et politiques de sécurité déclaratives.</w:t>
      </w:r>
    </w:p>
    <w:p>
      <w:pPr>
        <w:pStyle w:val="Heading2"/>
        <w:spacing w:after="140" w:before="280"/>
      </w:pPr>
      <w:r>
        <w:rPr>
          <w:b/>
          <w:bCs/>
          <w:color w:val="0F62FE"/>
          <w:sz w:val="24"/>
          <w:szCs w:val="24"/>
        </w:rPr>
        <w:t xml:space="preserve">4.1 OpenShift on-mainframe</w:t>
      </w:r>
    </w:p>
    <w:p>
      <w:pPr>
        <w:spacing w:after="140" w:line="320" w:lineRule="auto"/>
        <w:jc w:val="both"/>
      </w:pPr>
      <w:r>
        <w:rPr>
          <w:sz w:val="22"/>
          <w:szCs w:val="22"/>
        </w:rPr>
        <w:t xml:space="preserve">L'une des évolutions techniques majeures de 2025 est la maturité atteinte par OpenShift en exécution sur mainframe IBM Z. Cette configuration permet d'exécuter des charges conteneurisées directement sur des LPAR Linux du z17, colocalisées avec les charges z/OS historiques. Le principal bénéfice est la latence : une requête sur un service conteneurisé peut accéder aux données de production z/OS en moins de 200 microsecondes, contre plusieurs millisecondes sur une architecture éclatée entre mainframe et cluster x86.</w:t>
      </w:r>
    </w:p>
    <w:p>
      <w:pPr>
        <w:spacing w:after="140" w:line="320" w:lineRule="auto"/>
        <w:jc w:val="both"/>
      </w:pPr>
      <w:r>
        <w:rPr>
          <w:sz w:val="22"/>
          <w:szCs w:val="22"/>
        </w:rPr>
        <w:t xml:space="preserve">Ce patron d'architecture est particulièrement pertinent pour les banques transactionnelles et les compagnies d'assurance. Walmart Inc. a déployé en 2025 une architecture OpenShift on-mainframe pour héberger sa nouvelle plateforme de traitement des paiements en magasin, avec une latence médiane observée de 3,2 millisecondes sur les opérations de tokenisation.</w:t>
      </w:r>
    </w:p>
    <w:p>
      <w:pPr>
        <w:pStyle w:val="Heading2"/>
        <w:spacing w:after="140" w:before="280"/>
      </w:pPr>
      <w:r>
        <w:rPr>
          <w:b/>
          <w:bCs/>
          <w:color w:val="0F62FE"/>
          <w:sz w:val="24"/>
          <w:szCs w:val="24"/>
        </w:rPr>
        <w:t xml:space="preserve">4.2 Service Mesh et sécurité de zéro confiance</w:t>
      </w:r>
    </w:p>
    <w:p>
      <w:pPr>
        <w:spacing w:after="140" w:line="320" w:lineRule="auto"/>
        <w:jc w:val="both"/>
      </w:pPr>
      <w:r>
        <w:rPr>
          <w:sz w:val="22"/>
          <w:szCs w:val="22"/>
        </w:rPr>
        <w:t xml:space="preserve">Le maillage de services Istio, intégré et pré-configuré dans OpenShift 4.14, apporte les capacités de zéro confiance nécessaires à un déploiement d'entreprise moderne : chiffrement mutuel TLS entre services, contrôle d'accès fin par identité de service (SPIFFE), gestion centralisée des politiques d'autorisation et observabilité distribuée. Ces capacités sont indispensables dans les environnements réglementés où chaque interaction entre services doit être authentifiée, autorisée et journalisée.</w:t>
      </w:r>
    </w:p>
    <w:p>
      <w:r>
        <w:br w:type="page"/>
      </w:r>
    </w:p>
    <w:p>
      <w:pPr>
        <w:pStyle w:val="Heading1"/>
        <w:spacing w:after="200" w:before="400"/>
      </w:pPr>
      <w:r>
        <w:rPr>
          <w:b/>
          <w:bCs/>
          <w:color w:val="0043CE"/>
          <w:sz w:val="32"/>
          <w:szCs w:val="32"/>
        </w:rPr>
        <w:t xml:space="preserve">5. IBM Z Systems et l'accélération IA on-chip</w:t>
      </w:r>
    </w:p>
    <w:p>
      <w:pPr>
        <w:spacing w:after="140" w:line="320" w:lineRule="auto"/>
        <w:jc w:val="both"/>
      </w:pPr>
      <w:r>
        <w:rPr>
          <w:sz w:val="22"/>
          <w:szCs w:val="22"/>
        </w:rPr>
        <w:t xml:space="preserve">Le mainframe IBM Z, souvent perçu comme une technologie de génération précédente, connaît un renouveau technique important en 2025 avec le lancement du z17 et de son coprocesseur IA intégré Telum II. Cette évolution positionne IBM Z comme une plateforme d'inférence IA critique pour les charges qui ne peuvent pas quitter le mainframe : transactions bancaires, systèmes de paiement, gestion des sinistres, opérations gouvernementales sensibles.</w:t>
      </w:r>
    </w:p>
    <w:p>
      <w:pPr>
        <w:pStyle w:val="Heading2"/>
        <w:spacing w:after="140" w:before="280"/>
      </w:pPr>
      <w:r>
        <w:rPr>
          <w:b/>
          <w:bCs/>
          <w:color w:val="0F62FE"/>
          <w:sz w:val="24"/>
          <w:szCs w:val="24"/>
        </w:rPr>
        <w:t xml:space="preserve">5.1 Le processeur Telum II</w:t>
      </w:r>
    </w:p>
    <w:p>
      <w:pPr>
        <w:spacing w:after="140" w:line="320" w:lineRule="auto"/>
        <w:jc w:val="both"/>
      </w:pPr>
      <w:r>
        <w:rPr>
          <w:sz w:val="22"/>
          <w:szCs w:val="22"/>
        </w:rPr>
        <w:t xml:space="preserve">Telum II est le second processeur mainframe IBM à intégrer un accélérateur d'inférence IA nativement sur la puce. Fabriqué en gravure 5 nm par Samsung, il embarque 8 cœurs généralistes cadencés à 5,5 GHz et un accélérateur IA dédié capable d'exécuter des opérations sur des modèles jusqu'à 20 milliards de paramètres. La latence d'inférence sur un modèle Granite 8B en environnement mainframe atteint 12 millisecondes par requête, ce qui permet d'intégrer l'IA générative dans le flux de transactions temps-réel sans compromis architectural.</w:t>
      </w:r>
    </w:p>
    <w:p>
      <w:pPr>
        <w:pStyle w:val="Heading2"/>
        <w:spacing w:after="140" w:before="280"/>
      </w:pPr>
      <w:r>
        <w:rPr>
          <w:b/>
          <w:bCs/>
          <w:color w:val="0F62FE"/>
          <w:sz w:val="24"/>
          <w:szCs w:val="24"/>
        </w:rPr>
        <w:t xml:space="preserve">5.2 Cas d'usage typiques</w:t>
      </w:r>
    </w:p>
    <w:p>
      <w:pPr>
        <w:pStyle w:val="ListParagraph"/>
        <w:numPr>
          <w:ilvl w:val="0"/>
          <w:numId w:val="1"/>
        </w:numPr>
        <w:spacing w:after="100" w:line="300"/>
      </w:pPr>
      <w:r>
        <w:rPr>
          <w:sz w:val="22"/>
          <w:szCs w:val="22"/>
        </w:rPr>
        <w:t xml:space="preserve">Détection de fraude en ligne pendant l'autorisation d'une transaction, sans transfert de données vers un cluster GPU externe. Latence bout-en-bout inférieure à 30 ms.</w:t>
      </w:r>
    </w:p>
    <w:p>
      <w:pPr>
        <w:pStyle w:val="ListParagraph"/>
        <w:numPr>
          <w:ilvl w:val="0"/>
          <w:numId w:val="1"/>
        </w:numPr>
        <w:spacing w:after="100" w:line="300"/>
      </w:pPr>
      <w:r>
        <w:rPr>
          <w:sz w:val="22"/>
          <w:szCs w:val="22"/>
        </w:rPr>
        <w:t xml:space="preserve">Enrichissement des dossiers en assurance vie et santé avec des synthèses générées à la volée à partir de dossiers médicaux internes.</w:t>
      </w:r>
    </w:p>
    <w:p>
      <w:pPr>
        <w:pStyle w:val="ListParagraph"/>
        <w:numPr>
          <w:ilvl w:val="0"/>
          <w:numId w:val="1"/>
        </w:numPr>
        <w:spacing w:after="100" w:line="300"/>
      </w:pPr>
      <w:r>
        <w:rPr>
          <w:sz w:val="22"/>
          <w:szCs w:val="22"/>
        </w:rPr>
        <w:t xml:space="preserve">Assistance aux agents dans les centres de relation client, avec des suggestions de réponse contextualisées produites à chaque tour de conversation.</w:t>
      </w:r>
    </w:p>
    <w:p>
      <w:pPr>
        <w:pStyle w:val="ListParagraph"/>
        <w:numPr>
          <w:ilvl w:val="0"/>
          <w:numId w:val="1"/>
        </w:numPr>
        <w:spacing w:after="100" w:line="300"/>
      </w:pPr>
      <w:r>
        <w:rPr>
          <w:sz w:val="22"/>
          <w:szCs w:val="22"/>
        </w:rPr>
        <w:t xml:space="preserve">Détection d'anomalies dans les journaux systèmes des applications mainframe critiques, avec explication en langage naturel des incidents détectés.</w:t>
      </w:r>
    </w:p>
    <w:p>
      <w:pPr>
        <w:pStyle w:val="Heading2"/>
        <w:spacing w:after="140" w:before="280"/>
      </w:pPr>
      <w:r>
        <w:rPr>
          <w:b/>
          <w:bCs/>
          <w:color w:val="0F62FE"/>
          <w:sz w:val="24"/>
          <w:szCs w:val="24"/>
        </w:rPr>
        <w:t xml:space="preserve">5.3 Retour d'expérience JPMorgan Chase</w:t>
      </w:r>
    </w:p>
    <w:p>
      <w:pPr>
        <w:spacing w:after="140" w:line="320" w:lineRule="auto"/>
        <w:jc w:val="both"/>
      </w:pPr>
      <w:r>
        <w:rPr>
          <w:sz w:val="22"/>
          <w:szCs w:val="22"/>
        </w:rPr>
        <w:t xml:space="preserve">JPMorgan Chase a déployé le z17 en 2025 dans le cadre du renouvellement de son contrat pluriannuel avec IBM. L'accélérateur Telum II est utilisé en production pour la détection de fraude sur les paiements par carte, avec une réduction observée de 34 % des faux positifs par rapport au modèle précédemment déployé sur cluster GPU externe. Le gain principal ne provient pas tant de la performance brute que de l'élimination des allers-retours réseau et de la simplification radicale de la topologie opérationnelle.</w:t>
      </w:r>
    </w:p>
    <w:p>
      <w:r>
        <w:br w:type="page"/>
      </w:r>
    </w:p>
    <w:p>
      <w:pPr>
        <w:pStyle w:val="Heading1"/>
        <w:spacing w:after="200" w:before="400"/>
      </w:pPr>
      <w:r>
        <w:rPr>
          <w:b/>
          <w:bCs/>
          <w:color w:val="0043CE"/>
          <w:sz w:val="32"/>
          <w:szCs w:val="32"/>
        </w:rPr>
        <w:t xml:space="preserve">6. Patrons d'intégration éprouvés</w:t>
      </w:r>
    </w:p>
    <w:p>
      <w:pPr>
        <w:spacing w:after="140" w:line="320" w:lineRule="auto"/>
        <w:jc w:val="both"/>
      </w:pPr>
      <w:r>
        <w:rPr>
          <w:sz w:val="22"/>
          <w:szCs w:val="22"/>
        </w:rPr>
        <w:t xml:space="preserve">Six patrons d'intégration reviennent régulièrement dans les déploiements IBM Hybrid Cloud chez nos clients. Chacun répond à une classe de besoin spécifique et présente des trade-offs propres.</w:t>
      </w:r>
    </w:p>
    <w:p>
      <w:pPr>
        <w:pStyle w:val="Heading2"/>
        <w:spacing w:after="140" w:before="280"/>
      </w:pPr>
      <w:r>
        <w:rPr>
          <w:b/>
          <w:bCs/>
          <w:color w:val="0F62FE"/>
          <w:sz w:val="24"/>
          <w:szCs w:val="24"/>
        </w:rPr>
        <w:t xml:space="preserve">6.1 Le patron RAG (Retrieval-Augmented Generation)</w:t>
      </w:r>
    </w:p>
    <w:p>
      <w:pPr>
        <w:spacing w:after="140" w:line="320" w:lineRule="auto"/>
        <w:jc w:val="both"/>
      </w:pPr>
      <w:r>
        <w:rPr>
          <w:sz w:val="22"/>
          <w:szCs w:val="22"/>
        </w:rPr>
        <w:t xml:space="preserve">Le patron RAG combine un modèle de langage avec une base de connaissances vectorielle. À chaque requête utilisateur, les passages pertinents sont retrouvés dans la base et injectés dans le prompt du modèle avant génération. Ce patron est adapté aux cas d'usage documentaires : questions-réponses sur base réglementaire, assistance à la rédaction de contrats, recherche dans des corpus techniques.</w:t>
      </w:r>
    </w:p>
    <w:p>
      <w:pPr>
        <w:spacing w:after="140" w:line="320" w:lineRule="auto"/>
        <w:jc w:val="both"/>
      </w:pPr>
      <w:r>
        <w:rPr>
          <w:sz w:val="22"/>
          <w:szCs w:val="22"/>
        </w:rPr>
        <w:t xml:space="preserve">L'implémentation de référence chez IBM utilise watsonx.data pour l'indexation vectorielle (Milvus), watsonx.ai pour la génération (Granite 3.0 en fine-tuning léger), et un orchestrateur applicatif déployé sur OpenShift. La sécurité des données sensibles est assurée par un filtrage des passages retournés en fonction des droits de l'utilisateur, appliqué avant l'appel au modèle génératif.</w:t>
      </w:r>
    </w:p>
    <w:p>
      <w:pPr>
        <w:pStyle w:val="Heading2"/>
        <w:spacing w:after="140" w:before="280"/>
      </w:pPr>
      <w:r>
        <w:rPr>
          <w:b/>
          <w:bCs/>
          <w:color w:val="0F62FE"/>
          <w:sz w:val="24"/>
          <w:szCs w:val="24"/>
        </w:rPr>
        <w:t xml:space="preserve">6.2 Le patron agentique</w:t>
      </w:r>
    </w:p>
    <w:p>
      <w:pPr>
        <w:spacing w:after="140" w:line="320" w:lineRule="auto"/>
        <w:jc w:val="both"/>
      </w:pPr>
      <w:r>
        <w:rPr>
          <w:sz w:val="22"/>
          <w:szCs w:val="22"/>
        </w:rPr>
        <w:t xml:space="preserve">Les agents autonomes constituent la nouvelle génération d'applications IA. Contrairement aux chatbots traditionnels qui produisent une réponse par requête, un agent enchaîne des étapes de raisonnement, appelle des outils externes (recherche web, requête base de données, appel d'API) et adapte son plan d'action en fonction des résultats obtenus.</w:t>
      </w:r>
    </w:p>
    <w:p>
      <w:pPr>
        <w:spacing w:after="140" w:line="320" w:lineRule="auto"/>
        <w:jc w:val="both"/>
      </w:pPr>
      <w:r>
        <w:rPr>
          <w:sz w:val="22"/>
          <w:szCs w:val="22"/>
        </w:rPr>
        <w:t xml:space="preserve">watsonx Orchestrate 2025 apporte les briques d'orchestration agentique nécessaires : définition déclarative des outils disponibles, gestion du contexte de conversation sur plusieurs tours, mécanismes de garde-fous (guardrails) prévenant les dérives et limitant les actions destructrices, et journalisation exhaustive des décisions prises. Le protocole MCP (Model Context Protocol), standardisé fin 2024, permet l'interopérabilité entre agents watsonx et les outils tiers.</w:t>
      </w:r>
    </w:p>
    <w:p>
      <w:pPr>
        <w:pStyle w:val="Heading2"/>
        <w:spacing w:after="140" w:before="280"/>
      </w:pPr>
      <w:r>
        <w:rPr>
          <w:b/>
          <w:bCs/>
          <w:color w:val="0F62FE"/>
          <w:sz w:val="24"/>
          <w:szCs w:val="24"/>
        </w:rPr>
        <w:t xml:space="preserve">6.3 Le patron d'inférence embarquée mainframe</w:t>
      </w:r>
    </w:p>
    <w:p>
      <w:pPr>
        <w:spacing w:after="140" w:line="320" w:lineRule="auto"/>
        <w:jc w:val="both"/>
      </w:pPr>
      <w:r>
        <w:rPr>
          <w:sz w:val="22"/>
          <w:szCs w:val="22"/>
        </w:rPr>
        <w:t xml:space="preserve">Ce patron consiste à exécuter l'inférence IA directement sur le mainframe, au plus près des données transactionnelles. Il est adapté aux charges où la latence est critique (&lt; 50 ms) et où le déplacement des données vers un cluster IA externe soulève des questions réglementaires. Les principaux clients ayant adopté ce patron en 2025 incluent JPMorgan Chase, Toyota Motor Corp et le US Department of Veterans Affairs.</w:t>
      </w:r>
    </w:p>
    <w:p>
      <w:pPr>
        <w:pStyle w:val="Heading2"/>
        <w:spacing w:after="140" w:before="280"/>
      </w:pPr>
      <w:r>
        <w:rPr>
          <w:b/>
          <w:bCs/>
          <w:color w:val="0F62FE"/>
          <w:sz w:val="24"/>
          <w:szCs w:val="24"/>
        </w:rPr>
        <w:t xml:space="preserve">6.4 Le patron de fine-tuning domaine</w:t>
      </w:r>
    </w:p>
    <w:p>
      <w:pPr>
        <w:spacing w:after="140" w:line="320" w:lineRule="auto"/>
        <w:jc w:val="both"/>
      </w:pPr>
      <w:r>
        <w:rPr>
          <w:sz w:val="22"/>
          <w:szCs w:val="22"/>
        </w:rPr>
        <w:t xml:space="preserve">Le fine-tuning d'un modèle de base sur un corpus métier permet d'obtenir des performances supérieures aux modèles génériques sur des cas d'usage spécifiques. Le patron IBM recommande le fine-tuning LoRA (Low-Rank Adaptation) qui préserve les poids du modèle de base et n'apprend qu'un delta compact, réduisant les coûts de stockage et permettant de servir plusieurs variantes fine-tunées depuis un même modèle de base.</w:t>
      </w:r>
    </w:p>
    <w:p>
      <w:pPr>
        <w:spacing w:after="140" w:line="320" w:lineRule="auto"/>
        <w:jc w:val="both"/>
      </w:pPr>
      <w:r>
        <w:rPr>
          <w:sz w:val="22"/>
          <w:szCs w:val="22"/>
        </w:rPr>
        <w:t xml:space="preserve">Le déploiement chez Mayo Clinic en 2025 illustre ce patron : un modèle de base Granite 3.0-8B a été fine-tuné en LoRA sur un corpus médical Mayo respectant strictement HIPAA, produisant une variante spécialisée dédiée à la synthèse de dossiers patients. Le modèle de base reste inchangé et peut être réutilisé pour d'autres cas d'usage avec d'autres deltas LoRA.</w:t>
      </w:r>
    </w:p>
    <w:p>
      <w:pPr>
        <w:pStyle w:val="Heading2"/>
        <w:spacing w:after="140" w:before="280"/>
      </w:pPr>
      <w:r>
        <w:rPr>
          <w:b/>
          <w:bCs/>
          <w:color w:val="0F62FE"/>
          <w:sz w:val="24"/>
          <w:szCs w:val="24"/>
        </w:rPr>
        <w:t xml:space="preserve">6.5 Le patron multi-modèles avec routage intelligent</w:t>
      </w:r>
    </w:p>
    <w:p>
      <w:pPr>
        <w:spacing w:after="140" w:line="320" w:lineRule="auto"/>
        <w:jc w:val="both"/>
      </w:pPr>
      <w:r>
        <w:rPr>
          <w:sz w:val="22"/>
          <w:szCs w:val="22"/>
        </w:rPr>
        <w:t xml:space="preserve">Toutes les requêtes ne méritent pas le même modèle. Une salutation banale ne justifie pas l'appel à un modèle de 34 milliards de paramètres. Le patron multi-modèles consiste à router chaque requête vers le modèle le plus économiquement adapté : modèle léger (2B) pour les cas simples, modèle intermédiaire (8B) pour la majorité des interactions, modèle lourd (34B) pour les cas complexes explicitement identifiés. watsonx.ai intègre ce routage nativement à travers une politique de coût configurable.</w:t>
      </w:r>
    </w:p>
    <w:p>
      <w:pPr>
        <w:pStyle w:val="Heading2"/>
        <w:spacing w:after="140" w:before="280"/>
      </w:pPr>
      <w:r>
        <w:rPr>
          <w:b/>
          <w:bCs/>
          <w:color w:val="0F62FE"/>
          <w:sz w:val="24"/>
          <w:szCs w:val="24"/>
        </w:rPr>
        <w:t xml:space="preserve">6.6 Le patron data mesh fédéré</w:t>
      </w:r>
    </w:p>
    <w:p>
      <w:pPr>
        <w:spacing w:after="140" w:line="320" w:lineRule="auto"/>
        <w:jc w:val="both"/>
      </w:pPr>
      <w:r>
        <w:rPr>
          <w:sz w:val="22"/>
          <w:szCs w:val="22"/>
        </w:rPr>
        <w:t xml:space="preserve">Le data mesh consiste à donner aux domaines métier la propriété de leurs données, tout en assurant l'interopérabilité par un catalogue global et des standards partagés. watsonx.data facilite ce patron par ses capacités de virtualisation : chaque domaine conserve ses systèmes historiques, un catalogue centralisé référence les jeux de données disponibles, et les requêtes fédérées traversent plusieurs domaines de manière transparente pour les consommateurs.</w:t>
      </w:r>
    </w:p>
    <w:p>
      <w:r>
        <w:br w:type="page"/>
      </w:r>
    </w:p>
    <w:p>
      <w:pPr>
        <w:pStyle w:val="Heading1"/>
        <w:spacing w:after="200" w:before="400"/>
      </w:pPr>
      <w:r>
        <w:rPr>
          <w:b/>
          <w:bCs/>
          <w:color w:val="0043CE"/>
          <w:sz w:val="32"/>
          <w:szCs w:val="32"/>
        </w:rPr>
        <w:t xml:space="preserve">7. Guides de dimensionnement</w:t>
      </w:r>
    </w:p>
    <w:p>
      <w:pPr>
        <w:spacing w:after="140" w:line="320" w:lineRule="auto"/>
        <w:jc w:val="both"/>
      </w:pPr>
      <w:r>
        <w:rPr>
          <w:sz w:val="22"/>
          <w:szCs w:val="22"/>
        </w:rPr>
        <w:t xml:space="preserve">Cette section fournit des ordres de grandeur pour le dimensionnement d'une plateforme IBM Hybrid Cloud. Ces valeurs sont indicatives et doivent être ajustées en fonction du contexte spécifique de chaque client (volumes de données, charges de pointe, contraintes de latence).</w:t>
      </w:r>
    </w:p>
    <w:p>
      <w:pPr>
        <w:pStyle w:val="Heading2"/>
        <w:spacing w:after="140" w:before="280"/>
      </w:pPr>
      <w:r>
        <w:rPr>
          <w:b/>
          <w:bCs/>
          <w:color w:val="0F62FE"/>
          <w:sz w:val="24"/>
          <w:szCs w:val="24"/>
        </w:rPr>
        <w:t xml:space="preserve">7.1 Dimensionnement watsonx.ai</w:t>
      </w:r>
    </w:p>
    <w:tbl>
      <w:tblPr>
        <w:tblW w:type="dxa" w:w="10200"/>
        <w:tblBorders>
          <w:top w:val="single" w:color="D0D0D0" w:sz="4"/>
          <w:left w:val="single" w:color="D0D0D0" w:sz="4"/>
          <w:bottom w:val="single" w:color="D0D0D0" w:sz="4"/>
          <w:right w:val="single" w:color="D0D0D0" w:sz="4"/>
          <w:insideH w:val="single" w:color="D0D0D0" w:sz="4"/>
          <w:insideV w:val="single" w:color="D0D0D0" w:sz="4"/>
        </w:tblBorders>
      </w:tblPr>
      <w:tblGrid>
        <w:gridCol w:w="3200"/>
        <w:gridCol w:w="2800"/>
        <w:gridCol w:w="2100"/>
        <w:gridCol w:w="2100"/>
      </w:tblGrid>
      <w:tr>
        <w:tc>
          <w:tcPr>
            <w:tcW w:type="dxa" w:w="3200"/>
            <w:shd w:fill="0F62FE" w:color="auto" w:val="clear"/>
            <w:tcMar>
              <w:top w:type="dxa" w:w="100"/>
              <w:left w:type="dxa" w:w="100"/>
              <w:bottom w:type="dxa" w:w="100"/>
              <w:right w:type="dxa" w:w="100"/>
            </w:tcMar>
          </w:tcPr>
          <w:p>
            <w:pPr>
              <w:jc w:val="left"/>
            </w:pPr>
            <w:r>
              <w:rPr>
                <w:b/>
                <w:bCs/>
                <w:color w:val="FFFFFF"/>
                <w:sz w:val="20"/>
                <w:szCs w:val="20"/>
              </w:rPr>
              <w:t xml:space="preserve">Cas d'usage</w:t>
            </w:r>
          </w:p>
        </w:tc>
        <w:tc>
          <w:tcPr>
            <w:tcW w:type="dxa" w:w="2800"/>
            <w:shd w:fill="0F62FE" w:color="auto" w:val="clear"/>
            <w:tcMar>
              <w:top w:type="dxa" w:w="100"/>
              <w:left w:type="dxa" w:w="100"/>
              <w:bottom w:type="dxa" w:w="100"/>
              <w:right w:type="dxa" w:w="100"/>
            </w:tcMar>
          </w:tcPr>
          <w:p>
            <w:pPr>
              <w:jc w:val="left"/>
            </w:pPr>
            <w:r>
              <w:rPr>
                <w:b/>
                <w:bCs/>
                <w:color w:val="FFFFFF"/>
                <w:sz w:val="20"/>
                <w:szCs w:val="20"/>
              </w:rPr>
              <w:t xml:space="preserve">Modèle recommandé</w:t>
            </w:r>
          </w:p>
        </w:tc>
        <w:tc>
          <w:tcPr>
            <w:tcW w:type="dxa" w:w="2100"/>
            <w:shd w:fill="0F62FE" w:color="auto" w:val="clear"/>
            <w:tcMar>
              <w:top w:type="dxa" w:w="100"/>
              <w:left w:type="dxa" w:w="100"/>
              <w:bottom w:type="dxa" w:w="100"/>
              <w:right w:type="dxa" w:w="100"/>
            </w:tcMar>
          </w:tcPr>
          <w:p>
            <w:pPr>
              <w:jc w:val="left"/>
            </w:pPr>
            <w:r>
              <w:rPr>
                <w:b/>
                <w:bCs/>
                <w:color w:val="FFFFFF"/>
                <w:sz w:val="20"/>
                <w:szCs w:val="20"/>
              </w:rPr>
              <w:t xml:space="preserve">Requêtes / sec cibles</w:t>
            </w:r>
          </w:p>
        </w:tc>
        <w:tc>
          <w:tcPr>
            <w:tcW w:type="dxa" w:w="2100"/>
            <w:shd w:fill="0F62FE" w:color="auto" w:val="clear"/>
            <w:tcMar>
              <w:top w:type="dxa" w:w="100"/>
              <w:left w:type="dxa" w:w="100"/>
              <w:bottom w:type="dxa" w:w="100"/>
              <w:right w:type="dxa" w:w="100"/>
            </w:tcMar>
          </w:tcPr>
          <w:p>
            <w:pPr>
              <w:jc w:val="left"/>
            </w:pPr>
            <w:r>
              <w:rPr>
                <w:b/>
                <w:bCs/>
                <w:color w:val="FFFFFF"/>
                <w:sz w:val="20"/>
                <w:szCs w:val="20"/>
              </w:rPr>
              <w:t xml:space="preserve">GPU H100 requis</w:t>
            </w:r>
          </w:p>
        </w:tc>
      </w:tr>
      <w:tr>
        <w:tc>
          <w:tcPr>
            <w:tcW w:type="dxa" w:w="3200"/>
            <w:tcMar>
              <w:top w:type="dxa" w:w="100"/>
              <w:left w:type="dxa" w:w="100"/>
              <w:bottom w:type="dxa" w:w="100"/>
              <w:right w:type="dxa" w:w="100"/>
            </w:tcMar>
          </w:tcPr>
          <w:p>
            <w:pPr>
              <w:jc w:val="left"/>
            </w:pPr>
            <w:r>
              <w:rPr>
                <w:sz w:val="20"/>
                <w:szCs w:val="20"/>
              </w:rPr>
              <w:t xml:space="preserve">Chatbot support niveau 1</w:t>
            </w:r>
          </w:p>
        </w:tc>
        <w:tc>
          <w:tcPr>
            <w:tcW w:type="dxa" w:w="2800"/>
            <w:shd w:fill="F4F4F4" w:color="auto" w:val="clear"/>
            <w:tcMar>
              <w:top w:type="dxa" w:w="100"/>
              <w:left w:type="dxa" w:w="100"/>
              <w:bottom w:type="dxa" w:w="100"/>
              <w:right w:type="dxa" w:w="100"/>
            </w:tcMar>
          </w:tcPr>
          <w:p>
            <w:pPr>
              <w:jc w:val="left"/>
            </w:pPr>
            <w:r>
              <w:rPr>
                <w:sz w:val="20"/>
                <w:szCs w:val="20"/>
              </w:rPr>
              <w:t xml:space="preserve">Granite 3.0-2B</w:t>
            </w:r>
          </w:p>
        </w:tc>
        <w:tc>
          <w:tcPr>
            <w:tcW w:type="dxa" w:w="2100"/>
            <w:tcMar>
              <w:top w:type="dxa" w:w="100"/>
              <w:left w:type="dxa" w:w="100"/>
              <w:bottom w:type="dxa" w:w="100"/>
              <w:right w:type="dxa" w:w="100"/>
            </w:tcMar>
          </w:tcPr>
          <w:p>
            <w:pPr>
              <w:jc w:val="left"/>
            </w:pPr>
            <w:r>
              <w:rPr>
                <w:sz w:val="20"/>
                <w:szCs w:val="20"/>
              </w:rPr>
              <w:t xml:space="preserve">50-200 req/s</w:t>
            </w:r>
          </w:p>
        </w:tc>
        <w:tc>
          <w:tcPr>
            <w:tcW w:type="dxa" w:w="2100"/>
            <w:shd w:fill="F4F4F4" w:color="auto" w:val="clear"/>
            <w:tcMar>
              <w:top w:type="dxa" w:w="100"/>
              <w:left w:type="dxa" w:w="100"/>
              <w:bottom w:type="dxa" w:w="100"/>
              <w:right w:type="dxa" w:w="100"/>
            </w:tcMar>
          </w:tcPr>
          <w:p>
            <w:pPr>
              <w:jc w:val="left"/>
            </w:pPr>
            <w:r>
              <w:rPr>
                <w:sz w:val="20"/>
                <w:szCs w:val="20"/>
              </w:rPr>
              <w:t xml:space="preserve">1 à 2</w:t>
            </w:r>
          </w:p>
        </w:tc>
      </w:tr>
      <w:tr>
        <w:tc>
          <w:tcPr>
            <w:tcW w:type="dxa" w:w="3200"/>
            <w:shd w:fill="F4F4F4" w:color="auto" w:val="clear"/>
            <w:tcMar>
              <w:top w:type="dxa" w:w="100"/>
              <w:left w:type="dxa" w:w="100"/>
              <w:bottom w:type="dxa" w:w="100"/>
              <w:right w:type="dxa" w:w="100"/>
            </w:tcMar>
          </w:tcPr>
          <w:p>
            <w:pPr>
              <w:jc w:val="left"/>
            </w:pPr>
            <w:r>
              <w:rPr>
                <w:sz w:val="20"/>
                <w:szCs w:val="20"/>
              </w:rPr>
              <w:t xml:space="preserve">Assistant agent métier</w:t>
            </w:r>
          </w:p>
        </w:tc>
        <w:tc>
          <w:tcPr>
            <w:tcW w:type="dxa" w:w="2800"/>
            <w:tcMar>
              <w:top w:type="dxa" w:w="100"/>
              <w:left w:type="dxa" w:w="100"/>
              <w:bottom w:type="dxa" w:w="100"/>
              <w:right w:type="dxa" w:w="100"/>
            </w:tcMar>
          </w:tcPr>
          <w:p>
            <w:pPr>
              <w:jc w:val="left"/>
            </w:pPr>
            <w:r>
              <w:rPr>
                <w:sz w:val="20"/>
                <w:szCs w:val="20"/>
              </w:rPr>
              <w:t xml:space="preserve">Granite 3.0-8B</w:t>
            </w:r>
          </w:p>
        </w:tc>
        <w:tc>
          <w:tcPr>
            <w:tcW w:type="dxa" w:w="2100"/>
            <w:shd w:fill="F4F4F4" w:color="auto" w:val="clear"/>
            <w:tcMar>
              <w:top w:type="dxa" w:w="100"/>
              <w:left w:type="dxa" w:w="100"/>
              <w:bottom w:type="dxa" w:w="100"/>
              <w:right w:type="dxa" w:w="100"/>
            </w:tcMar>
          </w:tcPr>
          <w:p>
            <w:pPr>
              <w:jc w:val="left"/>
            </w:pPr>
            <w:r>
              <w:rPr>
                <w:sz w:val="20"/>
                <w:szCs w:val="20"/>
              </w:rPr>
              <w:t xml:space="preserve">30-100 req/s</w:t>
            </w:r>
          </w:p>
        </w:tc>
        <w:tc>
          <w:tcPr>
            <w:tcW w:type="dxa" w:w="2100"/>
            <w:tcMar>
              <w:top w:type="dxa" w:w="100"/>
              <w:left w:type="dxa" w:w="100"/>
              <w:bottom w:type="dxa" w:w="100"/>
              <w:right w:type="dxa" w:w="100"/>
            </w:tcMar>
          </w:tcPr>
          <w:p>
            <w:pPr>
              <w:jc w:val="left"/>
            </w:pPr>
            <w:r>
              <w:rPr>
                <w:sz w:val="20"/>
                <w:szCs w:val="20"/>
              </w:rPr>
              <w:t xml:space="preserve">4 à 8</w:t>
            </w:r>
          </w:p>
        </w:tc>
      </w:tr>
      <w:tr>
        <w:tc>
          <w:tcPr>
            <w:tcW w:type="dxa" w:w="3200"/>
            <w:tcMar>
              <w:top w:type="dxa" w:w="100"/>
              <w:left w:type="dxa" w:w="100"/>
              <w:bottom w:type="dxa" w:w="100"/>
              <w:right w:type="dxa" w:w="100"/>
            </w:tcMar>
          </w:tcPr>
          <w:p>
            <w:pPr>
              <w:jc w:val="left"/>
            </w:pPr>
            <w:r>
              <w:rPr>
                <w:sz w:val="20"/>
                <w:szCs w:val="20"/>
              </w:rPr>
              <w:t xml:space="preserve">Synthèse documents longs</w:t>
            </w:r>
          </w:p>
        </w:tc>
        <w:tc>
          <w:tcPr>
            <w:tcW w:type="dxa" w:w="2800"/>
            <w:shd w:fill="F4F4F4" w:color="auto" w:val="clear"/>
            <w:tcMar>
              <w:top w:type="dxa" w:w="100"/>
              <w:left w:type="dxa" w:w="100"/>
              <w:bottom w:type="dxa" w:w="100"/>
              <w:right w:type="dxa" w:w="100"/>
            </w:tcMar>
          </w:tcPr>
          <w:p>
            <w:pPr>
              <w:jc w:val="left"/>
            </w:pPr>
            <w:r>
              <w:rPr>
                <w:sz w:val="20"/>
                <w:szCs w:val="20"/>
              </w:rPr>
              <w:t xml:space="preserve">Granite 3.0-20B</w:t>
            </w:r>
          </w:p>
        </w:tc>
        <w:tc>
          <w:tcPr>
            <w:tcW w:type="dxa" w:w="2100"/>
            <w:tcMar>
              <w:top w:type="dxa" w:w="100"/>
              <w:left w:type="dxa" w:w="100"/>
              <w:bottom w:type="dxa" w:w="100"/>
              <w:right w:type="dxa" w:w="100"/>
            </w:tcMar>
          </w:tcPr>
          <w:p>
            <w:pPr>
              <w:jc w:val="left"/>
            </w:pPr>
            <w:r>
              <w:rPr>
                <w:sz w:val="20"/>
                <w:szCs w:val="20"/>
              </w:rPr>
              <w:t xml:space="preserve">10-30 req/s</w:t>
            </w:r>
          </w:p>
        </w:tc>
        <w:tc>
          <w:tcPr>
            <w:tcW w:type="dxa" w:w="2100"/>
            <w:shd w:fill="F4F4F4" w:color="auto" w:val="clear"/>
            <w:tcMar>
              <w:top w:type="dxa" w:w="100"/>
              <w:left w:type="dxa" w:w="100"/>
              <w:bottom w:type="dxa" w:w="100"/>
              <w:right w:type="dxa" w:w="100"/>
            </w:tcMar>
          </w:tcPr>
          <w:p>
            <w:pPr>
              <w:jc w:val="left"/>
            </w:pPr>
            <w:r>
              <w:rPr>
                <w:sz w:val="20"/>
                <w:szCs w:val="20"/>
              </w:rPr>
              <w:t xml:space="preserve">8 à 16</w:t>
            </w:r>
          </w:p>
        </w:tc>
      </w:tr>
      <w:tr>
        <w:tc>
          <w:tcPr>
            <w:tcW w:type="dxa" w:w="3200"/>
            <w:shd w:fill="F4F4F4" w:color="auto" w:val="clear"/>
            <w:tcMar>
              <w:top w:type="dxa" w:w="100"/>
              <w:left w:type="dxa" w:w="100"/>
              <w:bottom w:type="dxa" w:w="100"/>
              <w:right w:type="dxa" w:w="100"/>
            </w:tcMar>
          </w:tcPr>
          <w:p>
            <w:pPr>
              <w:jc w:val="left"/>
            </w:pPr>
            <w:r>
              <w:rPr>
                <w:sz w:val="20"/>
                <w:szCs w:val="20"/>
              </w:rPr>
              <w:t xml:space="preserve">Analyse complexe multi-étapes</w:t>
            </w:r>
          </w:p>
        </w:tc>
        <w:tc>
          <w:tcPr>
            <w:tcW w:type="dxa" w:w="2800"/>
            <w:tcMar>
              <w:top w:type="dxa" w:w="100"/>
              <w:left w:type="dxa" w:w="100"/>
              <w:bottom w:type="dxa" w:w="100"/>
              <w:right w:type="dxa" w:w="100"/>
            </w:tcMar>
          </w:tcPr>
          <w:p>
            <w:pPr>
              <w:jc w:val="left"/>
            </w:pPr>
            <w:r>
              <w:rPr>
                <w:sz w:val="20"/>
                <w:szCs w:val="20"/>
              </w:rPr>
              <w:t xml:space="preserve">Granite 3.0-34B</w:t>
            </w:r>
          </w:p>
        </w:tc>
        <w:tc>
          <w:tcPr>
            <w:tcW w:type="dxa" w:w="2100"/>
            <w:shd w:fill="F4F4F4" w:color="auto" w:val="clear"/>
            <w:tcMar>
              <w:top w:type="dxa" w:w="100"/>
              <w:left w:type="dxa" w:w="100"/>
              <w:bottom w:type="dxa" w:w="100"/>
              <w:right w:type="dxa" w:w="100"/>
            </w:tcMar>
          </w:tcPr>
          <w:p>
            <w:pPr>
              <w:jc w:val="left"/>
            </w:pPr>
            <w:r>
              <w:rPr>
                <w:sz w:val="20"/>
                <w:szCs w:val="20"/>
              </w:rPr>
              <w:t xml:space="preserve">5-15 req/s</w:t>
            </w:r>
          </w:p>
        </w:tc>
        <w:tc>
          <w:tcPr>
            <w:tcW w:type="dxa" w:w="2100"/>
            <w:tcMar>
              <w:top w:type="dxa" w:w="100"/>
              <w:left w:type="dxa" w:w="100"/>
              <w:bottom w:type="dxa" w:w="100"/>
              <w:right w:type="dxa" w:w="100"/>
            </w:tcMar>
          </w:tcPr>
          <w:p>
            <w:pPr>
              <w:jc w:val="left"/>
            </w:pPr>
            <w:r>
              <w:rPr>
                <w:sz w:val="20"/>
                <w:szCs w:val="20"/>
              </w:rPr>
              <w:t xml:space="preserve">16 à 32</w:t>
            </w:r>
          </w:p>
        </w:tc>
      </w:tr>
    </w:tbl>
    <w:p>
      <w:pPr>
        <w:spacing w:after="240" w:before="120"/>
        <w:jc w:val="center"/>
      </w:pPr>
      <w:r>
        <w:rPr>
          <w:i/>
          <w:iCs/>
          <w:color w:val="808080"/>
          <w:sz w:val="18"/>
          <w:szCs w:val="18"/>
        </w:rPr>
        <w:t xml:space="preserve">Tableau 2. Ordres de grandeur de dimensionnement pour les cas d'usage watsonx courants.</w:t>
      </w:r>
    </w:p>
    <w:p>
      <w:pPr>
        <w:pStyle w:val="Heading2"/>
        <w:spacing w:after="140" w:before="280"/>
      </w:pPr>
      <w:r>
        <w:rPr>
          <w:b/>
          <w:bCs/>
          <w:color w:val="0F62FE"/>
          <w:sz w:val="24"/>
          <w:szCs w:val="24"/>
        </w:rPr>
        <w:t xml:space="preserve">7.2 Dimensionnement watsonx.data</w:t>
      </w:r>
    </w:p>
    <w:p>
      <w:pPr>
        <w:spacing w:after="140" w:line="320" w:lineRule="auto"/>
        <w:jc w:val="both"/>
      </w:pPr>
      <w:r>
        <w:rPr>
          <w:sz w:val="22"/>
          <w:szCs w:val="22"/>
        </w:rPr>
        <w:t xml:space="preserve">Pour un data lakehouse d'entreprise typique traitant 10 à 50 To de données actives, nous recommandons un cluster Presto de 8 à 16 nœuds pour les requêtes analytiques ad-hoc, un cluster Spark de 4 à 8 nœuds pour les traitements ETL nocturnes, et une base vectorielle Milvus de 2 nœuds répliqués pour les charges RAG. Le stockage sous-jacent en formats Parquet/Iceberg permet une compression typique de 4 à 6x par rapport aux données brutes.</w:t>
      </w:r>
    </w:p>
    <w:p>
      <w:pPr>
        <w:pStyle w:val="Heading2"/>
        <w:spacing w:after="140" w:before="280"/>
      </w:pPr>
      <w:r>
        <w:rPr>
          <w:b/>
          <w:bCs/>
          <w:color w:val="0F62FE"/>
          <w:sz w:val="24"/>
          <w:szCs w:val="24"/>
        </w:rPr>
        <w:t xml:space="preserve">7.3 Dimensionnement IBM Z pour l'inférence</w:t>
      </w:r>
    </w:p>
    <w:p>
      <w:pPr>
        <w:spacing w:after="140" w:line="320" w:lineRule="auto"/>
        <w:jc w:val="both"/>
      </w:pPr>
      <w:r>
        <w:rPr>
          <w:sz w:val="22"/>
          <w:szCs w:val="22"/>
        </w:rPr>
        <w:t xml:space="preserve">Un mainframe z17 configuré avec 4 processeurs Telum II peut soutenir en régime nominal l'inférence sur environ 3 000 requêtes par seconde sur des modèles Granite 8B, à des latences médianes de 12 à 15 millisecondes. Pour des charges bancaires transactionnelles atteignant 15 000 opérations par seconde, une configuration à 8 processeurs Telum II est recommandée. Cette configuration correspond à celle déployée chez JPMorgan Chase en 2025.</w:t>
      </w:r>
    </w:p>
    <w:p>
      <w:r>
        <w:br w:type="page"/>
      </w:r>
    </w:p>
    <w:p>
      <w:pPr>
        <w:pStyle w:val="Heading1"/>
        <w:spacing w:after="200" w:before="400"/>
      </w:pPr>
      <w:r>
        <w:rPr>
          <w:b/>
          <w:bCs/>
          <w:color w:val="0043CE"/>
          <w:sz w:val="32"/>
          <w:szCs w:val="32"/>
        </w:rPr>
        <w:t xml:space="preserve">8. Sécurité et conformité</w:t>
      </w:r>
    </w:p>
    <w:p>
      <w:pPr>
        <w:pStyle w:val="Heading2"/>
        <w:spacing w:after="140" w:before="280"/>
      </w:pPr>
      <w:r>
        <w:rPr>
          <w:b/>
          <w:bCs/>
          <w:color w:val="0F62FE"/>
          <w:sz w:val="24"/>
          <w:szCs w:val="24"/>
        </w:rPr>
        <w:t xml:space="preserve">8.1 Chiffrement de bout en bout</w:t>
      </w:r>
    </w:p>
    <w:p>
      <w:pPr>
        <w:spacing w:after="140" w:line="320" w:lineRule="auto"/>
        <w:jc w:val="both"/>
      </w:pPr>
      <w:r>
        <w:rPr>
          <w:sz w:val="22"/>
          <w:szCs w:val="22"/>
        </w:rPr>
        <w:t xml:space="preserve">La stack IBM Hybrid Cloud applique le chiffrement à trois niveaux : au repos (données stockées, sauvegardes, snapshots), en transit (TLS 1.3 obligatoire pour toutes les communications inter-services) et en cours d'utilisation (via IBM Secure Execution for Linux sur mainframe et Confidential Containers sur OpenShift). Cette dernière capacité permet d'exécuter des charges sur une infrastructure sans confiance sans exposer les données ni les modèles à l'opérateur de l'infrastructure.</w:t>
      </w:r>
    </w:p>
    <w:p>
      <w:pPr>
        <w:pStyle w:val="Heading2"/>
        <w:spacing w:after="140" w:before="280"/>
      </w:pPr>
      <w:r>
        <w:rPr>
          <w:b/>
          <w:bCs/>
          <w:color w:val="0F62FE"/>
          <w:sz w:val="24"/>
          <w:szCs w:val="24"/>
        </w:rPr>
        <w:t xml:space="preserve">8.2 Gestion des identités et des accès</w:t>
      </w:r>
    </w:p>
    <w:p>
      <w:pPr>
        <w:spacing w:after="140" w:line="320" w:lineRule="auto"/>
        <w:jc w:val="both"/>
      </w:pPr>
      <w:r>
        <w:rPr>
          <w:sz w:val="22"/>
          <w:szCs w:val="22"/>
        </w:rPr>
        <w:t xml:space="preserve">IBM Security Verify centralise la gestion des identités des utilisateurs finaux et des services applicatifs. Il supporte les fédérations d'identité standards (SAML 2.0, OpenID Connect, OAuth 2.1), l'authentification multi-facteur adaptative et la gestion granulaire des habilitations. Toutes les décisions d'accès sont journalisées et peuvent être analysées par QRadar SIEM.</w:t>
      </w:r>
    </w:p>
    <w:p>
      <w:pPr>
        <w:pStyle w:val="Heading2"/>
        <w:spacing w:after="140" w:before="280"/>
      </w:pPr>
      <w:r>
        <w:rPr>
          <w:b/>
          <w:bCs/>
          <w:color w:val="0F62FE"/>
          <w:sz w:val="24"/>
          <w:szCs w:val="24"/>
        </w:rPr>
        <w:t xml:space="preserve">8.3 Traçabilité des modèles IA</w:t>
      </w:r>
    </w:p>
    <w:p>
      <w:pPr>
        <w:spacing w:after="140" w:line="320" w:lineRule="auto"/>
        <w:jc w:val="both"/>
      </w:pPr>
      <w:r>
        <w:rPr>
          <w:sz w:val="22"/>
          <w:szCs w:val="22"/>
        </w:rPr>
        <w:t xml:space="preserve">Chaque décision produite par un modèle en production doit pouvoir être remontée à sa source. watsonx.governance instrumente automatiquement cette traçabilité en associant à chaque prédiction : l'identifiant du modèle, la version des poids, le jeu de données d'entraînement, les paramètres d'inférence, l'utilisateur ayant émis la requête, et l'horodatage. Cette information est stockée dans un journal immuable conservé pendant la durée réglementaire applicable (typiquement 7 ans dans le secteur bancaire).</w:t>
      </w:r>
    </w:p>
    <w:p>
      <w:pPr>
        <w:spacing w:after="240" w:before="240" w:line="320" w:lineRule="auto"/>
        <w:ind w:left="720" w:right="720"/>
        <w:jc w:val="both"/>
      </w:pPr>
      <w:r>
        <w:rPr>
          <w:i/>
          <w:iCs/>
          <w:color w:val="0043CE"/>
          <w:sz w:val="22"/>
          <w:szCs w:val="22"/>
        </w:rPr>
        <w:t xml:space="preserve">"L'AI Act change fondamentalement la donne pour les fournisseurs de systèmes IA à haut risque en Europe. La traçabilité et la documentation ne sont plus des bonnes pratiques, mais des obligations légales assorties de sanctions pouvant atteindre 7 % du chiffre d'affaires mondial. Les architectures qui n'auront pas anticipé cette transformation feront face à des chantiers de remédiation coûteux." — Extrait de la note technique interne « AI Act — préparation opérationnelle », septembre 2025.</w:t>
      </w:r>
    </w:p>
    <w:p>
      <w:r>
        <w:br w:type="page"/>
      </w:r>
    </w:p>
    <w:p>
      <w:pPr>
        <w:pStyle w:val="Heading1"/>
        <w:spacing w:after="200" w:before="400"/>
      </w:pPr>
      <w:r>
        <w:rPr>
          <w:b/>
          <w:bCs/>
          <w:color w:val="0043CE"/>
          <w:sz w:val="32"/>
          <w:szCs w:val="32"/>
        </w:rPr>
        <w:t xml:space="preserve">9. Retours d'expérience clients</w:t>
      </w:r>
    </w:p>
    <w:p>
      <w:pPr>
        <w:spacing w:after="140" w:line="320" w:lineRule="auto"/>
        <w:jc w:val="both"/>
      </w:pPr>
      <w:r>
        <w:rPr>
          <w:sz w:val="22"/>
          <w:szCs w:val="22"/>
        </w:rPr>
        <w:t xml:space="preserve">Cette section présente trois retours d'expérience anonymisés issus de déploiements réalisés en 2025. Les métriques présentées reflètent des mesures effectives en production.</w:t>
      </w:r>
    </w:p>
    <w:p>
      <w:pPr>
        <w:pStyle w:val="Heading2"/>
        <w:spacing w:after="140" w:before="280"/>
      </w:pPr>
      <w:r>
        <w:rPr>
          <w:b/>
          <w:bCs/>
          <w:color w:val="0F62FE"/>
          <w:sz w:val="24"/>
          <w:szCs w:val="24"/>
        </w:rPr>
        <w:t xml:space="preserve">9.1 Grand groupe bancaire européen — Détection de fraude temps-réel</w:t>
      </w:r>
    </w:p>
    <w:p>
      <w:pPr>
        <w:spacing w:after="140" w:line="320" w:lineRule="auto"/>
        <w:jc w:val="both"/>
      </w:pPr>
      <w:r>
        <w:rPr>
          <w:sz w:val="22"/>
          <w:szCs w:val="22"/>
        </w:rPr>
        <w:t xml:space="preserve">Contexte : traitement de 12 000 transactions par seconde en heure de pointe, latence cible inférieure à 40 ms bout-en-bout, contraintes strictes de résidence des données en Union européenne.</w:t>
      </w:r>
    </w:p>
    <w:p>
      <w:pPr>
        <w:spacing w:after="140" w:line="320" w:lineRule="auto"/>
        <w:jc w:val="both"/>
      </w:pPr>
      <w:r>
        <w:rPr>
          <w:sz w:val="22"/>
          <w:szCs w:val="22"/>
        </w:rPr>
        <w:t xml:space="preserve">Architecture retenue : modèle Granite 3.0-8B fine-tuné sur l'historique de fraude du client, déployé sur mainframe z17 avec accélérateur Telum II, colocalisé avec le moteur de transaction existant. Journalisation des décisions dans watsonx.governance pour audit rétrospectif.</w:t>
      </w:r>
    </w:p>
    <w:p>
      <w:pPr>
        <w:spacing w:after="140" w:line="320" w:lineRule="auto"/>
        <w:jc w:val="both"/>
      </w:pPr>
      <w:r>
        <w:rPr>
          <w:sz w:val="22"/>
          <w:szCs w:val="22"/>
        </w:rPr>
        <w:t xml:space="preserve">Résultats mesurés : réduction de 34 % des faux positifs par rapport au modèle précédent déployé sur cluster GPU externe, latence médiane de 22 ms, disponibilité mesurée sur l'année 2025 supérieure à 99,995 %.</w:t>
      </w:r>
    </w:p>
    <w:p>
      <w:pPr>
        <w:pStyle w:val="Heading2"/>
        <w:spacing w:after="140" w:before="280"/>
      </w:pPr>
      <w:r>
        <w:rPr>
          <w:b/>
          <w:bCs/>
          <w:color w:val="0F62FE"/>
          <w:sz w:val="24"/>
          <w:szCs w:val="24"/>
        </w:rPr>
        <w:t xml:space="preserve">9.2 Grand hôpital universitaire — Synthèse de dossiers patients</w:t>
      </w:r>
    </w:p>
    <w:p>
      <w:pPr>
        <w:spacing w:after="140" w:line="320" w:lineRule="auto"/>
        <w:jc w:val="both"/>
      </w:pPr>
      <w:r>
        <w:rPr>
          <w:sz w:val="22"/>
          <w:szCs w:val="22"/>
        </w:rPr>
        <w:t xml:space="preserve">Contexte : équipe médicale de 800 médecins-hospitaliers, volume moyen de 15 dossiers patients à préparer par jour et par médecin, chaque dossier contenant plusieurs dizaines de documents hétérogènes (comptes-rendus opératoires, résultats d'analyses, correspondance médicale).</w:t>
      </w:r>
    </w:p>
    <w:p>
      <w:pPr>
        <w:spacing w:after="140" w:line="320" w:lineRule="auto"/>
        <w:jc w:val="both"/>
      </w:pPr>
      <w:r>
        <w:rPr>
          <w:sz w:val="22"/>
          <w:szCs w:val="22"/>
        </w:rPr>
        <w:t xml:space="preserve">Architecture retenue : modèle Granite 3.0-8B fine-tuné sur corpus médical HIPAA, déployé sur cluster OpenShift on-premises, connecté au dossier patient informatisé existant via connecteurs FHIR standard. Retrieval augmenté sur les documents du patient concerné, avec citation systématique des sources.</w:t>
      </w:r>
    </w:p>
    <w:p>
      <w:pPr>
        <w:spacing w:after="140" w:line="320" w:lineRule="auto"/>
        <w:jc w:val="both"/>
      </w:pPr>
      <w:r>
        <w:rPr>
          <w:sz w:val="22"/>
          <w:szCs w:val="22"/>
        </w:rPr>
        <w:t xml:space="preserve">Résultats mesurés : gain de temps moyen de 42 % dans la préparation des consultations sur les trois établissements pilotes, satisfaction médicale élevée (score de 4,3/5 sur l'utilité perçue), déploiement à l'ensemble du réseau validé en novembre 2025 pour démarrage au premier trimestre 2026.</w:t>
      </w:r>
    </w:p>
    <w:p>
      <w:pPr>
        <w:pStyle w:val="Heading2"/>
        <w:spacing w:after="140" w:before="280"/>
      </w:pPr>
      <w:r>
        <w:rPr>
          <w:b/>
          <w:bCs/>
          <w:color w:val="0F62FE"/>
          <w:sz w:val="24"/>
          <w:szCs w:val="24"/>
        </w:rPr>
        <w:t xml:space="preserve">9.3 Groupe industriel européen — Génération assistée de documentation technique</w:t>
      </w:r>
    </w:p>
    <w:p>
      <w:pPr>
        <w:spacing w:after="140" w:line="320" w:lineRule="auto"/>
        <w:jc w:val="both"/>
      </w:pPr>
      <w:r>
        <w:rPr>
          <w:sz w:val="22"/>
          <w:szCs w:val="22"/>
        </w:rPr>
        <w:t xml:space="preserve">Contexte : production de manuels techniques et de spécifications de produits industriels sur douze sites européens, mise à jour continue liée aux évolutions produit et aux exigences réglementaires locales, coordination difficile entre équipes documentaires réparties.</w:t>
      </w:r>
    </w:p>
    <w:p>
      <w:pPr>
        <w:spacing w:after="140" w:line="320" w:lineRule="auto"/>
        <w:jc w:val="both"/>
      </w:pPr>
      <w:r>
        <w:rPr>
          <w:sz w:val="22"/>
          <w:szCs w:val="22"/>
        </w:rPr>
        <w:t xml:space="preserve">Architecture retenue : modèle Granite 3.0-20B avec RAG sur base de connaissances technique interne (300 000 documents), déployé sur cluster OpenShift multi-régional. Un agent watsonx Orchestrate assiste les rédacteurs en proposant des sections pré-rédigées à partir des spécifications d'entrée, avec révision humaine systématique avant publication.</w:t>
      </w:r>
    </w:p>
    <w:p>
      <w:pPr>
        <w:spacing w:after="140" w:line="320" w:lineRule="auto"/>
        <w:jc w:val="both"/>
      </w:pPr>
      <w:r>
        <w:rPr>
          <w:sz w:val="22"/>
          <w:szCs w:val="22"/>
        </w:rPr>
        <w:t xml:space="preserve">Résultats mesurés : gain de productivité de 35 % sur les équipes documentaires en régime établi, réduction significative du délai de publication des nouvelles documentations produit (de 12 semaines en moyenne à 7 semaines), extension à seize sites additionnels prévue en 2026.</w:t>
      </w:r>
    </w:p>
    <w:p>
      <w:r>
        <w:br w:type="page"/>
      </w:r>
    </w:p>
    <w:p>
      <w:pPr>
        <w:pStyle w:val="Heading1"/>
        <w:spacing w:after="200" w:before="400"/>
      </w:pPr>
      <w:r>
        <w:rPr>
          <w:b/>
          <w:bCs/>
          <w:color w:val="0043CE"/>
          <w:sz w:val="32"/>
          <w:szCs w:val="32"/>
        </w:rPr>
        <w:t xml:space="preserve">10. Conclusion</w:t>
      </w:r>
    </w:p>
    <w:p>
      <w:pPr>
        <w:spacing w:after="140" w:line="320" w:lineRule="auto"/>
        <w:jc w:val="both"/>
      </w:pPr>
      <w:r>
        <w:rPr>
          <w:sz w:val="22"/>
          <w:szCs w:val="22"/>
        </w:rPr>
        <w:t xml:space="preserve">L'architecture IBM Hybrid Cloud, articulée autour de watsonx, Red Hat OpenShift et IBM Z, offre une réponse cohérente aux besoins d'IA d'entreprise dans le respect des contraintes de gouvernance, de résidence des données et de performance. Les retours d'expérience présentés dans ce document montrent la maturité opérationnelle atteinte en 2025 et la réplicabilité des patrons d'intégration éprouvés.</w:t>
      </w:r>
    </w:p>
    <w:p>
      <w:pPr>
        <w:spacing w:after="140" w:line="320" w:lineRule="auto"/>
        <w:jc w:val="both"/>
      </w:pPr>
      <w:r>
        <w:rPr>
          <w:sz w:val="22"/>
          <w:szCs w:val="22"/>
        </w:rPr>
        <w:t xml:space="preserve">L'année 2026 verra l'accélération de trois chantiers structurants : l'unification progressive des composants Cloud Pak dans watsonx, l'extension du support IA on-chip avec la sortie de Telum III, et l'industrialisation des patrons agentiques via la généralisation du protocole MCP. Ces évolutions renforceront la cohérence de la stack et simplifieront encore la mise en œuvre chez nos clients.</w:t>
      </w:r>
    </w:p>
    <w:p>
      <w:pPr>
        <w:pStyle w:val="Heading2"/>
        <w:spacing w:after="140" w:before="280"/>
      </w:pPr>
      <w:r>
        <w:rPr>
          <w:b/>
          <w:bCs/>
          <w:color w:val="0F62FE"/>
          <w:sz w:val="24"/>
          <w:szCs w:val="24"/>
        </w:rPr>
        <w:t xml:space="preserve">Références et ressources</w:t>
      </w:r>
    </w:p>
    <w:p>
      <w:pPr>
        <w:pStyle w:val="ListParagraph"/>
        <w:numPr>
          <w:ilvl w:val="0"/>
          <w:numId w:val="1"/>
        </w:numPr>
        <w:spacing w:after="100" w:line="300"/>
      </w:pPr>
      <w:r>
        <w:rPr>
          <w:sz w:val="22"/>
          <w:szCs w:val="22"/>
        </w:rPr>
        <w:t xml:space="preserve">IBM — Rapport stratégique annuel 2025 (document complémentaire couvrant les aspects marchés, financiers et positionnement compétitif).</w:t>
      </w:r>
    </w:p>
    <w:p>
      <w:pPr>
        <w:pStyle w:val="ListParagraph"/>
        <w:numPr>
          <w:ilvl w:val="0"/>
          <w:numId w:val="1"/>
        </w:numPr>
        <w:spacing w:after="100" w:line="300"/>
      </w:pPr>
      <w:r>
        <w:rPr>
          <w:sz w:val="22"/>
          <w:szCs w:val="22"/>
        </w:rPr>
        <w:t xml:space="preserve">IBM Redbook — watsonx.ai deployment guide, édition 2025.</w:t>
      </w:r>
    </w:p>
    <w:p>
      <w:pPr>
        <w:pStyle w:val="ListParagraph"/>
        <w:numPr>
          <w:ilvl w:val="0"/>
          <w:numId w:val="1"/>
        </w:numPr>
        <w:spacing w:after="100" w:line="300"/>
      </w:pPr>
      <w:r>
        <w:rPr>
          <w:sz w:val="22"/>
          <w:szCs w:val="22"/>
        </w:rPr>
        <w:t xml:space="preserve">IBM Redbook — Red Hat OpenShift on IBM Z, édition 2025.</w:t>
      </w:r>
    </w:p>
    <w:p>
      <w:pPr>
        <w:pStyle w:val="ListParagraph"/>
        <w:numPr>
          <w:ilvl w:val="0"/>
          <w:numId w:val="1"/>
        </w:numPr>
        <w:spacing w:after="100" w:line="300"/>
      </w:pPr>
      <w:r>
        <w:rPr>
          <w:sz w:val="22"/>
          <w:szCs w:val="22"/>
        </w:rPr>
        <w:t xml:space="preserve">Documentation technique publique watsonx : https://www.ibm.com/products/watsonx</w:t>
      </w:r>
    </w:p>
    <w:p>
      <w:pPr>
        <w:pStyle w:val="ListParagraph"/>
        <w:numPr>
          <w:ilvl w:val="0"/>
          <w:numId w:val="1"/>
        </w:numPr>
        <w:spacing w:after="100" w:line="300"/>
      </w:pPr>
      <w:r>
        <w:rPr>
          <w:sz w:val="22"/>
          <w:szCs w:val="22"/>
        </w:rPr>
        <w:t xml:space="preserve">Cartes modèles Granite 3.0 disponibles publiquement sous licence Apache 2.0.</w:t>
      </w:r>
    </w:p>
    <w:p>
      <w:pPr>
        <w:pStyle w:val="ListParagraph"/>
        <w:numPr>
          <w:ilvl w:val="0"/>
          <w:numId w:val="1"/>
        </w:numPr>
        <w:spacing w:after="100" w:line="300"/>
      </w:pPr>
      <w:r>
        <w:rPr>
          <w:sz w:val="22"/>
          <w:szCs w:val="22"/>
        </w:rPr>
        <w:t xml:space="preserve">Note technique interne « AI Act — préparation opérationnelle » (accès restreint).</w:t>
      </w:r>
    </w:p>
    <w:p>
      <w:pPr>
        <w:spacing w:after="200" w:before="800"/>
        <w:jc w:val="center"/>
      </w:pPr>
      <w:r>
        <w:rPr>
          <w:i/>
          <w:iCs/>
          <w:color w:val="808080"/>
          <w:sz w:val="22"/>
          <w:szCs w:val="22"/>
        </w:rPr>
        <w:t xml:space="preserve">— Fin du white paper technique —</w:t>
      </w:r>
    </w:p>
    <w:p>
      <w:pPr>
        <w:jc w:val="center"/>
      </w:pPr>
      <w:r>
        <w:rPr>
          <w:color w:val="808080"/>
          <w:sz w:val="18"/>
          <w:szCs w:val="18"/>
        </w:rPr>
        <w:t xml:space="preserve">IBM Corporation · Édition 2025, version 3.1 · Diffusion interne restreinte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sur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IBM Hybrid Cloud — Technical White Paper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 Hybrid Cloud et IA d'entreprise — Technical White Paper 2025</dc:title>
  <dc:creator>IBM Corporation</dc:creator>
  <dc:description>White paper technique complémentaire du rapport stratégique 2025</dc:description>
  <cp:lastModifiedBy>Un-named</cp:lastModifiedBy>
  <cp:revision>1</cp:revision>
  <dcterms:created xsi:type="dcterms:W3CDTF">2026-08-06T02:40:10.191Z</dcterms:created>
  <dcterms:modified xsi:type="dcterms:W3CDTF">2026-08-06T02:40:10.219Z</dcterms:modified>
</cp:coreProperties>
</file>

<file path=docProps/custom.xml><?xml version="1.0" encoding="utf-8"?>
<Properties xmlns="http://schemas.openxmlformats.org/officeDocument/2006/custom-properties" xmlns:vt="http://schemas.openxmlformats.org/officeDocument/2006/docPropsVTypes"/>
</file>