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Rapport de test E2E</w:t>
      </w:r>
    </w:p>
    <w:p>
      <w:r>
        <w:t>Ce document sert de fixture Playwright pour la spec corpus multi-format du sprint S5 J52. Il doit contenir suffisamment de texte pour que chaque section depasse le seuil minimal de trente tokens applique par le retrieval multi-documents, faute de quoi ses chunks seraient purement et simplement ignores lors de la recherche.</w:t>
      </w:r>
    </w:p>
    <w:p>
      <w:pPr>
        <w:pStyle w:val="Heading2"/>
      </w:pPr>
      <w:r>
        <w:t>Section IBM watsonx</w:t>
      </w:r>
    </w:p>
    <w:p>
      <w:r>
        <w:t>Ce paragraphe mentionne explicitement IBM watsonx afin de declencher la reponse mockee correspondante dans le provider de test. Il decrit une architecture modulaire fictive comportant plusieurs composants integres, utilisee ici uniquement pour valider que le retrieval multi-documents remonte bien des sources issues de ce fichier Word en plus du PDF associe dans le meme corpus.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