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1F4E78"/>
          <w:sz w:val="44"/>
        </w:rPr>
        <w:t>Statistical Innovation Consultancy Report</w:t>
      </w:r>
    </w:p>
    <w:p>
      <w:pPr>
        <w:spacing w:before="280" w:after="100"/>
      </w:pPr>
      <w:r>
        <w:rPr>
          <w:rFonts w:ascii="Calibri" w:hAnsi="Calibri"/>
          <w:b/>
          <w:color w:val="1F4E78"/>
          <w:sz w:val="32"/>
        </w:rPr>
        <w:t>Product Purchase Prediction &amp; Demand Intelligence: From Data to Strategic Decisions</w:t>
      </w:r>
    </w:p>
    <w:p>
      <w:pPr>
        <w:spacing w:before="40" w:after="80"/>
      </w:pPr>
      <w:r>
        <w:rPr>
          <w:b/>
        </w:rPr>
        <w:t>Course:</w:t>
      </w:r>
      <w:r>
        <w:t xml:space="preserve"> IT3081 – Statistical Modelling | Group Assignment (100%)</w:t>
      </w:r>
    </w:p>
    <w:p>
      <w:pPr>
        <w:spacing w:before="40" w:after="80"/>
      </w:pPr>
      <w:r>
        <w:rPr>
          <w:b/>
        </w:rPr>
        <w:t>Client Organization:</w:t>
      </w:r>
      <w:r>
        <w:t xml:space="preserve"> BladeGen Tech Consultancy (Multi-Outlet F&amp;B Chain)</w:t>
      </w:r>
    </w:p>
    <w:p>
      <w:pPr>
        <w:spacing w:before="40" w:after="80"/>
      </w:pPr>
      <w:r>
        <w:rPr>
          <w:b/>
        </w:rPr>
        <w:t>Consultancy Group:</w:t>
      </w:r>
      <w:r>
        <w:t xml:space="preserve"> Group 4</w:t>
      </w:r>
    </w:p>
    <w:p>
      <w:pPr>
        <w:spacing w:before="40" w:after="80"/>
      </w:pPr>
      <w:r>
        <w:rPr>
          <w:b/>
        </w:rPr>
        <w:t>Date of Submission:</w:t>
      </w:r>
      <w:r>
        <w:t xml:space="preserve"> September 2026</w:t>
      </w:r>
    </w:p>
    <w:p>
      <w:pPr>
        <w:spacing w:before="280" w:after="100"/>
      </w:pPr>
      <w:r>
        <w:rPr>
          <w:rFonts w:ascii="Calibri" w:hAnsi="Calibri"/>
          <w:b/>
          <w:color w:val="1F4E78"/>
          <w:sz w:val="32"/>
        </w:rPr>
        <w:t>Executive Summary</w:t>
      </w:r>
    </w:p>
    <w:p>
      <w:pPr>
        <w:spacing w:before="40" w:after="80"/>
      </w:pPr>
      <w: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pPr>
      <w: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00" w:after="80"/>
      </w:pPr>
      <w:r>
        <w:rPr>
          <w:rFonts w:ascii="Calibri" w:hAnsi="Calibri"/>
          <w:b/>
          <w:color w:val="323C50"/>
          <w:sz w:val="26"/>
        </w:rPr>
        <w:t>Key Analytical Findings:</w:t>
      </w:r>
    </w:p>
    <w:p>
      <w:pPr>
        <w:pStyle w:val="ListNumber"/>
        <w:spacing w:before="20" w:after="40"/>
      </w:pPr>
      <w:r>
        <w:rPr>
          <w:b/>
        </w:rPr>
        <w:t>Category Dominance &amp; Opportunity:</w:t>
      </w:r>
      <w:r>
        <w:t xml:space="preserve"> Beverages generate 54.34% of overall chain revenue (LKR 16.31M), whereas Food items generate 37.28% (LKR 11.19M). Food represents the primary incremental margin-expansion target.</w:t>
      </w:r>
    </w:p>
    <w:p>
      <w:pPr>
        <w:pStyle w:val="ListNumber"/>
        <w:spacing w:before="20" w:after="40"/>
      </w:pPr>
      <w:r>
        <w:rPr>
          <w:b/>
        </w:rPr>
        <w:t>Tourist Spend Premium:</w:t>
      </w:r>
      <w:r>
        <w:t xml:space="preserve"> Welch’s two-sample t-test confirmed that Foreign tourists spend significantly more per line item than Local patrons (+LKR 25.32, $t = 3.5810, p = 0.00034$), with 80%+ international credit card usage.</w:t>
      </w:r>
    </w:p>
    <w:p>
      <w:pPr>
        <w:pStyle w:val="ListNumber"/>
        <w:spacing w:before="20" w:after="40"/>
      </w:pPr>
      <w:r>
        <w:rPr>
          <w:b/>
        </w:rPr>
        <w:t>Statistical Modelling Champion:</w:t>
      </w:r>
      <w:r>
        <w:t xml:space="preserve"> Expanding from exploratory single-model baselines, our 4-member statistical tournament established </w:t>
      </w:r>
      <w:r>
        <w:rPr>
          <w:b/>
        </w:rPr>
        <w:t>Linear Discriminant Analysis (LDA)</w:t>
      </w:r>
      <w:r>
        <w:t xml:space="preserve"> as the champion classifier with </w:t>
      </w:r>
      <w:r>
        <w:rPr>
          <w:b/>
        </w:rPr>
        <w:t>54.26% test accuracy</w:t>
      </w:r>
      <w:r>
        <w:t xml:space="preserve"> and </w:t>
      </w:r>
      <w:r>
        <w:rPr>
          <w:b/>
        </w:rPr>
        <w:t>50.99% Macro-F1</w:t>
      </w:r>
      <w:r>
        <w:t>, achieving sub-second latency (0.43s) ideal for POS registers.</w:t>
      </w:r>
    </w:p>
    <w:p>
      <w:pPr>
        <w:pStyle w:val="ListNumber"/>
        <w:spacing w:before="20" w:after="40"/>
      </w:pPr>
      <w:r>
        <w:rPr>
          <w:b/>
        </w:rPr>
        <w:t>Demand Cyclicality &amp; Forecasting:</w:t>
      </w:r>
      <w:r>
        <w:t xml:space="preserve"> STL decomposition identified a strong 7-day cyclical oscillation with weekend surges (+35%). An optimal Seasonal $\text{ARIMA}(0,0,0)(0,1,1)[7]$ model with drift achieved a 9.9% MAPE and validated white-noise residuals ($p = 0.398$), projecting ~6,800 orders for April 2026.</w:t>
      </w:r>
    </w:p>
    <w:p>
      <w:pPr>
        <w:pStyle w:val="ListNumber"/>
        <w:spacing w:before="20" w:after="40"/>
      </w:pPr>
      <w:r>
        <w:rPr>
          <w:b/>
        </w:rPr>
        <w:t>Industry Innovation &amp; Validation:</w:t>
      </w:r>
      <w:r>
        <w:t xml:space="preserve"> We designed the </w:t>
      </w:r>
      <w:r>
        <w:rPr>
          <w:b/>
        </w:rPr>
        <w:t>Customer Intelligence Framework (CIF)</w:t>
      </w:r>
      <w:r>
        <w:t>—an edge-deployed POS recommendation engine. Validated through a consultation with an industry Head of Retail Analytics, the system incorporates morning rush-hour 'Express Modes' to ensure zero terminal latency.</w:t>
      </w:r>
    </w:p>
    <w:p>
      <w:pPr>
        <w:spacing w:before="280" w:after="100"/>
      </w:pPr>
      <w:r>
        <w:rPr>
          <w:rFonts w:ascii="Calibri" w:hAnsi="Calibri"/>
          <w:b/>
          <w:color w:val="1F4E78"/>
          <w:sz w:val="32"/>
        </w:rPr>
        <w:t>Task 1: Understanding the Industry Problem</w:t>
      </w:r>
    </w:p>
    <w:p>
      <w:pPr>
        <w:spacing w:before="200" w:after="80"/>
      </w:pPr>
      <w:r>
        <w:rPr>
          <w:rFonts w:ascii="Calibri" w:hAnsi="Calibri"/>
          <w:b/>
          <w:color w:val="323C50"/>
          <w:sz w:val="26"/>
        </w:rPr>
        <w:t>1.1 Industry Background &amp; Organizational Context</w:t>
      </w:r>
    </w:p>
    <w:p>
      <w:pPr>
        <w:spacing w:before="40" w:after="80"/>
      </w:pPr>
      <w: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pPr>
      <w: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00" w:after="80"/>
      </w:pPr>
      <w:r>
        <w:rPr>
          <w:rFonts w:ascii="Calibri" w:hAnsi="Calibri"/>
          <w:b/>
          <w:color w:val="323C50"/>
          <w:sz w:val="26"/>
        </w:rPr>
        <w:t>1.2 Problem Formulation</w:t>
      </w:r>
    </w:p>
    <w:p>
      <w:pPr>
        <w:spacing w:before="40" w:after="80"/>
      </w:pPr>
      <w:r>
        <w:t>The overarching business challenge is formulated as:</w:t>
      </w:r>
    </w:p>
    <w:p>
      <w:pPr>
        <w:spacing w:before="80" w:after="80"/>
        <w:ind w:left="576"/>
      </w:pPr>
      <w:r>
        <w:rPr>
          <w:i/>
          <w:color w:val="505A69"/>
        </w:rPr>
        <w:t>*How can BladeGen Tech predict customer product category choice in real time at the point of sale, and leverage demand forecasting to minimize perishable stockouts and food waste across diverse store outlets?*</w:t>
      </w:r>
    </w:p>
    <w:p>
      <w:pPr>
        <w:spacing w:before="40" w:after="80"/>
      </w:pPr>
      <w:r>
        <w:t>Sub-problems include:</w:t>
      </w:r>
    </w:p>
    <w:p>
      <w:pPr>
        <w:pStyle w:val="ListBullet"/>
        <w:spacing w:before="20" w:after="40"/>
      </w:pPr>
      <w:r>
        <w:t>Inability to profile purchasing elasticity across Local vs. Foreign tourist segments.</w:t>
      </w:r>
    </w:p>
    <w:p>
      <w:pPr>
        <w:pStyle w:val="ListBullet"/>
        <w:spacing w:before="20" w:after="40"/>
      </w:pPr>
      <w:r>
        <w:t>High variance in outlet-level baseline sales volumes.</w:t>
      </w:r>
    </w:p>
    <w:p>
      <w:pPr>
        <w:pStyle w:val="ListBullet"/>
        <w:spacing w:before="20" w:after="40"/>
      </w:pPr>
      <w:r>
        <w:t>Misalignment between weekly procurement orders and true weekend foot-traffic demand surges.</w:t>
      </w:r>
    </w:p>
    <w:p>
      <w:pPr>
        <w:spacing w:before="200" w:after="80"/>
      </w:pPr>
      <w:r>
        <w:rPr>
          <w:rFonts w:ascii="Calibri" w:hAnsi="Calibri"/>
          <w:b/>
          <w:color w:val="323C50"/>
          <w:sz w:val="26"/>
        </w:rPr>
        <w:t>1.3 Stakeholders Affected</w:t>
      </w:r>
    </w:p>
    <w:p>
      <w:pPr>
        <w:pStyle w:val="ListBullet"/>
        <w:spacing w:before="20" w:after="40"/>
      </w:pPr>
      <w:r>
        <w:rPr>
          <w:b/>
        </w:rPr>
        <w:t>Store Baristas &amp; Cashiers:</w:t>
      </w:r>
      <w:r>
        <w:t xml:space="preserve"> Experience cognitive overload during peak hours; require instant, automated upsell prompts.</w:t>
      </w:r>
    </w:p>
    <w:p>
      <w:pPr>
        <w:pStyle w:val="ListBullet"/>
        <w:spacing w:before="20" w:after="40"/>
      </w:pPr>
      <w:r>
        <w:rPr>
          <w:b/>
        </w:rPr>
        <w:t>Store Managers:</w:t>
      </w:r>
      <w:r>
        <w:t xml:space="preserve"> Struggle with daily shift scheduling and balancing morning vs. evening labor allocations.</w:t>
      </w:r>
    </w:p>
    <w:p>
      <w:pPr>
        <w:pStyle w:val="ListBullet"/>
        <w:spacing w:before="20" w:after="40"/>
      </w:pPr>
      <w:r>
        <w:rPr>
          <w:b/>
        </w:rPr>
        <w:t>Central Procurement &amp; Supply Chain Directors:</w:t>
      </w:r>
      <w:r>
        <w:t xml:space="preserve"> Risk ordering excess dairy and bakery goods that expire within 48–72 hours.</w:t>
      </w:r>
    </w:p>
    <w:p>
      <w:pPr>
        <w:pStyle w:val="ListBullet"/>
        <w:spacing w:before="20" w:after="40"/>
      </w:pPr>
      <w:r>
        <w:rPr>
          <w:b/>
        </w:rPr>
        <w:t>Executive Board &amp; CFO:</w:t>
      </w:r>
      <w:r>
        <w:t xml:space="preserve"> Face margin erosion from waste write-offs and untargeted promotional discounting.</w:t>
      </w:r>
    </w:p>
    <w:p>
      <w:pPr>
        <w:spacing w:before="200" w:after="80"/>
      </w:pPr>
      <w:r>
        <w:rPr>
          <w:rFonts w:ascii="Calibri" w:hAnsi="Calibri"/>
          <w:b/>
          <w:color w:val="323C50"/>
          <w:sz w:val="26"/>
        </w:rPr>
        <w:t>1.4 Consultancy Objectives</w:t>
      </w:r>
    </w:p>
    <w:p>
      <w:pPr>
        <w:pStyle w:val="ListNumber"/>
        <w:spacing w:before="20" w:after="40"/>
      </w:pPr>
      <w:r>
        <w:t>Quantify customer spending behavior and identify significant demographic determinants of revenue.</w:t>
      </w:r>
    </w:p>
    <w:p>
      <w:pPr>
        <w:pStyle w:val="ListNumber"/>
        <w:spacing w:before="20" w:after="40"/>
      </w:pPr>
      <w:r>
        <w:t>Formulate and validate six formal inferential hypothesis tests to guide managerial decision-making.</w:t>
      </w:r>
    </w:p>
    <w:p>
      <w:pPr>
        <w:pStyle w:val="ListNumber"/>
        <w:spacing w:before="20" w:after="40"/>
      </w:pPr>
      <w:r>
        <w:t>Train, benchmark, and evaluate four machine learning models across four team members to select a champion classifier.</w:t>
      </w:r>
    </w:p>
    <w:p>
      <w:pPr>
        <w:pStyle w:val="ListNumber"/>
        <w:spacing w:before="20" w:after="40"/>
      </w:pPr>
      <w:r>
        <w:t>Critically evaluate experimental design, principal component analysis, and Bayesian methods.</w:t>
      </w:r>
    </w:p>
    <w:p>
      <w:pPr>
        <w:pStyle w:val="ListNumber"/>
        <w:spacing w:before="20" w:after="40"/>
      </w:pPr>
      <w:r>
        <w:t>Build an operational time-series forecasting model to automate procurement planning.</w:t>
      </w:r>
    </w:p>
    <w:p>
      <w:pPr>
        <w:pStyle w:val="ListNumber"/>
        <w:spacing w:before="20" w:after="40"/>
      </w:pPr>
      <w:r>
        <w:t>Deliver a fully validated industry innovation framework and strategic roadmap.</w:t>
      </w:r>
    </w:p>
    <w:p>
      <w:pPr>
        <w:spacing w:before="280" w:after="100"/>
      </w:pPr>
      <w:r>
        <w:rPr>
          <w:rFonts w:ascii="Calibri" w:hAnsi="Calibri"/>
          <w:b/>
          <w:color w:val="1F4E78"/>
          <w:sz w:val="32"/>
        </w:rPr>
        <w:t>Task 2: Research Landscape &amp; Literature Review</w:t>
      </w:r>
    </w:p>
    <w:p>
      <w:pPr>
        <w:spacing w:before="40" w:after="80"/>
      </w:pPr>
      <w: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0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00" w:after="80"/>
      </w:pPr>
      <w:r>
        <w:rPr>
          <w:rFonts w:ascii="Calibri" w:hAnsi="Calibri"/>
          <w:b/>
          <w:color w:val="323C50"/>
          <w:sz w:val="26"/>
        </w:rPr>
        <w:t>Research Gap &amp; Consultancy Justification</w:t>
      </w:r>
    </w:p>
    <w:p>
      <w:pPr>
        <w:spacing w:before="40" w:after="80"/>
      </w:pPr>
      <w: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280" w:after="100"/>
      </w:pPr>
      <w:r>
        <w:rPr>
          <w:rFonts w:ascii="Calibri" w:hAnsi="Calibri"/>
          <w:b/>
          <w:color w:val="1F4E78"/>
          <w:sz w:val="32"/>
        </w:rPr>
        <w:t>Task 3: Dataset Understanding, Data Quality &amp; Descriptive Analytics</w:t>
      </w:r>
    </w:p>
    <w:p>
      <w:pPr>
        <w:spacing w:before="200" w:after="80"/>
      </w:pPr>
      <w:r>
        <w:rPr>
          <w:rFonts w:ascii="Calibri" w:hAnsi="Calibri"/>
          <w:b/>
          <w:color w:val="323C50"/>
          <w:sz w:val="26"/>
        </w:rPr>
        <w:t>3.1 Dataset Overview &amp; Provenance</w:t>
      </w:r>
    </w:p>
    <w:p>
      <w:pPr>
        <w:spacing w:before="40" w:after="80"/>
      </w:pPr>
      <w:r>
        <w:t>The raw transaction dataset provided by BladeGen Tech (</w:t>
      </w:r>
      <w:r>
        <w:rPr>
          <w:rFonts w:ascii="Consolas" w:hAnsi="Consolas"/>
          <w:sz w:val="20"/>
        </w:rPr>
        <w:t>temp_org_all_tables_rows.csv</w:t>
      </w:r>
      <w:r>
        <w:t>) contained 15,937 records collected across a single operating day (</w:t>
      </w:r>
      <w:r>
        <w:rPr>
          <w:rFonts w:ascii="Consolas" w:hAnsi="Consolas"/>
          <w:sz w:val="20"/>
        </w:rPr>
        <w:t>2026-03-09</w:t>
      </w:r>
      <w:r>
        <w:t>). To facilitate robust time-series forecasting (Task 9) and multi-period inferential hypothesis testing, our consultancy firm engineered a multi-period simulation model (</w:t>
      </w:r>
      <w:r>
        <w:rPr>
          <w:rFonts w:ascii="Consolas" w:hAnsi="Consolas"/>
          <w:sz w:val="20"/>
        </w:rPr>
        <w:t>00_generate_synthetic_data.R</w:t>
      </w:r>
      <w:r>
        <w:t>). The model expanded the dataset into 90 continuous days (January 1, 2026 to March 31, 2026), generating 29,465 clean transaction records across 20,476 distinct orders while strictly preserving BladeGen Tech's empirical item prices, outlet market shares, customer segment proportions, and rush-hour density curves.</w:t>
      </w:r>
    </w:p>
    <w:p>
      <w:pPr>
        <w:spacing w:before="200" w:after="80"/>
      </w:pPr>
      <w:r>
        <w:rPr>
          <w:rFonts w:ascii="Calibri" w:hAnsi="Calibri"/>
          <w:b/>
          <w:color w:val="323C50"/>
          <w:sz w:val="26"/>
        </w:rPr>
        <w:t>3.2 Source Integrity &amp; Data Quality Audit</w:t>
      </w:r>
    </w:p>
    <w:p>
      <w:pPr>
        <w:spacing w:before="40" w:after="80"/>
      </w:pPr>
      <w:r>
        <w:t xml:space="preserve">Prior to model training, a rigorous data provenance and integrity audit was executed in </w:t>
      </w:r>
      <w:r>
        <w:rPr>
          <w:rFonts w:ascii="Consolas" w:hAnsi="Consolas"/>
          <w:sz w:val="20"/>
        </w:rPr>
        <w:t>01_data_cleaning.R</w:t>
      </w:r>
      <w:r>
        <w:t xml:space="preserve"> (</w:t>
      </w:r>
      <w:r>
        <w:rPr>
          <w:rFonts w:ascii="Consolas" w:hAnsi="Consolas"/>
          <w:sz w:val="20"/>
        </w:rPr>
        <w:t>01_source_audit.csv</w:t>
      </w:r>
      <w: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00" w:after="80"/>
      </w:pPr>
      <w:r>
        <w:rPr>
          <w:rFonts w:ascii="Calibri" w:hAnsi="Calibri"/>
          <w:b/>
          <w:color w:val="323C50"/>
          <w:sz w:val="26"/>
        </w:rPr>
        <w:t>3.3 Feature Matrix &amp; Feature Engineering</w:t>
      </w:r>
    </w:p>
    <w:p>
      <w:pPr>
        <w:spacing w:before="40" w:after="80"/>
      </w:pPr>
      <w:r>
        <w:t xml:space="preserve">Data preprocessing was executed in </w:t>
      </w:r>
      <w:r>
        <w:rPr>
          <w:rFonts w:ascii="Consolas" w:hAnsi="Consolas"/>
          <w:sz w:val="20"/>
        </w:rPr>
        <w:t>01_data_cleaning.R</w:t>
      </w:r>
      <w:r>
        <w:t>:</w:t>
      </w:r>
    </w:p>
    <w:p>
      <w:pPr>
        <w:pStyle w:val="ListBullet"/>
        <w:spacing w:before="20" w:after="40"/>
      </w:pPr>
      <w:r>
        <w:t>Date and time features were parsed into ISO date formats and 24-hour time ranges.</w:t>
      </w:r>
    </w:p>
    <w:p>
      <w:pPr>
        <w:pStyle w:val="ListBullet"/>
        <w:spacing w:before="20" w:after="40"/>
      </w:pPr>
      <w:r>
        <w:rPr>
          <w:rFonts w:ascii="Consolas" w:hAnsi="Consolas"/>
          <w:sz w:val="20"/>
        </w:rPr>
        <w:t>OrderType</w:t>
      </w:r>
      <w:r>
        <w:t xml:space="preserve"> was cleaned and standardized (</w:t>
      </w:r>
      <w:r>
        <w:rPr>
          <w:rFonts w:ascii="Consolas" w:hAnsi="Consolas"/>
          <w:sz w:val="20"/>
        </w:rPr>
        <w:t>Dine-In</w:t>
      </w:r>
      <w:r>
        <w:t xml:space="preserve"> vs. </w:t>
      </w:r>
      <w:r>
        <w:rPr>
          <w:rFonts w:ascii="Consolas" w:hAnsi="Consolas"/>
          <w:sz w:val="20"/>
        </w:rPr>
        <w:t>Takeaway</w:t>
      </w:r>
      <w:r>
        <w:t>).</w:t>
      </w:r>
    </w:p>
    <w:p>
      <w:pPr>
        <w:pStyle w:val="ListBullet"/>
        <w:spacing w:before="20" w:after="40"/>
      </w:pPr>
      <w:r>
        <w:t xml:space="preserve">Missing values in </w:t>
      </w:r>
      <w:r>
        <w:rPr>
          <w:rFonts w:ascii="Consolas" w:hAnsi="Consolas"/>
          <w:sz w:val="20"/>
        </w:rPr>
        <w:t>CustomerLoyaltyNumber</w:t>
      </w:r>
      <w:r>
        <w:t xml:space="preserve"> were encoded into a binary indicator (</w:t>
      </w:r>
      <w:r>
        <w:rPr>
          <w:rFonts w:ascii="Consolas" w:hAnsi="Consolas"/>
          <w:sz w:val="20"/>
        </w:rPr>
        <w:t>IsLoyaltyMember</w:t>
      </w:r>
      <w:r>
        <w:t>).</w:t>
      </w:r>
    </w:p>
    <w:p>
      <w:pPr>
        <w:pStyle w:val="ListBullet"/>
        <w:spacing w:before="20" w:after="40"/>
      </w:pPr>
      <w:r>
        <w:t xml:space="preserve">Continuous </w:t>
      </w:r>
      <w:r>
        <w:rPr>
          <w:rFonts w:ascii="Consolas" w:hAnsi="Consolas"/>
          <w:sz w:val="20"/>
        </w:rPr>
        <w:t>Revenue</w:t>
      </w:r>
      <w:r>
        <w:t xml:space="preserve"> was engineered: $\text{Revenue} = (\text{AdjustedRate} \times \text{Qty1}) - \text{Discount}$.</w:t>
      </w:r>
    </w:p>
    <w:p>
      <w:pPr>
        <w:pStyle w:val="ListBullet"/>
        <w:spacing w:before="20" w:after="40"/>
      </w:pPr>
      <w:r>
        <w:rPr>
          <w:rFonts w:ascii="Consolas" w:hAnsi="Consolas"/>
          <w:sz w:val="20"/>
        </w:rPr>
        <w:t>TotalBill</w:t>
      </w:r>
      <w:r>
        <w:t xml:space="preserve"> was calculated: $\text{TotalBill} = \text{Revenue} + \text{ServiceCharge}$.</w:t>
      </w:r>
    </w:p>
    <w:p>
      <w:pPr>
        <w:spacing w:before="200" w:after="80"/>
      </w:pPr>
      <w:r>
        <w:rPr>
          <w:rFonts w:ascii="Calibri" w:hAnsi="Calibri"/>
          <w:b/>
          <w:color w:val="323C50"/>
          <w:sz w:val="26"/>
        </w:rPr>
        <w:t>3.3 Numeric Feature Dispersion &amp; Outlier Analysis</w:t>
      </w:r>
    </w:p>
    <w:p>
      <w:pPr>
        <w:spacing w:before="40" w:after="80"/>
      </w:pPr>
      <w:r>
        <w:t>Outliers were evaluated using Tukey's Interquartile Range method ($1.5 \times \text{IQR}$)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pPr>
      <w:r>
        <w:rPr>
          <w:i/>
        </w:rPr>
        <w:t>Interpretation:</w:t>
      </w:r>
      <w:r>
        <w:t xml:space="preserve"> Adjusted unit rates exhibit near-zero skewness and minimal outliers ($0.25\%$), reflecting consistent menu pricing. Conversely, Revenue and Discount display positive skewness ($&gt;2.0$) driven by multi-item orders and targeted loyalty price reductions. All identified records were retained as genuine retail variance.</w:t>
      </w:r>
    </w:p>
    <w:p>
      <w:pPr>
        <w:spacing w:before="200" w:after="80"/>
      </w:pPr>
      <w:r>
        <w:rPr>
          <w:rFonts w:ascii="Calibri" w:hAnsi="Calibri"/>
          <w:b/>
          <w:color w:val="323C50"/>
          <w:sz w:val="26"/>
        </w:rPr>
        <w:t>3.4 Key Visual EDA Discoveries</w:t>
      </w:r>
    </w:p>
    <w:p>
      <w:pPr>
        <w:pStyle w:val="ListBullet"/>
        <w:spacing w:before="20" w:after="40"/>
      </w:pPr>
      <w:r>
        <w:rPr>
          <w:b/>
        </w:rPr>
        <w:t>Category Share:</w:t>
      </w:r>
      <w:r>
        <w:t xml:space="preserve"> Beverages represent 54.34% of sales volume (15,886 items), followed by Food at 37.28% (10,980 items), Deals at 4.60% (1,355 items), and Merchandizing at 4.22% (1,244 items).</w:t>
      </w:r>
    </w:p>
    <w:p>
      <w:pPr>
        <w:pStyle w:val="ListBullet"/>
        <w:spacing w:before="20" w:after="40"/>
      </w:pPr>
      <w:r>
        <w:rPr>
          <w:b/>
        </w:rPr>
        <w:t>Temporal Patterns:</w:t>
      </w:r>
      <w:r>
        <w:t xml:space="preserve"> Peak transaction density occurs between 8:00 AM and 10:00 AM (morning coffee rush) and 1:00 PM to 3:00 PM (lunch snack surge). Weekend daily volume surges by +35% over midweek averages.</w:t>
      </w:r>
    </w:p>
    <w:p>
      <w:pPr>
        <w:pStyle w:val="ListBullet"/>
        <w:spacing w:before="20" w:after="40"/>
      </w:pPr>
      <w:r>
        <w:rPr>
          <w:b/>
        </w:rPr>
        <w:t>Payment Method Preferences:</w:t>
      </w:r>
      <w:r>
        <w:t xml:space="preserve"> VISA (43.1%) and Cash (23.2%) dominate total transactions. Delivery app orders (Uber Eats at 8.3%, PickMe at 3.6%) surge predominantly during late afternoon and evening hours.</w:t>
      </w:r>
    </w:p>
    <w:p>
      <w:pPr>
        <w:spacing w:before="280" w:after="100"/>
      </w:pPr>
      <w:r>
        <w:rPr>
          <w:rFonts w:ascii="Calibri" w:hAnsi="Calibri"/>
          <w:b/>
          <w:color w:val="1F4E78"/>
          <w:sz w:val="32"/>
        </w:rPr>
        <w:t>Task 4: Statistical Inference &amp; Hypothesis Testing</w:t>
      </w:r>
    </w:p>
    <w:p>
      <w:pPr>
        <w:spacing w:before="40" w:after="80"/>
      </w:pPr>
      <w:r>
        <w:t xml:space="preserve">Six formal hypothesis tests were executed in </w:t>
      </w:r>
      <w:r>
        <w:rPr>
          <w:rFonts w:ascii="Consolas" w:hAnsi="Consolas"/>
          <w:sz w:val="20"/>
        </w:rPr>
        <w:t>04_statistical_inference.R</w:t>
      </w:r>
      <w:r>
        <w:t xml:space="preserve"> using a significance threshold of $\alpha = 0.05$.</w:t>
      </w:r>
    </w:p>
    <w:p>
      <w:pPr>
        <w:spacing w:before="200" w:after="80"/>
      </w:pPr>
      <w:r>
        <w:rPr>
          <w:rFonts w:ascii="Calibri" w:hAnsi="Calibri"/>
          <w:b/>
          <w:color w:val="323C50"/>
          <w:sz w:val="26"/>
        </w:rPr>
        <w:t>Test 1: Welch's Two-Sample t-Test (Comparison of Means)</w:t>
      </w:r>
    </w:p>
    <w:p>
      <w:pPr>
        <w:pStyle w:val="ListBullet"/>
        <w:spacing w:before="20" w:after="40"/>
      </w:pPr>
      <w:r>
        <w:rPr>
          <w:b/>
        </w:rPr>
        <w:t>Question:</w:t>
      </w:r>
      <w:r>
        <w:t xml:space="preserve"> Do Foreign tourists spend significantly more per line item than Local customers?</w:t>
      </w:r>
    </w:p>
    <w:p>
      <w:pPr>
        <w:pStyle w:val="ListBullet"/>
        <w:spacing w:before="20" w:after="40"/>
      </w:pPr>
      <w:r>
        <w:rPr>
          <w:b/>
        </w:rPr>
        <w:t>Hypotheses:</w:t>
      </w:r>
      <w:r>
        <w:t xml:space="preserve"> $H_0: \mu_{\text{Foreign}} - \mu_{\text{Local}} = 0 \quad \text{vs.} \quad H_1: \mu_{\text{Foreign}} - \mu_{\text{Local}} \neq 0$</w:t>
      </w:r>
    </w:p>
    <w:p>
      <w:pPr>
        <w:pStyle w:val="ListBullet"/>
        <w:spacing w:before="20" w:after="40"/>
      </w:pPr>
      <w:r>
        <w:rPr>
          <w:b/>
        </w:rPr>
        <w:t>Justification:</w:t>
      </w:r>
      <w:r>
        <w:t xml:space="preserve"> Sample sizes (Foreign: 4,524; Local: 24,941) and variances differ; Welch's test does not assume equal population variances.</w:t>
      </w:r>
    </w:p>
    <w:p>
      <w:pPr>
        <w:pStyle w:val="ListBullet"/>
        <w:spacing w:before="20" w:after="40"/>
      </w:pPr>
      <w:r>
        <w:rPr>
          <w:b/>
        </w:rPr>
        <w:t>Results:</w:t>
      </w:r>
      <w:r>
        <w:t xml:space="preserve"> $\bar{x}_{\text{Foreign}} = \text{LKR } 1,039.90, \; \bar{x}_{\text{Local}} = \text{LKR } 1,014.57$. Difference = +LKR 25.32 (95% CI: [11.46, 39.19]). $t = 3.5810, \; df = 6,140.4, \; p = 0.00034$. Cohen's $d = 0.0594$.</w:t>
      </w:r>
    </w:p>
    <w:p>
      <w:pPr>
        <w:pStyle w:val="ListBullet"/>
        <w:spacing w:before="20" w:after="40"/>
      </w:pPr>
      <w:r>
        <w:rPr>
          <w:b/>
        </w:rPr>
        <w:t>Decision:</w:t>
      </w:r>
      <w:r>
        <w:t xml:space="preserve"> </w:t>
      </w:r>
      <w:r>
        <w:rPr>
          <w:b/>
        </w:rPr>
        <w:t>Reject $H_0$.</w:t>
      </w:r>
      <w:r>
        <w:t xml:space="preserve"> Foreign visitors generate a statistically significant spend premium. Curate premium Ceylon coffee flights and souvenir bakery gift packs in tourist branches.</w:t>
      </w:r>
    </w:p>
    <w:p>
      <w:pPr>
        <w:spacing w:before="200" w:after="80"/>
      </w:pPr>
      <w:r>
        <w:rPr>
          <w:rFonts w:ascii="Calibri" w:hAnsi="Calibri"/>
          <w:b/>
          <w:color w:val="323C50"/>
          <w:sz w:val="26"/>
        </w:rPr>
        <w:t>Test 2: Fisher's F-Test (Comparison of Variances)</w:t>
      </w:r>
    </w:p>
    <w:p>
      <w:pPr>
        <w:pStyle w:val="ListBullet"/>
        <w:spacing w:before="20" w:after="40"/>
      </w:pPr>
      <w:r>
        <w:rPr>
          <w:b/>
        </w:rPr>
        <w:t>Question:</w:t>
      </w:r>
      <w:r>
        <w:t xml:space="preserve"> Is spending volatility equal between Dine-In and Takeaway orders?</w:t>
      </w:r>
    </w:p>
    <w:p>
      <w:pPr>
        <w:pStyle w:val="ListBullet"/>
        <w:spacing w:before="20" w:after="40"/>
      </w:pPr>
      <w:r>
        <w:rPr>
          <w:b/>
        </w:rPr>
        <w:t>Hypotheses:</w:t>
      </w:r>
      <w:r>
        <w:t xml:space="preserve"> $H_0: \sigma^2_{\text{Dine-In}} / \sigma^2_{\text{Takeaway}} = 1 \quad \text{vs.} \quad H_1: \sigma^2_{\text{Dine-In}} / \sigma^2_{\text{Takeaway}} \neq 1$</w:t>
      </w:r>
    </w:p>
    <w:p>
      <w:pPr>
        <w:pStyle w:val="ListBullet"/>
        <w:spacing w:before="20" w:after="40"/>
      </w:pPr>
      <w:r>
        <w:rPr>
          <w:b/>
        </w:rPr>
        <w:t>Results:</w:t>
      </w:r>
      <w:r>
        <w:t xml:space="preserve"> $F = 0.9687, \; df_1 = 17,364, \; df_2 = 12,099, \; p = 0.05723$. 95% CI for ratio: [0.9374, 1.0010].</w:t>
      </w:r>
    </w:p>
    <w:p>
      <w:pPr>
        <w:pStyle w:val="ListBullet"/>
        <w:spacing w:before="20" w:after="40"/>
      </w:pPr>
      <w:r>
        <w:rPr>
          <w:b/>
        </w:rPr>
        <w:t>Decision:</w:t>
      </w:r>
      <w:r>
        <w:t xml:space="preserve"> </w:t>
      </w:r>
      <w:r>
        <w:rPr>
          <w:b/>
        </w:rPr>
        <w:t>Fail to Reject $H_0$.</w:t>
      </w:r>
      <w:r>
        <w:t xml:space="preserve"> Overall basket variance is statistically homogeneous across ordering channels.</w:t>
      </w:r>
    </w:p>
    <w:p>
      <w:pPr>
        <w:spacing w:before="200" w:after="80"/>
      </w:pPr>
      <w:r>
        <w:rPr>
          <w:rFonts w:ascii="Calibri" w:hAnsi="Calibri"/>
          <w:b/>
          <w:color w:val="323C50"/>
          <w:sz w:val="26"/>
        </w:rPr>
        <w:t>Test 3: One-Way ANOVA (Revenue across Outlets)</w:t>
      </w:r>
    </w:p>
    <w:p>
      <w:pPr>
        <w:pStyle w:val="ListBullet"/>
        <w:spacing w:before="20" w:after="40"/>
      </w:pPr>
      <w:r>
        <w:rPr>
          <w:b/>
        </w:rPr>
        <w:t>Question:</w:t>
      </w:r>
      <w:r>
        <w:t xml:space="preserve"> Does mean item revenue vary significantly across the top 8 store outlets?</w:t>
      </w:r>
    </w:p>
    <w:p>
      <w:pPr>
        <w:pStyle w:val="ListBullet"/>
        <w:spacing w:before="20" w:after="40"/>
      </w:pPr>
      <w:r>
        <w:rPr>
          <w:b/>
        </w:rPr>
        <w:t>Hypotheses:</w:t>
      </w:r>
      <w:r>
        <w:t xml:space="preserve"> $H_0: \mu_1 = \mu_2 = \dots = \mu_8 \quad \text{vs.} \quad H_1: \text{At least one outlet mean differs}$</w:t>
      </w:r>
    </w:p>
    <w:p>
      <w:pPr>
        <w:pStyle w:val="ListBullet"/>
        <w:spacing w:before="20" w:after="40"/>
      </w:pPr>
      <w:r>
        <w:rPr>
          <w:b/>
        </w:rPr>
        <w:t>Results:</w:t>
      </w:r>
      <w:r>
        <w:t xml:space="preserve"> $F = 1.4044, \; df = (7, 5745), \; p = 0.1986, \; \eta^2 = 0.0017$.</w:t>
      </w:r>
    </w:p>
    <w:p>
      <w:pPr>
        <w:pStyle w:val="ListBullet"/>
        <w:spacing w:before="20" w:after="40"/>
      </w:pPr>
      <w:r>
        <w:rPr>
          <w:b/>
        </w:rPr>
        <w:t>Decision:</w:t>
      </w:r>
      <w:r>
        <w:t xml:space="preserve"> </w:t>
      </w:r>
      <w:r>
        <w:rPr>
          <w:b/>
        </w:rPr>
        <w:t>Fail to Reject $H_0$.</w:t>
      </w:r>
      <w:r>
        <w:t xml:space="preserve"> With $p &gt; 0.05$, there is no statistically significant difference in mean item revenue across outlets, indicating chain-wide pricing standardization.</w:t>
      </w:r>
    </w:p>
    <w:p>
      <w:pPr>
        <w:spacing w:before="200" w:after="80"/>
      </w:pPr>
      <w:r>
        <w:rPr>
          <w:rFonts w:ascii="Calibri" w:hAnsi="Calibri"/>
          <w:b/>
          <w:color w:val="323C50"/>
          <w:sz w:val="26"/>
        </w:rPr>
        <w:t>Test 4: Pearson's Chi-Square Test of Independence (Proportions)</w:t>
      </w:r>
    </w:p>
    <w:p>
      <w:pPr>
        <w:pStyle w:val="ListBullet"/>
        <w:spacing w:before="20" w:after="40"/>
      </w:pPr>
      <w:r>
        <w:rPr>
          <w:b/>
        </w:rPr>
        <w:t>Question:</w:t>
      </w:r>
      <w:r>
        <w:t xml:space="preserve"> Is choice of payment method independent of customer segment (Local vs. Foreign)?</w:t>
      </w:r>
    </w:p>
    <w:p>
      <w:pPr>
        <w:pStyle w:val="ListBullet"/>
        <w:spacing w:before="20" w:after="40"/>
      </w:pPr>
      <w:r>
        <w:rPr>
          <w:b/>
        </w:rPr>
        <w:t>Hypotheses:</w:t>
      </w:r>
      <w:r>
        <w:t xml:space="preserve"> $H_0: \text{Payment Method} \perp \text{Customer Type} \quad \text{vs.} \quad H_1: \text{Statistically Dependent}$</w:t>
      </w:r>
    </w:p>
    <w:p>
      <w:pPr>
        <w:pStyle w:val="ListBullet"/>
        <w:spacing w:before="20" w:after="40"/>
      </w:pPr>
      <w:r>
        <w:rPr>
          <w:b/>
        </w:rPr>
        <w:t>Results:</w:t>
      </w:r>
      <w:r>
        <w:t xml:space="preserve"> $\chi^2 = 4,270.2, \; df = 6, \; p &lt; 10^{-4}$. Cramér's $V = 0.3807$ (moderate-to-strong association).</w:t>
      </w:r>
    </w:p>
    <w:p>
      <w:pPr>
        <w:pStyle w:val="ListBullet"/>
        <w:spacing w:before="20" w:after="40"/>
      </w:pPr>
      <w:r>
        <w:rPr>
          <w:b/>
        </w:rPr>
        <w:t>Decision:</w:t>
      </w:r>
      <w:r>
        <w:t xml:space="preserve"> </w:t>
      </w:r>
      <w:r>
        <w:rPr>
          <w:b/>
        </w:rPr>
        <w:t>Reject $H_0$.</w:t>
      </w:r>
      <w:r>
        <w:t xml:space="preserve"> Foreign tourists rely almost exclusively on VISA/MasterCard/AMEX credit cards, whereas Locals utilize cash, Uber Eats wallets, and local QR platforms.</w:t>
      </w:r>
    </w:p>
    <w:p>
      <w:pPr>
        <w:spacing w:before="200" w:after="80"/>
      </w:pPr>
      <w:r>
        <w:rPr>
          <w:rFonts w:ascii="Calibri" w:hAnsi="Calibri"/>
          <w:b/>
          <w:color w:val="323C50"/>
          <w:sz w:val="26"/>
        </w:rPr>
        <w:t>Test 5: Kruskal-Wallis Non-Parametric Test</w:t>
      </w:r>
    </w:p>
    <w:p>
      <w:pPr>
        <w:pStyle w:val="ListBullet"/>
        <w:spacing w:before="20" w:after="40"/>
      </w:pPr>
      <w:r>
        <w:rPr>
          <w:b/>
        </w:rPr>
        <w:t>Question:</w:t>
      </w:r>
      <w:r>
        <w:t xml:space="preserve"> Does median item quantity ordered (</w:t>
      </w:r>
      <w:r>
        <w:rPr>
          <w:rFonts w:ascii="Consolas" w:hAnsi="Consolas"/>
          <w:sz w:val="20"/>
        </w:rPr>
        <w:t>Qty1</w:t>
      </w:r>
      <w:r>
        <w:t>) vary across times of day?</w:t>
      </w:r>
    </w:p>
    <w:p>
      <w:pPr>
        <w:pStyle w:val="ListBullet"/>
        <w:spacing w:before="20" w:after="40"/>
      </w:pPr>
      <w:r>
        <w:rPr>
          <w:b/>
        </w:rPr>
        <w:t>Hypotheses:</w:t>
      </w:r>
      <w:r>
        <w:t xml:space="preserve"> $H_0: \text{Medians across Morning, Afternoon, Evening, Night identical}$</w:t>
      </w:r>
    </w:p>
    <w:p>
      <w:pPr>
        <w:pStyle w:val="ListBullet"/>
        <w:spacing w:before="20" w:after="40"/>
      </w:pPr>
      <w:r>
        <w:rPr>
          <w:b/>
        </w:rPr>
        <w:t>Results:</w:t>
      </w:r>
      <w:r>
        <w:t xml:space="preserve"> Kruskal-Wallis $\chi^2 = 0.7777, \; df = 3, \; p = 0.8548$.</w:t>
      </w:r>
    </w:p>
    <w:p>
      <w:pPr>
        <w:pStyle w:val="ListBullet"/>
        <w:spacing w:before="20" w:after="40"/>
      </w:pPr>
      <w:r>
        <w:rPr>
          <w:b/>
        </w:rPr>
        <w:t>Decision:</w:t>
      </w:r>
      <w:r>
        <w:t xml:space="preserve"> </w:t>
      </w:r>
      <w:r>
        <w:rPr>
          <w:b/>
        </w:rPr>
        <w:t>Fail to Reject $H_0$.</w:t>
      </w:r>
      <w:r>
        <w:t xml:space="preserve"> Line-item counts per order are uniform throughout the operating day.</w:t>
      </w:r>
    </w:p>
    <w:p>
      <w:pPr>
        <w:spacing w:before="200" w:after="80"/>
      </w:pPr>
      <w:r>
        <w:rPr>
          <w:rFonts w:ascii="Calibri" w:hAnsi="Calibri"/>
          <w:b/>
          <w:color w:val="323C50"/>
          <w:sz w:val="26"/>
        </w:rPr>
        <w:t>Test 6: Pearson &amp; Spearman Correlation Analysis</w:t>
      </w:r>
    </w:p>
    <w:p>
      <w:pPr>
        <w:pStyle w:val="ListBullet"/>
        <w:spacing w:before="20" w:after="40"/>
      </w:pPr>
      <w:r>
        <w:rPr>
          <w:b/>
        </w:rPr>
        <w:t>Question:</w:t>
      </w:r>
      <w:r>
        <w:t xml:space="preserve"> Does promotional discounting correlate with total customer item spend?</w:t>
      </w:r>
    </w:p>
    <w:p>
      <w:pPr>
        <w:pStyle w:val="ListBullet"/>
        <w:spacing w:before="20" w:after="40"/>
      </w:pPr>
      <w:r>
        <w:rPr>
          <w:b/>
        </w:rPr>
        <w:t>Hypotheses:</w:t>
      </w:r>
      <w:r>
        <w:t xml:space="preserve"> $H_0: \rho = 0 \quad \text{vs.} \quad H_1: \rho \neq 0$</w:t>
      </w:r>
    </w:p>
    <w:p>
      <w:pPr>
        <w:pStyle w:val="ListBullet"/>
        <w:spacing w:before="20" w:after="40"/>
      </w:pPr>
      <w:r>
        <w:rPr>
          <w:b/>
        </w:rPr>
        <w:t>Results:</w:t>
      </w:r>
      <w:r>
        <w:t xml:space="preserve"> Pearson $r = +0.0336, \; t = 5.7624, \; df = 29,463, \; p &lt; 10^{-4}$. Spearman $\rho = +0.0335, \; p &lt; 10^{-4}$.</w:t>
      </w:r>
    </w:p>
    <w:p>
      <w:pPr>
        <w:pStyle w:val="ListBullet"/>
        <w:spacing w:before="20" w:after="40"/>
      </w:pPr>
      <w:r>
        <w:rPr>
          <w:b/>
        </w:rPr>
        <w:t>Decision:</w:t>
      </w:r>
      <w:r>
        <w:t xml:space="preserve"> </w:t>
      </w:r>
      <w:r>
        <w:rPr>
          <w:b/>
        </w:rPr>
        <w:t>Reject $H_0$.</w:t>
      </w:r>
      <w:r>
        <w:t xml:space="preserve"> Modest positive correlation indicates that discount promotions encourage basket expansion rather than revenue cannibalization.</w:t>
      </w:r>
    </w:p>
    <w:p>
      <w:pPr>
        <w:spacing w:before="280" w:after="100"/>
      </w:pPr>
      <w:r>
        <w:rPr>
          <w:rFonts w:ascii="Calibri" w:hAnsi="Calibri"/>
          <w:b/>
          <w:color w:val="1F4E78"/>
          <w:sz w:val="32"/>
        </w:rPr>
        <w:t>Task 5: Predictive Statistical Modelling (4-Member Leaderboard)</w:t>
      </w:r>
    </w:p>
    <w:p>
      <w:pPr>
        <w:spacing w:before="200" w:after="80"/>
      </w:pPr>
      <w:r>
        <w:rPr>
          <w:rFonts w:ascii="Calibri" w:hAnsi="Calibri"/>
          <w:b/>
          <w:color w:val="323C50"/>
          <w:sz w:val="26"/>
        </w:rPr>
        <w:t>5.1 Progression from Baseline Heuristics to Multi-Model Tournament</w:t>
      </w:r>
    </w:p>
    <w:p>
      <w:pPr>
        <w:spacing w:before="40" w:after="80"/>
      </w:pPr>
      <w:r>
        <w:t>In initial exploratory modeling, baseline heuristics such as a simple "customer-favourite" rule and single pooled binomial logistic regression achieved baseline hit rates of ~53.6%–54.1%. However, single-model approaches fail to satisfy the 4-member assessment requirement and cannot evaluate multi-class category tradeoffs across parametric and probabilistic paradigms.</w:t>
      </w:r>
    </w:p>
    <w:p>
      <w:pPr>
        <w:spacing w:before="40" w:after="80"/>
      </w:pPr>
      <w:r>
        <w:t xml:space="preserve">To overcome these constraints, our consultancy deployed a multi-architecture statistical tournament in </w:t>
      </w:r>
      <w:r>
        <w:rPr>
          <w:rFonts w:ascii="Consolas" w:hAnsi="Consolas"/>
          <w:sz w:val="20"/>
        </w:rPr>
        <w:t>05_modelling.R</w:t>
      </w:r>
      <w:r>
        <w:t xml:space="preserve">, assigning four distinct statistical classification models across the four team members strictly adhering to the IT3081 syllabus. Models were trained on an 80% partition (23,573 rows) and evaluated on an unseen 20% test partition (5,892 rows) predicting </w:t>
      </w:r>
      <w:r>
        <w:rPr>
          <w:rFonts w:ascii="Consolas" w:hAnsi="Consolas"/>
          <w:sz w:val="20"/>
        </w:rPr>
        <w:t>MainCategory</w:t>
      </w:r>
      <w:r>
        <w:t>:</w:t>
      </w:r>
    </w:p>
    <w:p>
      <w:pPr>
        <w:spacing w:before="20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120" w:type="dxa"/>
              <w:bottom w:w="120" w:type="dxa"/>
              <w:left w:w="140" w:type="dxa"/>
              <w:right w:w="140" w:type="dxa"/>
            </w:tcMar>
            <w:shd w:fill="1F4E78"/>
          </w:tcPr>
          <w:p>
            <w:pPr>
              <w:spacing w:before="60" w:after="60"/>
            </w:pPr>
            <w:r>
              <w:rPr>
                <w:b/>
                <w:color w:val="FFFFFF"/>
                <w:sz w:val="20"/>
              </w:rPr>
              <w:t>Member</w:t>
            </w:r>
          </w:p>
        </w:tc>
        <w:tc>
          <w:tcPr>
            <w:tcW w:type="dxa" w:w="1170"/>
            <w:tcMar>
              <w:top w:w="120" w:type="dxa"/>
              <w:bottom w:w="120" w:type="dxa"/>
              <w:left w:w="140" w:type="dxa"/>
              <w:right w:w="140" w:type="dxa"/>
            </w:tcMar>
            <w:shd w:fill="1F4E78"/>
          </w:tcPr>
          <w:p>
            <w:pPr>
              <w:spacing w:before="60" w:after="60"/>
            </w:pPr>
            <w:r>
              <w:rPr>
                <w:b/>
                <w:color w:val="FFFFFF"/>
                <w:sz w:val="20"/>
              </w:rPr>
              <w:t>Algorithm Architecture</w:t>
            </w:r>
          </w:p>
        </w:tc>
        <w:tc>
          <w:tcPr>
            <w:tcW w:type="dxa" w:w="1170"/>
            <w:tcMar>
              <w:top w:w="120" w:type="dxa"/>
              <w:bottom w:w="120" w:type="dxa"/>
              <w:left w:w="140" w:type="dxa"/>
              <w:right w:w="140" w:type="dxa"/>
            </w:tcMar>
            <w:shd w:fill="1F4E78"/>
          </w:tcPr>
          <w:p>
            <w:pPr>
              <w:spacing w:before="60" w:after="60"/>
            </w:pPr>
            <w:r>
              <w:rPr>
                <w:b/>
                <w:color w:val="FFFFFF"/>
                <w:sz w:val="20"/>
              </w:rPr>
              <w:t>Test Accuracy</w:t>
            </w:r>
          </w:p>
        </w:tc>
        <w:tc>
          <w:tcPr>
            <w:tcW w:type="dxa" w:w="1170"/>
            <w:tcMar>
              <w:top w:w="120" w:type="dxa"/>
              <w:bottom w:w="120" w:type="dxa"/>
              <w:left w:w="140" w:type="dxa"/>
              <w:right w:w="140" w:type="dxa"/>
            </w:tcMar>
            <w:shd w:fill="1F4E78"/>
          </w:tcPr>
          <w:p>
            <w:pPr>
              <w:spacing w:before="60" w:after="60"/>
            </w:pPr>
            <w:r>
              <w:rPr>
                <w:b/>
                <w:color w:val="FFFFFF"/>
                <w:sz w:val="20"/>
              </w:rPr>
              <w:t>Macro Precision</w:t>
            </w:r>
          </w:p>
        </w:tc>
        <w:tc>
          <w:tcPr>
            <w:tcW w:type="dxa" w:w="1170"/>
            <w:tcMar>
              <w:top w:w="120" w:type="dxa"/>
              <w:bottom w:w="120" w:type="dxa"/>
              <w:left w:w="140" w:type="dxa"/>
              <w:right w:w="140" w:type="dxa"/>
            </w:tcMar>
            <w:shd w:fill="1F4E78"/>
          </w:tcPr>
          <w:p>
            <w:pPr>
              <w:spacing w:before="60" w:after="60"/>
            </w:pPr>
            <w:r>
              <w:rPr>
                <w:b/>
                <w:color w:val="FFFFFF"/>
                <w:sz w:val="20"/>
              </w:rPr>
              <w:t>Macro Recall</w:t>
            </w:r>
          </w:p>
        </w:tc>
        <w:tc>
          <w:tcPr>
            <w:tcW w:type="dxa" w:w="1170"/>
            <w:tcMar>
              <w:top w:w="120" w:type="dxa"/>
              <w:bottom w:w="120" w:type="dxa"/>
              <w:left w:w="140" w:type="dxa"/>
              <w:right w:w="140" w:type="dxa"/>
            </w:tcMar>
            <w:shd w:fill="1F4E78"/>
          </w:tcPr>
          <w:p>
            <w:pPr>
              <w:spacing w:before="60" w:after="60"/>
            </w:pPr>
            <w:r>
              <w:rPr>
                <w:b/>
                <w:color w:val="FFFFFF"/>
                <w:sz w:val="20"/>
              </w:rPr>
              <w:t>Macro F1</w:t>
            </w:r>
          </w:p>
        </w:tc>
        <w:tc>
          <w:tcPr>
            <w:tcW w:type="dxa" w:w="1170"/>
            <w:tcMar>
              <w:top w:w="120" w:type="dxa"/>
              <w:bottom w:w="120" w:type="dxa"/>
              <w:left w:w="140" w:type="dxa"/>
              <w:right w:w="140" w:type="dxa"/>
            </w:tcMar>
            <w:shd w:fill="1F4E78"/>
          </w:tcPr>
          <w:p>
            <w:pPr>
              <w:spacing w:before="60" w:after="60"/>
            </w:pPr>
            <w:r>
              <w:rPr>
                <w:b/>
                <w:color w:val="FFFFFF"/>
                <w:sz w:val="20"/>
              </w:rPr>
              <w:t>Cohen's Kappa</w:t>
            </w:r>
          </w:p>
        </w:tc>
        <w:tc>
          <w:tcPr>
            <w:tcW w:type="dxa" w:w="1170"/>
            <w:tcMar>
              <w:top w:w="120" w:type="dxa"/>
              <w:bottom w:w="120" w:type="dxa"/>
              <w:left w:w="140" w:type="dxa"/>
              <w:right w:w="140" w:type="dxa"/>
            </w:tcMar>
            <w:shd w:fill="1F4E78"/>
          </w:tcPr>
          <w:p>
            <w:pPr>
              <w:spacing w:before="60" w:after="60"/>
            </w:pPr>
            <w:r>
              <w:rPr>
                <w:b/>
                <w:color w:val="FFFFFF"/>
                <w:sz w:val="20"/>
              </w:rPr>
              <w:t>Training Time</w:t>
            </w:r>
          </w:p>
        </w:tc>
      </w:tr>
      <w:tr>
        <w:tc>
          <w:tcPr>
            <w:tcW w:type="dxa" w:w="1170"/>
            <w:tcMar>
              <w:top w:w="120" w:type="dxa"/>
              <w:bottom w:w="120" w:type="dxa"/>
              <w:left w:w="140" w:type="dxa"/>
              <w:right w:w="140" w:type="dxa"/>
            </w:tcMar>
            <w:shd w:fill="F2F5F8"/>
          </w:tcPr>
          <w:p>
            <w:pPr>
              <w:spacing w:before="60" w:after="60"/>
            </w:pPr>
            <w:r>
              <w:rPr>
                <w:sz w:val="19"/>
              </w:rPr>
              <w:t>Member 2</w:t>
            </w:r>
          </w:p>
        </w:tc>
        <w:tc>
          <w:tcPr>
            <w:tcW w:type="dxa" w:w="1170"/>
            <w:tcMar>
              <w:top w:w="120" w:type="dxa"/>
              <w:bottom w:w="120" w:type="dxa"/>
              <w:left w:w="140" w:type="dxa"/>
              <w:right w:w="140" w:type="dxa"/>
            </w:tcMar>
            <w:shd w:fill="F2F5F8"/>
          </w:tcPr>
          <w:p>
            <w:pPr>
              <w:spacing w:before="60" w:after="60"/>
            </w:pPr>
            <w:r>
              <w:rPr>
                <w:sz w:val="19"/>
              </w:rPr>
              <w:t>Linear Discriminant Analysis (LDA - MASS)</w:t>
            </w:r>
          </w:p>
        </w:tc>
        <w:tc>
          <w:tcPr>
            <w:tcW w:type="dxa" w:w="1170"/>
            <w:tcMar>
              <w:top w:w="120" w:type="dxa"/>
              <w:bottom w:w="120" w:type="dxa"/>
              <w:left w:w="140" w:type="dxa"/>
              <w:right w:w="140" w:type="dxa"/>
            </w:tcMar>
            <w:shd w:fill="F2F5F8"/>
          </w:tcPr>
          <w:p>
            <w:pPr>
              <w:spacing w:before="60" w:after="60"/>
            </w:pPr>
            <w:r>
              <w:rPr>
                <w:sz w:val="19"/>
              </w:rPr>
              <w:t>54.26%</w:t>
            </w:r>
          </w:p>
        </w:tc>
        <w:tc>
          <w:tcPr>
            <w:tcW w:type="dxa" w:w="1170"/>
            <w:tcMar>
              <w:top w:w="120" w:type="dxa"/>
              <w:bottom w:w="120" w:type="dxa"/>
              <w:left w:w="140" w:type="dxa"/>
              <w:right w:w="140" w:type="dxa"/>
            </w:tcMar>
            <w:shd w:fill="F2F5F8"/>
          </w:tcPr>
          <w:p>
            <w:pPr>
              <w:spacing w:before="60" w:after="60"/>
            </w:pPr>
            <w:r>
              <w:rPr>
                <w:sz w:val="19"/>
              </w:rPr>
              <w:t>51.35%</w:t>
            </w:r>
          </w:p>
        </w:tc>
        <w:tc>
          <w:tcPr>
            <w:tcW w:type="dxa" w:w="1170"/>
            <w:tcMar>
              <w:top w:w="120" w:type="dxa"/>
              <w:bottom w:w="120" w:type="dxa"/>
              <w:left w:w="140" w:type="dxa"/>
              <w:right w:w="140" w:type="dxa"/>
            </w:tcMar>
            <w:shd w:fill="F2F5F8"/>
          </w:tcPr>
          <w:p>
            <w:pPr>
              <w:spacing w:before="60" w:after="60"/>
            </w:pPr>
            <w:r>
              <w:rPr>
                <w:sz w:val="19"/>
              </w:rPr>
              <w:t>27.37%</w:t>
            </w:r>
          </w:p>
        </w:tc>
        <w:tc>
          <w:tcPr>
            <w:tcW w:type="dxa" w:w="1170"/>
            <w:tcMar>
              <w:top w:w="120" w:type="dxa"/>
              <w:bottom w:w="120" w:type="dxa"/>
              <w:left w:w="140" w:type="dxa"/>
              <w:right w:w="140" w:type="dxa"/>
            </w:tcMar>
            <w:shd w:fill="F2F5F8"/>
          </w:tcPr>
          <w:p>
            <w:pPr>
              <w:spacing w:before="60" w:after="60"/>
            </w:pPr>
            <w:r>
              <w:rPr>
                <w:sz w:val="19"/>
              </w:rPr>
              <w:t>50.99%</w:t>
            </w:r>
          </w:p>
        </w:tc>
        <w:tc>
          <w:tcPr>
            <w:tcW w:type="dxa" w:w="1170"/>
            <w:tcMar>
              <w:top w:w="120" w:type="dxa"/>
              <w:bottom w:w="120" w:type="dxa"/>
              <w:left w:w="140" w:type="dxa"/>
              <w:right w:w="140" w:type="dxa"/>
            </w:tcMar>
            <w:shd w:fill="F2F5F8"/>
          </w:tcPr>
          <w:p>
            <w:pPr>
              <w:spacing w:before="60" w:after="60"/>
            </w:pPr>
            <w:r>
              <w:rPr>
                <w:sz w:val="19"/>
              </w:rPr>
              <w:t>0.0843</w:t>
            </w:r>
          </w:p>
        </w:tc>
        <w:tc>
          <w:tcPr>
            <w:tcW w:type="dxa" w:w="1170"/>
            <w:tcMar>
              <w:top w:w="120" w:type="dxa"/>
              <w:bottom w:w="120" w:type="dxa"/>
              <w:left w:w="140" w:type="dxa"/>
              <w:right w:w="140" w:type="dxa"/>
            </w:tcMar>
            <w:shd w:fill="F2F5F8"/>
          </w:tcPr>
          <w:p>
            <w:pPr>
              <w:spacing w:before="60" w:after="60"/>
            </w:pPr>
            <w:r>
              <w:rPr>
                <w:sz w:val="19"/>
              </w:rPr>
              <w:t>0.47s</w:t>
            </w:r>
          </w:p>
        </w:tc>
      </w:tr>
      <w:tr>
        <w:tc>
          <w:tcPr>
            <w:tcW w:type="dxa" w:w="1170"/>
            <w:tcMar>
              <w:top w:w="120" w:type="dxa"/>
              <w:bottom w:w="120" w:type="dxa"/>
              <w:left w:w="140" w:type="dxa"/>
              <w:right w:w="140" w:type="dxa"/>
            </w:tcMar>
            <w:shd w:fill="FFFFFF"/>
          </w:tcPr>
          <w:p>
            <w:pPr>
              <w:spacing w:before="60" w:after="60"/>
            </w:pPr>
            <w:r>
              <w:rPr>
                <w:sz w:val="19"/>
              </w:rPr>
              <w:t>Member 1</w:t>
            </w:r>
          </w:p>
        </w:tc>
        <w:tc>
          <w:tcPr>
            <w:tcW w:type="dxa" w:w="1170"/>
            <w:tcMar>
              <w:top w:w="120" w:type="dxa"/>
              <w:bottom w:w="120" w:type="dxa"/>
              <w:left w:w="140" w:type="dxa"/>
              <w:right w:w="140" w:type="dxa"/>
            </w:tcMar>
            <w:shd w:fill="FFFFFF"/>
          </w:tcPr>
          <w:p>
            <w:pPr>
              <w:spacing w:before="60" w:after="60"/>
            </w:pPr>
            <w:r>
              <w:rPr>
                <w:sz w:val="19"/>
              </w:rPr>
              <w:t>Multinomial Logistic Regression (nnet)</w:t>
            </w:r>
          </w:p>
        </w:tc>
        <w:tc>
          <w:tcPr>
            <w:tcW w:type="dxa" w:w="1170"/>
            <w:tcMar>
              <w:top w:w="120" w:type="dxa"/>
              <w:bottom w:w="120" w:type="dxa"/>
              <w:left w:w="140" w:type="dxa"/>
              <w:right w:w="140" w:type="dxa"/>
            </w:tcMar>
            <w:shd w:fill="FFFFFF"/>
          </w:tcPr>
          <w:p>
            <w:pPr>
              <w:spacing w:before="60" w:after="60"/>
            </w:pPr>
            <w:r>
              <w:rPr>
                <w:sz w:val="19"/>
              </w:rPr>
              <w:t>54.18%</w:t>
            </w:r>
          </w:p>
        </w:tc>
        <w:tc>
          <w:tcPr>
            <w:tcW w:type="dxa" w:w="1170"/>
            <w:tcMar>
              <w:top w:w="120" w:type="dxa"/>
              <w:bottom w:w="120" w:type="dxa"/>
              <w:left w:w="140" w:type="dxa"/>
              <w:right w:w="140" w:type="dxa"/>
            </w:tcMar>
            <w:shd w:fill="FFFFFF"/>
          </w:tcPr>
          <w:p>
            <w:pPr>
              <w:spacing w:before="60" w:after="60"/>
            </w:pPr>
            <w:r>
              <w:rPr>
                <w:sz w:val="19"/>
              </w:rPr>
              <w:t>51.16%</w:t>
            </w:r>
          </w:p>
        </w:tc>
        <w:tc>
          <w:tcPr>
            <w:tcW w:type="dxa" w:w="1170"/>
            <w:tcMar>
              <w:top w:w="120" w:type="dxa"/>
              <w:bottom w:w="120" w:type="dxa"/>
              <w:left w:w="140" w:type="dxa"/>
              <w:right w:w="140" w:type="dxa"/>
            </w:tcMar>
            <w:shd w:fill="FFFFFF"/>
          </w:tcPr>
          <w:p>
            <w:pPr>
              <w:spacing w:before="60" w:after="60"/>
            </w:pPr>
            <w:r>
              <w:rPr>
                <w:sz w:val="19"/>
              </w:rPr>
              <w:t>27.22%</w:t>
            </w:r>
          </w:p>
        </w:tc>
        <w:tc>
          <w:tcPr>
            <w:tcW w:type="dxa" w:w="1170"/>
            <w:tcMar>
              <w:top w:w="120" w:type="dxa"/>
              <w:bottom w:w="120" w:type="dxa"/>
              <w:left w:w="140" w:type="dxa"/>
              <w:right w:w="140" w:type="dxa"/>
            </w:tcMar>
            <w:shd w:fill="FFFFFF"/>
          </w:tcPr>
          <w:p>
            <w:pPr>
              <w:spacing w:before="60" w:after="60"/>
            </w:pPr>
            <w:r>
              <w:rPr>
                <w:sz w:val="19"/>
              </w:rPr>
              <w:t>50.48%</w:t>
            </w:r>
          </w:p>
        </w:tc>
        <w:tc>
          <w:tcPr>
            <w:tcW w:type="dxa" w:w="1170"/>
            <w:tcMar>
              <w:top w:w="120" w:type="dxa"/>
              <w:bottom w:w="120" w:type="dxa"/>
              <w:left w:w="140" w:type="dxa"/>
              <w:right w:w="140" w:type="dxa"/>
            </w:tcMar>
            <w:shd w:fill="FFFFFF"/>
          </w:tcPr>
          <w:p>
            <w:pPr>
              <w:spacing w:before="60" w:after="60"/>
            </w:pPr>
            <w:r>
              <w:rPr>
                <w:sz w:val="19"/>
              </w:rPr>
              <w:t>0.0792</w:t>
            </w:r>
          </w:p>
        </w:tc>
        <w:tc>
          <w:tcPr>
            <w:tcW w:type="dxa" w:w="1170"/>
            <w:tcMar>
              <w:top w:w="120" w:type="dxa"/>
              <w:bottom w:w="120" w:type="dxa"/>
              <w:left w:w="140" w:type="dxa"/>
              <w:right w:w="140" w:type="dxa"/>
            </w:tcMar>
            <w:shd w:fill="FFFFFF"/>
          </w:tcPr>
          <w:p>
            <w:pPr>
              <w:spacing w:before="60" w:after="60"/>
            </w:pPr>
            <w:r>
              <w:rPr>
                <w:sz w:val="19"/>
              </w:rPr>
              <w:t>3.28s</w:t>
            </w:r>
          </w:p>
        </w:tc>
      </w:tr>
      <w:tr>
        <w:tc>
          <w:tcPr>
            <w:tcW w:type="dxa" w:w="1170"/>
            <w:tcMar>
              <w:top w:w="120" w:type="dxa"/>
              <w:bottom w:w="120" w:type="dxa"/>
              <w:left w:w="140" w:type="dxa"/>
              <w:right w:w="140" w:type="dxa"/>
            </w:tcMar>
            <w:shd w:fill="F2F5F8"/>
          </w:tcPr>
          <w:p>
            <w:pPr>
              <w:spacing w:before="60" w:after="60"/>
            </w:pPr>
            <w:r>
              <w:rPr>
                <w:sz w:val="19"/>
              </w:rPr>
              <w:t>Member 3</w:t>
            </w:r>
          </w:p>
        </w:tc>
        <w:tc>
          <w:tcPr>
            <w:tcW w:type="dxa" w:w="1170"/>
            <w:tcMar>
              <w:top w:w="120" w:type="dxa"/>
              <w:bottom w:w="120" w:type="dxa"/>
              <w:left w:w="140" w:type="dxa"/>
              <w:right w:w="140" w:type="dxa"/>
            </w:tcMar>
            <w:shd w:fill="F2F5F8"/>
          </w:tcPr>
          <w:p>
            <w:pPr>
              <w:spacing w:before="60" w:after="60"/>
            </w:pPr>
            <w:r>
              <w:rPr>
                <w:sz w:val="19"/>
              </w:rPr>
              <w:t>Quadratic Discriminant Analysis (QDA - MASS)</w:t>
            </w:r>
          </w:p>
        </w:tc>
        <w:tc>
          <w:tcPr>
            <w:tcW w:type="dxa" w:w="1170"/>
            <w:tcMar>
              <w:top w:w="120" w:type="dxa"/>
              <w:bottom w:w="120" w:type="dxa"/>
              <w:left w:w="140" w:type="dxa"/>
              <w:right w:w="140" w:type="dxa"/>
            </w:tcMar>
            <w:shd w:fill="F2F5F8"/>
          </w:tcPr>
          <w:p>
            <w:pPr>
              <w:spacing w:before="60" w:after="60"/>
            </w:pPr>
            <w:r>
              <w:rPr>
                <w:sz w:val="19"/>
              </w:rPr>
              <w:t>53.92%</w:t>
            </w:r>
          </w:p>
        </w:tc>
        <w:tc>
          <w:tcPr>
            <w:tcW w:type="dxa" w:w="1170"/>
            <w:tcMar>
              <w:top w:w="120" w:type="dxa"/>
              <w:bottom w:w="120" w:type="dxa"/>
              <w:left w:w="140" w:type="dxa"/>
              <w:right w:w="140" w:type="dxa"/>
            </w:tcMar>
            <w:shd w:fill="F2F5F8"/>
          </w:tcPr>
          <w:p>
            <w:pPr>
              <w:spacing w:before="60" w:after="60"/>
            </w:pPr>
            <w:r>
              <w:rPr>
                <w:sz w:val="19"/>
              </w:rPr>
              <w:t>53.92%</w:t>
            </w:r>
          </w:p>
        </w:tc>
        <w:tc>
          <w:tcPr>
            <w:tcW w:type="dxa" w:w="1170"/>
            <w:tcMar>
              <w:top w:w="120" w:type="dxa"/>
              <w:bottom w:w="120" w:type="dxa"/>
              <w:left w:w="140" w:type="dxa"/>
              <w:right w:w="140" w:type="dxa"/>
            </w:tcMar>
            <w:shd w:fill="F2F5F8"/>
          </w:tcPr>
          <w:p>
            <w:pPr>
              <w:spacing w:before="60" w:after="60"/>
            </w:pPr>
            <w:r>
              <w:rPr>
                <w:sz w:val="19"/>
              </w:rPr>
              <w:t>25.00%</w:t>
            </w:r>
          </w:p>
        </w:tc>
        <w:tc>
          <w:tcPr>
            <w:tcW w:type="dxa" w:w="1170"/>
            <w:tcMar>
              <w:top w:w="120" w:type="dxa"/>
              <w:bottom w:w="120" w:type="dxa"/>
              <w:left w:w="140" w:type="dxa"/>
              <w:right w:w="140" w:type="dxa"/>
            </w:tcMar>
            <w:shd w:fill="F2F5F8"/>
          </w:tcPr>
          <w:p>
            <w:pPr>
              <w:spacing w:before="60" w:after="60"/>
            </w:pPr>
            <w:r>
              <w:rPr>
                <w:sz w:val="19"/>
              </w:rPr>
              <w:t>70.06%</w:t>
            </w:r>
          </w:p>
        </w:tc>
        <w:tc>
          <w:tcPr>
            <w:tcW w:type="dxa" w:w="1170"/>
            <w:tcMar>
              <w:top w:w="120" w:type="dxa"/>
              <w:bottom w:w="120" w:type="dxa"/>
              <w:left w:w="140" w:type="dxa"/>
              <w:right w:w="140" w:type="dxa"/>
            </w:tcMar>
            <w:shd w:fill="F2F5F8"/>
          </w:tcPr>
          <w:p>
            <w:pPr>
              <w:spacing w:before="60" w:after="60"/>
            </w:pPr>
            <w:r>
              <w:rPr>
                <w:sz w:val="19"/>
              </w:rPr>
              <w:t>0.0000</w:t>
            </w:r>
          </w:p>
        </w:tc>
        <w:tc>
          <w:tcPr>
            <w:tcW w:type="dxa" w:w="1170"/>
            <w:tcMar>
              <w:top w:w="120" w:type="dxa"/>
              <w:bottom w:w="120" w:type="dxa"/>
              <w:left w:w="140" w:type="dxa"/>
              <w:right w:w="140" w:type="dxa"/>
            </w:tcMar>
            <w:shd w:fill="F2F5F8"/>
          </w:tcPr>
          <w:p>
            <w:pPr>
              <w:spacing w:before="60" w:after="60"/>
            </w:pPr>
            <w:r>
              <w:rPr>
                <w:sz w:val="19"/>
              </w:rPr>
              <w:t>0.05s</w:t>
            </w:r>
          </w:p>
        </w:tc>
      </w:tr>
      <w:tr>
        <w:tc>
          <w:tcPr>
            <w:tcW w:type="dxa" w:w="1170"/>
            <w:tcMar>
              <w:top w:w="120" w:type="dxa"/>
              <w:bottom w:w="120" w:type="dxa"/>
              <w:left w:w="140" w:type="dxa"/>
              <w:right w:w="140" w:type="dxa"/>
            </w:tcMar>
            <w:shd w:fill="FFFFFF"/>
          </w:tcPr>
          <w:p>
            <w:pPr>
              <w:spacing w:before="60" w:after="60"/>
            </w:pPr>
            <w:r>
              <w:rPr>
                <w:sz w:val="19"/>
              </w:rPr>
              <w:t>Member 4</w:t>
            </w:r>
          </w:p>
        </w:tc>
        <w:tc>
          <w:tcPr>
            <w:tcW w:type="dxa" w:w="1170"/>
            <w:tcMar>
              <w:top w:w="120" w:type="dxa"/>
              <w:bottom w:w="120" w:type="dxa"/>
              <w:left w:w="140" w:type="dxa"/>
              <w:right w:w="140" w:type="dxa"/>
            </w:tcMar>
            <w:shd w:fill="FFFFFF"/>
          </w:tcPr>
          <w:p>
            <w:pPr>
              <w:spacing w:before="60" w:after="60"/>
            </w:pPr>
            <w:r>
              <w:rPr>
                <w:sz w:val="19"/>
              </w:rPr>
              <w:t>Naïve Bayes Classifier (e1071)</w:t>
            </w:r>
          </w:p>
        </w:tc>
        <w:tc>
          <w:tcPr>
            <w:tcW w:type="dxa" w:w="1170"/>
            <w:tcMar>
              <w:top w:w="120" w:type="dxa"/>
              <w:bottom w:w="120" w:type="dxa"/>
              <w:left w:w="140" w:type="dxa"/>
              <w:right w:w="140" w:type="dxa"/>
            </w:tcMar>
            <w:shd w:fill="FFFFFF"/>
          </w:tcPr>
          <w:p>
            <w:pPr>
              <w:spacing w:before="60" w:after="60"/>
            </w:pPr>
            <w:r>
              <w:rPr>
                <w:sz w:val="19"/>
              </w:rPr>
              <w:t>53.72%</w:t>
            </w:r>
          </w:p>
        </w:tc>
        <w:tc>
          <w:tcPr>
            <w:tcW w:type="dxa" w:w="1170"/>
            <w:tcMar>
              <w:top w:w="120" w:type="dxa"/>
              <w:bottom w:w="120" w:type="dxa"/>
              <w:left w:w="140" w:type="dxa"/>
              <w:right w:w="140" w:type="dxa"/>
            </w:tcMar>
            <w:shd w:fill="FFFFFF"/>
          </w:tcPr>
          <w:p>
            <w:pPr>
              <w:spacing w:before="60" w:after="60"/>
            </w:pPr>
            <w:r>
              <w:rPr>
                <w:sz w:val="19"/>
              </w:rPr>
              <w:t>50.58%</w:t>
            </w:r>
          </w:p>
        </w:tc>
        <w:tc>
          <w:tcPr>
            <w:tcW w:type="dxa" w:w="1170"/>
            <w:tcMar>
              <w:top w:w="120" w:type="dxa"/>
              <w:bottom w:w="120" w:type="dxa"/>
              <w:left w:w="140" w:type="dxa"/>
              <w:right w:w="140" w:type="dxa"/>
            </w:tcMar>
            <w:shd w:fill="FFFFFF"/>
          </w:tcPr>
          <w:p>
            <w:pPr>
              <w:spacing w:before="60" w:after="60"/>
            </w:pPr>
            <w:r>
              <w:rPr>
                <w:sz w:val="19"/>
              </w:rPr>
              <w:t>26.98%</w:t>
            </w:r>
          </w:p>
        </w:tc>
        <w:tc>
          <w:tcPr>
            <w:tcW w:type="dxa" w:w="1170"/>
            <w:tcMar>
              <w:top w:w="120" w:type="dxa"/>
              <w:bottom w:w="120" w:type="dxa"/>
              <w:left w:w="140" w:type="dxa"/>
              <w:right w:w="140" w:type="dxa"/>
            </w:tcMar>
            <w:shd w:fill="FFFFFF"/>
          </w:tcPr>
          <w:p>
            <w:pPr>
              <w:spacing w:before="60" w:after="60"/>
            </w:pPr>
            <w:r>
              <w:rPr>
                <w:sz w:val="19"/>
              </w:rPr>
              <w:t>50.00%</w:t>
            </w:r>
          </w:p>
        </w:tc>
        <w:tc>
          <w:tcPr>
            <w:tcW w:type="dxa" w:w="1170"/>
            <w:tcMar>
              <w:top w:w="120" w:type="dxa"/>
              <w:bottom w:w="120" w:type="dxa"/>
              <w:left w:w="140" w:type="dxa"/>
              <w:right w:w="140" w:type="dxa"/>
            </w:tcMar>
            <w:shd w:fill="FFFFFF"/>
          </w:tcPr>
          <w:p>
            <w:pPr>
              <w:spacing w:before="60" w:after="60"/>
            </w:pPr>
            <w:r>
              <w:rPr>
                <w:sz w:val="19"/>
              </w:rPr>
              <w:t>0.0703</w:t>
            </w:r>
          </w:p>
        </w:tc>
        <w:tc>
          <w:tcPr>
            <w:tcW w:type="dxa" w:w="1170"/>
            <w:tcMar>
              <w:top w:w="120" w:type="dxa"/>
              <w:bottom w:w="120" w:type="dxa"/>
              <w:left w:w="140" w:type="dxa"/>
              <w:right w:w="140" w:type="dxa"/>
            </w:tcMar>
            <w:shd w:fill="FFFFFF"/>
          </w:tcPr>
          <w:p>
            <w:pPr>
              <w:spacing w:before="60" w:after="60"/>
            </w:pPr>
            <w:r>
              <w:rPr>
                <w:sz w:val="19"/>
              </w:rPr>
              <w:t>0.95s</w:t>
            </w:r>
          </w:p>
        </w:tc>
      </w:tr>
    </w:tbl>
    <w:p/>
    <w:p>
      <w:pPr>
        <w:spacing w:before="200" w:after="80"/>
      </w:pPr>
      <w:r>
        <w:rPr>
          <w:rFonts w:ascii="Calibri" w:hAnsi="Calibri"/>
          <w:b/>
          <w:color w:val="323C50"/>
          <w:sz w:val="26"/>
        </w:rPr>
        <w:t>Champion Model Selection &amp; Operational Justification</w:t>
      </w:r>
    </w:p>
    <w:p>
      <w:pPr>
        <w:spacing w:before="40" w:after="80"/>
      </w:pPr>
      <w:r>
        <w:rPr>
          <w:b/>
        </w:rPr>
        <w:t>Linear Discriminant Analysis (LDA)</w:t>
      </w:r>
      <w:r>
        <w:t xml:space="preserve"> developed by </w:t>
      </w:r>
      <w:r>
        <w:rPr>
          <w:b/>
        </w:rPr>
        <w:t>Member 2</w:t>
      </w:r>
      <w:r>
        <w:t xml:space="preserve"> was selected as the </w:t>
      </w:r>
      <w:r>
        <w:rPr>
          <w:b/>
        </w:rPr>
        <w:t>Champion Model</w:t>
      </w:r>
      <w:r>
        <w:t>:</w:t>
      </w:r>
    </w:p>
    <w:p>
      <w:pPr>
        <w:pStyle w:val="ListNumber"/>
        <w:spacing w:before="20" w:after="40"/>
      </w:pPr>
      <w:r>
        <w:rPr>
          <w:b/>
        </w:rPr>
        <w:t>Predictive Superiority:</w:t>
      </w:r>
      <w:r>
        <w:t xml:space="preserve"> Highest overall test accuracy (54.26%) and well-balanced Macro-F1 across distinct product categories.</w:t>
      </w:r>
    </w:p>
    <w:p>
      <w:pPr>
        <w:pStyle w:val="ListNumber"/>
        <w:spacing w:before="20" w:after="40"/>
      </w:pPr>
      <w:r>
        <w:rPr>
          <w:b/>
        </w:rPr>
        <w:t>Computational Velocity:</w:t>
      </w:r>
      <w:r>
        <w:t xml:space="preserve"> Sub-second training time (0.47s) and microsecond inference latency on cloud POS instances.</w:t>
      </w:r>
    </w:p>
    <w:p>
      <w:pPr>
        <w:pStyle w:val="ListNumber"/>
        <w:spacing w:before="20" w:after="40"/>
      </w:pPr>
      <w:r>
        <w:rPr>
          <w:b/>
        </w:rPr>
        <w:t>Statistical Grounding &amp; Transparency:</w:t>
      </w:r>
      <w:r>
        <w:t xml:space="preserve"> LDA computes discriminant functions based on pooled covariance matrices and class priors, allowing the calculation of well-calibrated posterior probabilities. This enables dynamic upsell recommendations at checkout while adhering strictly to classical parametric statistical theory.</w:t>
      </w:r>
    </w:p>
    <w:p>
      <w:pPr>
        <w:spacing w:before="280" w:after="100"/>
      </w:pPr>
      <w:r>
        <w:rPr>
          <w:rFonts w:ascii="Calibri" w:hAnsi="Calibri"/>
          <w:b/>
          <w:color w:val="1F4E78"/>
          <w:sz w:val="32"/>
        </w:rPr>
        <w:t>Task 6: Critical Evaluation of Experimental Design</w:t>
      </w:r>
    </w:p>
    <w:p>
      <w:pPr>
        <w:spacing w:before="40" w:after="80"/>
      </w:pPr>
      <w:r>
        <w:t>To evaluate how future marketing interventions should be tested scientifically, we critically evaluated Completely Randomized Design (CRD) versus Randomized Complete Block Design (RCBD):</w:t>
      </w:r>
    </w:p>
    <w:p>
      <w:pPr>
        <w:spacing w:before="200" w:after="80"/>
      </w:pPr>
      <w:r>
        <w:rPr>
          <w:rFonts w:ascii="Calibri" w:hAnsi="Calibri"/>
          <w:b/>
          <w:color w:val="323C50"/>
          <w:sz w:val="26"/>
        </w:rPr>
        <w:t>6.1 Evaluation of Completely Randomized Design (CRD)</w:t>
      </w:r>
    </w:p>
    <w:p>
      <w:pPr>
        <w:pStyle w:val="ListBullet"/>
        <w:spacing w:before="20" w:after="40"/>
      </w:pPr>
      <w:r>
        <w:rPr>
          <w:b/>
        </w:rPr>
        <w:t>Mechanism:</w:t>
      </w:r>
      <w:r>
        <w:t xml:space="preserve"> Promotional discount levels (e.g., 0% Control, 10% Member, 20% Flash Deal) are assigned randomly across transactions or store-days without grouping.</w:t>
      </w:r>
    </w:p>
    <w:p>
      <w:pPr>
        <w:pStyle w:val="ListBullet"/>
        <w:spacing w:before="20" w:after="40"/>
      </w:pPr>
      <w:r>
        <w:rPr>
          <w:b/>
        </w:rPr>
        <w:t>Limitation:</w:t>
      </w:r>
      <w: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00" w:after="80"/>
      </w:pPr>
      <w:r>
        <w:rPr>
          <w:rFonts w:ascii="Calibri" w:hAnsi="Calibri"/>
          <w:b/>
          <w:color w:val="323C50"/>
          <w:sz w:val="26"/>
        </w:rPr>
        <w:t>6.2 Evaluation of Randomized Complete Block Design (RCBD) — Recommended</w:t>
      </w:r>
    </w:p>
    <w:p>
      <w:pPr>
        <w:pStyle w:val="ListBullet"/>
        <w:spacing w:before="20" w:after="40"/>
      </w:pPr>
      <w:r>
        <w:rPr>
          <w:b/>
        </w:rPr>
        <w:t>Mechanism:</w:t>
      </w:r>
      <w:r>
        <w:t xml:space="preserve"> Stores are stratified into homogeneous "blocks" based on baseline volume and demographics. Each block receives all discount treatments across balanced trial periods.</w:t>
      </w:r>
    </w:p>
    <w:p>
      <w:pPr>
        <w:spacing w:before="40" w:after="80"/>
      </w:pPr>
      <w:r>
        <w:t>$$\text{Model: } Y_{ij} = \mu + \tau_i (\text{Discount}) + \beta_j (\text{Store Block}) + \varepsilon_{ij}$$</w:t>
      </w:r>
    </w:p>
    <w:p>
      <w:pPr>
        <w:pStyle w:val="ListBullet"/>
        <w:spacing w:before="20" w:after="40"/>
      </w:pPr>
      <w:r>
        <w:rPr>
          <w:b/>
        </w:rPr>
        <w:t>Advantages:</w:t>
      </w:r>
      <w:r>
        <w:t xml:space="preserve"> Removes between-store variance from the error sum of squares, lowering MSE and increasing statistical test power by 30–40%.</w:t>
      </w:r>
    </w:p>
    <w:p>
      <w:pPr>
        <w:pStyle w:val="ListBullet"/>
        <w:spacing w:before="20" w:after="40"/>
      </w:pPr>
      <w:r>
        <w:rPr>
          <w:b/>
        </w:rPr>
        <w:t>Implementation Feasibility:</w:t>
      </w:r>
      <w:r>
        <w:t xml:space="preserve"> High. BladeGen Tech's centralized cloud POS system can deploy scheduled price overrides by outlet block with zero physical hardware changes.</w:t>
      </w:r>
    </w:p>
    <w:p>
      <w:pPr>
        <w:spacing w:before="280" w:after="100"/>
      </w:pPr>
      <w:r>
        <w:rPr>
          <w:rFonts w:ascii="Calibri" w:hAnsi="Calibri"/>
          <w:b/>
          <w:color w:val="1F4E78"/>
          <w:sz w:val="32"/>
        </w:rPr>
        <w:t>Task 7: Critical Evaluation of Principal Component Analysis (PCA)</w:t>
      </w:r>
    </w:p>
    <w:p>
      <w:pPr>
        <w:spacing w:before="40" w:after="80"/>
      </w:pPr>
      <w:r>
        <w:t xml:space="preserve">PCA was evaluated in </w:t>
      </w:r>
      <w:r>
        <w:rPr>
          <w:rFonts w:ascii="Consolas" w:hAnsi="Consolas"/>
          <w:sz w:val="20"/>
        </w:rPr>
        <w:t>07_pca.R</w:t>
      </w:r>
      <w:r>
        <w:t xml:space="preserve"> across all five continuous financial metrics (</w:t>
      </w:r>
      <w:r>
        <w:rPr>
          <w:rFonts w:ascii="Consolas" w:hAnsi="Consolas"/>
          <w:sz w:val="20"/>
        </w:rPr>
        <w:t>Qty1</w:t>
      </w:r>
      <w:r>
        <w:t xml:space="preserve">, </w:t>
      </w:r>
      <w:r>
        <w:rPr>
          <w:rFonts w:ascii="Consolas" w:hAnsi="Consolas"/>
          <w:sz w:val="20"/>
        </w:rPr>
        <w:t>AdjustedRate</w:t>
      </w:r>
      <w:r>
        <w:t xml:space="preserve">, </w:t>
      </w:r>
      <w:r>
        <w:rPr>
          <w:rFonts w:ascii="Consolas" w:hAnsi="Consolas"/>
          <w:sz w:val="20"/>
        </w:rPr>
        <w:t>Discount</w:t>
      </w:r>
      <w:r>
        <w:t xml:space="preserve">, </w:t>
      </w:r>
      <w:r>
        <w:rPr>
          <w:rFonts w:ascii="Consolas" w:hAnsi="Consolas"/>
          <w:sz w:val="20"/>
        </w:rPr>
        <w:t>ServiceCharge</w:t>
      </w:r>
      <w:r>
        <w:t xml:space="preserve">, </w:t>
      </w:r>
      <w:r>
        <w:rPr>
          <w:rFonts w:ascii="Consolas" w:hAnsi="Consolas"/>
          <w:sz w:val="20"/>
        </w:rPr>
        <w:t>Revenue</w:t>
      </w:r>
      <w:r>
        <w:t>):</w:t>
      </w:r>
    </w:p>
    <w:p>
      <w:pPr>
        <w:spacing w:before="200" w:after="80"/>
      </w:pPr>
      <w:r>
        <w:rPr>
          <w:rFonts w:ascii="Calibri" w:hAnsi="Calibri"/>
          <w:b/>
          <w:color w:val="323C50"/>
          <w:sz w:val="26"/>
        </w:rPr>
        <w:t>7.1 Mathematical Variance Breakdown</w:t>
      </w:r>
    </w:p>
    <w:p>
      <w:pPr>
        <w:pStyle w:val="ListBullet"/>
        <w:spacing w:before="20" w:after="40"/>
      </w:pPr>
      <w:r>
        <w:rPr>
          <w:b/>
        </w:rPr>
        <w:t>PC1 (Eigenvalue = 2.2649, 45.30% Variance):</w:t>
      </w:r>
      <w:r>
        <w:t xml:space="preserve"> Dominated by positive loadings on </w:t>
      </w:r>
      <w:r>
        <w:rPr>
          <w:rFonts w:ascii="Consolas" w:hAnsi="Consolas"/>
          <w:sz w:val="20"/>
        </w:rPr>
        <w:t>Qty1</w:t>
      </w:r>
      <w:r>
        <w:t xml:space="preserve"> (+0.6407), </w:t>
      </w:r>
      <w:r>
        <w:rPr>
          <w:rFonts w:ascii="Consolas" w:hAnsi="Consolas"/>
          <w:sz w:val="20"/>
        </w:rPr>
        <w:t>Revenue</w:t>
      </w:r>
      <w:r>
        <w:t xml:space="preserve"> (+0.6388), and </w:t>
      </w:r>
      <w:r>
        <w:rPr>
          <w:rFonts w:ascii="Consolas" w:hAnsi="Consolas"/>
          <w:sz w:val="20"/>
        </w:rPr>
        <w:t>ServiceCharge</w:t>
      </w:r>
      <w:r>
        <w:t xml:space="preserve"> (+0.4106). PC1 represents the </w:t>
      </w:r>
      <w:r>
        <w:rPr>
          <w:b/>
        </w:rPr>
        <w:t>Basket Scale &amp; Total Monetary Magnitude</w:t>
      </w:r>
      <w:r>
        <w:t xml:space="preserve"> of an order.</w:t>
      </w:r>
    </w:p>
    <w:p>
      <w:pPr>
        <w:pStyle w:val="ListBullet"/>
        <w:spacing w:before="20" w:after="40"/>
      </w:pPr>
      <w:r>
        <w:rPr>
          <w:b/>
        </w:rPr>
        <w:t>PC2 (Eigenvalue = 1.0110, 20.22% Variance):</w:t>
      </w:r>
      <w:r>
        <w:t xml:space="preserve"> Contrasts promotional </w:t>
      </w:r>
      <w:r>
        <w:rPr>
          <w:rFonts w:ascii="Consolas" w:hAnsi="Consolas"/>
          <w:sz w:val="20"/>
        </w:rPr>
        <w:t>Discount</w:t>
      </w:r>
      <w:r>
        <w:t xml:space="preserve"> (+0.7568) against unit </w:t>
      </w:r>
      <w:r>
        <w:rPr>
          <w:rFonts w:ascii="Consolas" w:hAnsi="Consolas"/>
          <w:sz w:val="20"/>
        </w:rPr>
        <w:t>AdjustedRate</w:t>
      </w:r>
      <w:r>
        <w:t xml:space="preserve"> (-0.6201). PC2 represents </w:t>
      </w:r>
      <w:r>
        <w:rPr>
          <w:b/>
        </w:rPr>
        <w:t>Promotional Sensitivity vs. Base Pricing</w:t>
      </w:r>
      <w:r>
        <w:t>.</w:t>
      </w:r>
    </w:p>
    <w:p>
      <w:pPr>
        <w:pStyle w:val="ListBullet"/>
        <w:spacing w:before="20" w:after="40"/>
      </w:pPr>
      <w:r>
        <w:rPr>
          <w:b/>
        </w:rPr>
        <w:t>Cumulative Variance:</w:t>
      </w:r>
      <w:r>
        <w:t xml:space="preserve"> PC1 and PC2 explain </w:t>
      </w:r>
      <w:r>
        <w:rPr>
          <w:b/>
        </w:rPr>
        <w:t>65.52%</w:t>
      </w:r>
      <w:r>
        <w:t xml:space="preserve"> of all numeric information. In accordance with the Kaiser criterion (Eigenvalues &gt; 1.0), two principal components are retained.</w:t>
      </w:r>
    </w:p>
    <w:p>
      <w:pPr>
        <w:spacing w:before="200" w:after="80"/>
      </w:pPr>
      <w:r>
        <w:rPr>
          <w:rFonts w:ascii="Calibri" w:hAnsi="Calibri"/>
          <w:b/>
          <w:color w:val="323C50"/>
          <w:sz w:val="26"/>
        </w:rPr>
        <w:t>7.2 Critical Evaluation &amp; Strategic Guidance</w:t>
      </w:r>
    </w:p>
    <w:p>
      <w:pPr>
        <w:pStyle w:val="ListBullet"/>
        <w:spacing w:before="20" w:after="40"/>
      </w:pPr>
      <w:r>
        <w:rPr>
          <w:b/>
        </w:rPr>
        <w:t>Necessity:</w:t>
      </w:r>
      <w:r>
        <w:t xml:space="preserve"> Dimensionality reduction is </w:t>
      </w:r>
      <w:r>
        <w:rPr>
          <w:b/>
        </w:rPr>
        <w:t>not mandatory</w:t>
      </w:r>
      <w:r>
        <w:t xml:space="preserve"> for computation because the feature dimension ($p = 5$) is minuscule relative to sample size ($n = 29,465$).</w:t>
      </w:r>
    </w:p>
    <w:p>
      <w:pPr>
        <w:pStyle w:val="ListBullet"/>
        <w:spacing w:before="20" w:after="40"/>
      </w:pPr>
      <w:r>
        <w:rPr>
          <w:b/>
        </w:rPr>
        <w:t>Impact on Modelling:</w:t>
      </w:r>
      <w:r>
        <w:t xml:space="preserve"> Transforming features into principal components eliminates multicollinearity in regression models, but destroys the direct interpretability of coefficients.</w:t>
      </w:r>
    </w:p>
    <w:p>
      <w:pPr>
        <w:pStyle w:val="ListBullet"/>
        <w:spacing w:before="20" w:after="40"/>
      </w:pPr>
      <w:r>
        <w:rPr>
          <w:b/>
        </w:rPr>
        <w:t>Recommendation:</w:t>
      </w:r>
      <w:r>
        <w:t xml:space="preserve"> Use PC1 as a composite "Customer Value Score" for executive tiering, but retain original raw variables for POS cashier decision rules.</w:t>
      </w:r>
    </w:p>
    <w:p>
      <w:pPr>
        <w:spacing w:before="280" w:after="100"/>
      </w:pPr>
      <w:r>
        <w:rPr>
          <w:rFonts w:ascii="Calibri" w:hAnsi="Calibri"/>
          <w:b/>
          <w:color w:val="1F4E78"/>
          <w:sz w:val="32"/>
        </w:rPr>
        <w:t>Task 8: Critical Evaluation of Bayesian Statistical Methods</w:t>
      </w:r>
    </w:p>
    <w:p>
      <w:pPr>
        <w:spacing w:before="40" w:after="80"/>
      </w:pPr>
      <w:r>
        <w:t xml:space="preserve">Bayesian methods were empirically assessed in </w:t>
      </w:r>
      <w:r>
        <w:rPr>
          <w:rFonts w:ascii="Consolas" w:hAnsi="Consolas"/>
          <w:sz w:val="20"/>
        </w:rPr>
        <w:t>08_bayesian.R</w:t>
      </w:r>
      <w:r>
        <w:t>:</w:t>
      </w:r>
    </w:p>
    <w:p>
      <w:pPr>
        <w:spacing w:before="200" w:after="80"/>
      </w:pPr>
      <w:r>
        <w:rPr>
          <w:rFonts w:ascii="Calibri" w:hAnsi="Calibri"/>
          <w:b/>
          <w:color w:val="323C50"/>
          <w:sz w:val="26"/>
        </w:rPr>
        <w:t>8.1 Empirical Findings</w:t>
      </w:r>
    </w:p>
    <w:p>
      <w:pPr>
        <w:pStyle w:val="ListBullet"/>
        <w:spacing w:before="20" w:after="40"/>
      </w:pPr>
      <w:r>
        <w:rPr>
          <w:b/>
        </w:rPr>
        <w:t>Prior Probabilities:</w:t>
      </w:r>
      <w:r>
        <w:t xml:space="preserve"> Reflect historical baseline category prevalence: $P(\text{Beverage}) = 53.91\%, \; P(\text{Food}) = 37.26\%, \; P(\text{Deals}) = 4.60\%, \; P(\text{Merchandizing}) = 4.23\%$.</w:t>
      </w:r>
    </w:p>
    <w:p>
      <w:pPr>
        <w:pStyle w:val="ListBullet"/>
        <w:spacing w:before="20" w:after="40"/>
      </w:pPr>
      <w:r>
        <w:rPr>
          <w:b/>
        </w:rPr>
        <w:t>Model Performance:</w:t>
      </w:r>
      <w:r>
        <w:t xml:space="preserve"> Naïve Bayes achieved 53.72% test accuracy. Laplace smoothing ($\alpha = 1$) successfully prevented zero-frequency probability collapse for rare category-outlet combinations.</w:t>
      </w:r>
    </w:p>
    <w:p>
      <w:pPr>
        <w:spacing w:before="200" w:after="80"/>
      </w:pPr>
      <w:r>
        <w:rPr>
          <w:rFonts w:ascii="Calibri" w:hAnsi="Calibri"/>
          <w:b/>
          <w:color w:val="323C50"/>
          <w:sz w:val="26"/>
        </w:rPr>
        <w:t>8.2 Bayesian Decision Theory &amp; Asymmetric Loss Optimization</w:t>
      </w:r>
    </w:p>
    <w:p>
      <w:pPr>
        <w:spacing w:before="40" w:after="80"/>
      </w:pPr>
      <w: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pPr>
      <w:r>
        <w:t>Bayesian decision making incorporates an asymmetric loss matrix $L(y, \hat{y})$, adjusting classification thresholds to minimize expected monetary cost rather than raw error rates, substantially improving operational profitability.</w:t>
      </w:r>
    </w:p>
    <w:p>
      <w:pPr>
        <w:spacing w:before="280" w:after="100"/>
      </w:pPr>
      <w:r>
        <w:rPr>
          <w:rFonts w:ascii="Calibri" w:hAnsi="Calibri"/>
          <w:b/>
          <w:color w:val="1F4E78"/>
          <w:sz w:val="32"/>
        </w:rPr>
        <w:t>Task 9: Time Series Analysis &amp; Seasonal ARIMA Forecasting</w:t>
      </w:r>
    </w:p>
    <w:p>
      <w:pPr>
        <w:spacing w:before="40" w:after="80"/>
      </w:pPr>
      <w:r>
        <w:t xml:space="preserve">Time series dynamics were modeled in </w:t>
      </w:r>
      <w:r>
        <w:rPr>
          <w:rFonts w:ascii="Consolas" w:hAnsi="Consolas"/>
          <w:sz w:val="20"/>
        </w:rPr>
        <w:t>09_timeseries.R</w:t>
      </w:r>
      <w:r>
        <w:t xml:space="preserve"> across the 90-day daily sequence:</w:t>
      </w:r>
    </w:p>
    <w:p>
      <w:pPr>
        <w:spacing w:before="200" w:after="80"/>
      </w:pPr>
      <w:r>
        <w:rPr>
          <w:rFonts w:ascii="Calibri" w:hAnsi="Calibri"/>
          <w:b/>
          <w:color w:val="323C50"/>
          <w:sz w:val="26"/>
        </w:rPr>
        <w:t>9.1 STL Decomposition &amp; Cyclical Dynamics</w:t>
      </w:r>
    </w:p>
    <w:p>
      <w:pPr>
        <w:spacing w:before="40" w:after="80"/>
      </w:pPr>
      <w:r>
        <w:t>Decomposition of daily transaction volume revealed:</w:t>
      </w:r>
    </w:p>
    <w:p>
      <w:pPr>
        <w:pStyle w:val="ListBullet"/>
        <w:spacing w:before="20" w:after="40"/>
      </w:pPr>
      <w:r>
        <w:rPr>
          <w:b/>
        </w:rPr>
        <w:t>Secular Trend:</w:t>
      </w:r>
      <w:r>
        <w:t xml:space="preserve"> A steady upward trajectory rising from ~195 orders/day in January to ~240 orders/day by late March, driven by repeat loyalty adoption.</w:t>
      </w:r>
    </w:p>
    <w:p>
      <w:pPr>
        <w:pStyle w:val="ListBullet"/>
        <w:spacing w:before="20" w:after="40"/>
      </w:pPr>
      <w:r>
        <w:rPr>
          <w:b/>
        </w:rPr>
        <w:t>Weekly Seasonality:</w:t>
      </w:r>
      <w:r>
        <w:t xml:space="preserve"> Prominent 7-day cyclical oscillations confirmed by statistically significant ACF autocorrelation spikes at lag 7 and lag 14 ($p &lt; 0.001$). Weekend volume surges by +35% over midweek baselines.</w:t>
      </w:r>
    </w:p>
    <w:p>
      <w:pPr>
        <w:spacing w:before="200" w:after="80"/>
      </w:pPr>
      <w:r>
        <w:rPr>
          <w:rFonts w:ascii="Calibri" w:hAnsi="Calibri"/>
          <w:b/>
          <w:color w:val="323C50"/>
          <w:sz w:val="26"/>
        </w:rPr>
        <w:t>9.2 ARIMA Modeling &amp; Diagnostics</w:t>
      </w:r>
    </w:p>
    <w:p>
      <w:pPr>
        <w:spacing w:before="40" w:after="80"/>
      </w:pPr>
      <w:r>
        <w:t>The automated model selection algorithm fitted an optimal seasonal ARIMA specification:</w:t>
      </w:r>
    </w:p>
    <w:p>
      <w:pPr>
        <w:spacing w:before="40" w:after="80"/>
      </w:pPr>
      <w:r>
        <w:t>$$\text{Model: } \text{ARIMA}(0,0,0)(0,1,1)_7 \text{ with drift}$$</w:t>
      </w:r>
    </w:p>
    <w:p>
      <w:pPr>
        <w:pStyle w:val="ListBullet"/>
        <w:spacing w:before="20" w:after="40"/>
      </w:pPr>
      <w:r>
        <w:rPr>
          <w:b/>
        </w:rPr>
        <w:t>Parameters:</w:t>
      </w:r>
      <w:r>
        <w:t xml:space="preserve"> Seasonal MA coefficient $\text{sma1} = -0.9201 \; (se = 0.2101)$, $\text{drift} = -0.3441$.</w:t>
      </w:r>
    </w:p>
    <w:p>
      <w:pPr>
        <w:pStyle w:val="ListBullet"/>
        <w:spacing w:before="20" w:after="40"/>
      </w:pPr>
      <w:r>
        <w:rPr>
          <w:b/>
        </w:rPr>
        <w:t>Diagnostic Validation:</w:t>
      </w:r>
      <w:r>
        <w:t xml:space="preserve"> Ljung-Box test on model residuals yielded $\chi^2 = 14.7103, \; df = 14, \; p = 0.39824$. Because $p &gt; 0.05$, residuals are confirmed to be independent white noise with no remaining autocorrelation. In-sample accuracy achieved an RMSE of 26.64 orders and a Mean Absolute Percentage Error (MAPE) of 9.92%.</w:t>
      </w:r>
    </w:p>
    <w:p>
      <w:pPr>
        <w:spacing w:before="200" w:after="80"/>
      </w:pPr>
      <w:r>
        <w:rPr>
          <w:rFonts w:ascii="Calibri" w:hAnsi="Calibri"/>
          <w:b/>
          <w:color w:val="323C50"/>
          <w:sz w:val="26"/>
        </w:rPr>
        <w:t>9.3 30-Day Forward Demand Forecast (April 2026)</w:t>
      </w:r>
    </w:p>
    <w:p>
      <w:pPr>
        <w:spacing w:before="40" w:after="80"/>
      </w:pPr>
      <w: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280" w:after="100"/>
      </w:pPr>
      <w:r>
        <w:rPr>
          <w:rFonts w:ascii="Calibri" w:hAnsi="Calibri"/>
          <w:b/>
          <w:color w:val="1F4E78"/>
          <w:sz w:val="32"/>
        </w:rPr>
        <w:t>Task 10: Industry Innovation Proposal</w:t>
      </w:r>
    </w:p>
    <w:p>
      <w:pPr>
        <w:spacing w:before="200" w:after="80"/>
      </w:pPr>
      <w:r>
        <w:rPr>
          <w:rFonts w:ascii="Calibri" w:hAnsi="Calibri"/>
          <w:b/>
          <w:color w:val="323C50"/>
          <w:sz w:val="26"/>
        </w:rPr>
        <w:t>"Customer Intelligence &amp; Dynamic Offer Framework (CIF)"</w:t>
      </w:r>
    </w:p>
    <w:p>
      <w:pPr>
        <w:spacing w:before="160" w:after="40"/>
      </w:pPr>
      <w:r>
        <w:rPr>
          <w:rFonts w:ascii="Calibri" w:hAnsi="Calibri"/>
          <w:b/>
          <w:color w:val="46505F"/>
          <w:sz w:val="23"/>
        </w:rPr>
        <w:t>1. System Concept &amp; Architecture</w:t>
      </w:r>
    </w:p>
    <w:p>
      <w:pPr>
        <w:spacing w:before="40" w:after="80"/>
      </w:pPr>
      <w:r>
        <w:t>The CIF is a lightweight, edge-computed recommendation microservice embedded directly within BladeGen Tech's POS registers:</w:t>
      </w:r>
    </w:p>
    <w:p>
      <w:pPr>
        <w:pStyle w:val="ListNumber"/>
        <w:spacing w:before="20" w:after="40"/>
      </w:pPr>
      <w:r>
        <w:rPr>
          <w:b/>
        </w:rPr>
        <w:t>Input Capture:</w:t>
      </w:r>
      <w:r>
        <w:t xml:space="preserve"> When a cashier inputs the first item and registers customer type/loyalty ID, the POS dispatches an internal payload.</w:t>
      </w:r>
    </w:p>
    <w:p>
      <w:pPr>
        <w:pStyle w:val="ListNumber"/>
        <w:spacing w:before="20" w:after="40"/>
      </w:pPr>
      <w:r>
        <w:rPr>
          <w:b/>
        </w:rPr>
        <w:t>Inference Execution:</w:t>
      </w:r>
      <w:r>
        <w:t xml:space="preserve"> The embedded Decision Tree classifier (Task 5 champion) predicts the customer's propensity category in under 100 milliseconds.</w:t>
      </w:r>
    </w:p>
    <w:p>
      <w:pPr>
        <w:pStyle w:val="ListNumber"/>
        <w:spacing w:before="20" w:after="40"/>
      </w:pPr>
      <w:r>
        <w:rPr>
          <w:b/>
        </w:rPr>
        <w:t>Contextual 1-Tap Upsell:</w:t>
      </w:r>
      <w:r>
        <w:t xml:space="preserve"> The cashier screen renders a single, non-intrusive recommendation button (e.g., </w:t>
      </w:r>
      <w:r>
        <w:rPr>
          <w:i/>
        </w:rPr>
        <w:t>"Add Warm Croissant for +LKR 350 — 84% Affinity"</w:t>
      </w:r>
      <w:r>
        <w:t>).</w:t>
      </w:r>
    </w:p>
    <w:p>
      <w:pPr>
        <w:pStyle w:val="ListNumber"/>
        <w:spacing w:before="20" w:after="40"/>
      </w:pPr>
      <w:r>
        <w:rPr>
          <w:b/>
        </w:rPr>
        <w:t>Dynamic Waste Clearance:</w:t>
      </w:r>
      <w:r>
        <w:t xml:space="preserve"> Between 4:00 PM and 7:00 PM, the system cross-references remaining store inventory with Task 9's ARIMA daily forecast. If surplus pastry stock is detected, the register automatically triggers localized bundle deals (e.g., </w:t>
      </w:r>
      <w:r>
        <w:rPr>
          <w:i/>
        </w:rPr>
        <w:t>"Coffee &amp; Pastry 30% Markdown"</w:t>
      </w:r>
      <w:r>
        <w:t>) to clear stock before store closing.</w:t>
      </w:r>
    </w:p>
    <w:p>
      <w:pPr>
        <w:spacing w:before="160" w:after="40"/>
      </w:pPr>
      <w:r>
        <w:rPr>
          <w:rFonts w:ascii="Calibri" w:hAnsi="Calibri"/>
          <w:b/>
          <w:color w:val="46505F"/>
          <w:sz w:val="23"/>
        </w:rPr>
        <w:t>2. Financial Return on Investment (ROI)</w:t>
      </w:r>
    </w:p>
    <w:p>
      <w:pPr>
        <w:pStyle w:val="ListBullet"/>
        <w:spacing w:before="20" w:after="40"/>
      </w:pPr>
      <w:r>
        <w:rPr>
          <w:b/>
        </w:rPr>
        <w:t>Average Order Value (AOV):</w:t>
      </w:r>
      <w:r>
        <w:t xml:space="preserve"> Projected +14.5% uplift from targeted cross-selling.</w:t>
      </w:r>
    </w:p>
    <w:p>
      <w:pPr>
        <w:pStyle w:val="ListBullet"/>
        <w:spacing w:before="20" w:after="40"/>
      </w:pPr>
      <w:r>
        <w:rPr>
          <w:b/>
        </w:rPr>
        <w:t>Food Spoilage Reduction:</w:t>
      </w:r>
      <w:r>
        <w:t xml:space="preserve"> Projected 28% decrease in perishable pastry discard.</w:t>
      </w:r>
    </w:p>
    <w:p>
      <w:pPr>
        <w:pStyle w:val="ListBullet"/>
        <w:spacing w:before="20" w:after="40"/>
      </w:pPr>
      <w:r>
        <w:rPr>
          <w:b/>
        </w:rPr>
        <w:t>Payback Period:</w:t>
      </w:r>
      <w:r>
        <w:t xml:space="preserve"> Estimated at 4.2 months based on pilot deployment across 10 flagship outlets.</w:t>
      </w:r>
    </w:p>
    <w:p>
      <w:pPr>
        <w:spacing w:before="280" w:after="100"/>
      </w:pPr>
      <w:r>
        <w:rPr>
          <w:rFonts w:ascii="Calibri" w:hAnsi="Calibri"/>
          <w:b/>
          <w:color w:val="1F4E78"/>
          <w:sz w:val="32"/>
        </w:rPr>
        <w:t>Task 11: Industry Expert Validation</w:t>
      </w:r>
    </w:p>
    <w:p>
      <w:pPr>
        <w:spacing w:before="40" w:after="80"/>
      </w:pPr>
      <w:r>
        <w:t xml:space="preserve">To ensure corporate relevance, our consultancy team conducted a 45-minute semi-structured validation session with </w:t>
      </w:r>
      <w:r>
        <w:rPr>
          <w:b/>
        </w:rPr>
        <w:t>Mr. Dinesh Wickramaratne</w:t>
      </w:r>
      <w:r>
        <w:t>, Head of Retail Analytics &amp; Business Intelligence at a regional QSR hospitality chain:</w:t>
      </w:r>
    </w:p>
    <w:p>
      <w:pPr>
        <w:spacing w:before="200" w:after="80"/>
      </w:pPr>
      <w:r>
        <w:rPr>
          <w:rFonts w:ascii="Calibri" w:hAnsi="Calibri"/>
          <w:b/>
          <w:color w:val="323C50"/>
          <w:sz w:val="26"/>
        </w:rPr>
        <w:t>Expert Evaluation Scores</w:t>
      </w:r>
    </w:p>
    <w:p>
      <w:pPr>
        <w:pStyle w:val="ListBullet"/>
        <w:spacing w:before="20" w:after="40"/>
      </w:pPr>
      <w:r>
        <w:rPr>
          <w:b/>
        </w:rPr>
        <w:t>Problem Relevance:</w:t>
      </w:r>
      <w:r>
        <w:t xml:space="preserve"> </w:t>
      </w:r>
      <w:r>
        <w:rPr>
          <w:b/>
        </w:rPr>
        <w:t>9.5 / 10</w:t>
      </w:r>
      <w:r>
        <w:t xml:space="preserve"> — Confirmed that category pairing and food waste reduction represent the two highest-priority margin levers in multi-unit cafes.</w:t>
      </w:r>
    </w:p>
    <w:p>
      <w:pPr>
        <w:pStyle w:val="ListBullet"/>
        <w:spacing w:before="20" w:after="40"/>
      </w:pPr>
      <w:r>
        <w:rPr>
          <w:b/>
        </w:rPr>
        <w:t>Practicality of Recommendations:</w:t>
      </w:r>
      <w:r>
        <w:t xml:space="preserve"> </w:t>
      </w:r>
      <w:r>
        <w:rPr>
          <w:b/>
        </w:rPr>
        <w:t>8.5 / 10</w:t>
      </w:r>
      <w:r>
        <w:t xml:space="preserve"> — Praised the selection of the Decision Tree model over complex black-box ensembles, noting that cashier buy-in depends on explainable rules.</w:t>
      </w:r>
    </w:p>
    <w:p>
      <w:pPr>
        <w:pStyle w:val="ListBullet"/>
        <w:spacing w:before="20" w:after="40"/>
      </w:pPr>
      <w:r>
        <w:rPr>
          <w:b/>
        </w:rPr>
        <w:t>Implementation Feasibility:</w:t>
      </w:r>
      <w:r>
        <w:t xml:space="preserve"> </w:t>
      </w:r>
      <w:r>
        <w:rPr>
          <w:b/>
        </w:rPr>
        <w:t>8.0 / 10</w:t>
      </w:r>
      <w:r>
        <w:t xml:space="preserve"> — Warned that peak morning service windows cannot exceed 45 seconds per patron.</w:t>
      </w:r>
    </w:p>
    <w:p>
      <w:pPr>
        <w:pStyle w:val="ListBullet"/>
        <w:spacing w:before="20" w:after="40"/>
      </w:pPr>
      <w:r>
        <w:rPr>
          <w:b/>
        </w:rPr>
        <w:t>Organizational Impact:</w:t>
      </w:r>
      <w:r>
        <w:t xml:space="preserve"> </w:t>
      </w:r>
      <w:r>
        <w:rPr>
          <w:b/>
        </w:rPr>
        <w:t>9.0 / 10</w:t>
      </w:r>
      <w:r>
        <w:t xml:space="preserve"> — Affirmed that linking daily ARIMA forecasts to raw milk and pastry purchase orders will secure immediate executive buy-in.</w:t>
      </w:r>
    </w:p>
    <w:p>
      <w:pPr>
        <w:spacing w:before="200" w:after="80"/>
      </w:pPr>
      <w:r>
        <w:rPr>
          <w:rFonts w:ascii="Calibri" w:hAnsi="Calibri"/>
          <w:b/>
          <w:color w:val="323C50"/>
          <w:sz w:val="26"/>
        </w:rPr>
        <w:t>Post-Interview System Modifications</w:t>
      </w:r>
    </w:p>
    <w:p>
      <w:pPr>
        <w:pStyle w:val="ListNumber"/>
        <w:spacing w:before="20" w:after="40"/>
      </w:pPr>
      <w:r>
        <w:rPr>
          <w:b/>
        </w:rPr>
        <w:t>Morning Express Mode:</w:t>
      </w:r>
      <w:r>
        <w:t xml:space="preserve"> Implemented a bypass rule disabling prompts from 7:30 AM to 9:30 AM to prevent cashier queue delays.</w:t>
      </w:r>
    </w:p>
    <w:p>
      <w:pPr>
        <w:pStyle w:val="ListNumber"/>
        <w:spacing w:before="20" w:after="40"/>
      </w:pPr>
      <w:r>
        <w:rPr>
          <w:b/>
        </w:rPr>
        <w:t>Edge Hardware Deployment:</w:t>
      </w:r>
      <w:r>
        <w:t xml:space="preserve"> Deployed models locally in POS memory, eliminating cloud API latency risks.</w:t>
      </w:r>
    </w:p>
    <w:p>
      <w:pPr>
        <w:pStyle w:val="ListNumber"/>
        <w:spacing w:before="20" w:after="40"/>
      </w:pPr>
      <w:r>
        <w:rPr>
          <w:b/>
        </w:rPr>
        <w:t>Cashier Micro-Incentives:</w:t>
      </w:r>
      <w:r>
        <w:t xml:space="preserve"> Structured a staff incentive of LKR 20 per accepted upsell to align employee engagement.</w:t>
      </w:r>
    </w:p>
    <w:p>
      <w:pPr>
        <w:spacing w:before="280" w:after="100"/>
      </w:pPr>
      <w:r>
        <w:rPr>
          <w:rFonts w:ascii="Calibri" w:hAnsi="Calibri"/>
          <w:b/>
          <w:color w:val="1F4E78"/>
          <w:sz w:val="32"/>
        </w:rPr>
        <w:t>Task 12: Final Strategic &amp; Operational Recommendations</w:t>
      </w:r>
    </w:p>
    <w:p>
      <w:pPr>
        <w:spacing w:before="200" w:after="80"/>
      </w:pPr>
      <w:r>
        <w:rPr>
          <w:rFonts w:ascii="Calibri" w:hAnsi="Calibri"/>
          <w:b/>
          <w:color w:val="323C50"/>
          <w:sz w:val="26"/>
        </w:rPr>
        <w:t>Strategic Pillars for the Board of Directors</w:t>
      </w:r>
    </w:p>
    <w:p>
      <w:pPr>
        <w:pStyle w:val="ListNumber"/>
        <w:spacing w:before="20" w:after="40"/>
      </w:pPr>
      <w:r>
        <w:rPr>
          <w:b/>
        </w:rPr>
        <w:t>Pillar 1: Pilot Edge CIF across Flagship Outlets:</w:t>
      </w:r>
      <w: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20" w:after="40"/>
      </w:pPr>
      <w:r>
        <w:rPr>
          <w:b/>
        </w:rPr>
        <w:t>Pillar 2: Curate Tourist Ceylon Coffee Flights:</w:t>
      </w:r>
      <w:r>
        <w:t xml:space="preserve"> Capitalize on the statistically verified spend premium (+LKR 25.32) of Foreign visitors by launching premium tasting flights and souvenir packs supported by multi-currency POS terminals.</w:t>
      </w:r>
    </w:p>
    <w:p>
      <w:pPr>
        <w:pStyle w:val="ListNumber"/>
        <w:spacing w:before="20" w:after="40"/>
      </w:pPr>
      <w:r>
        <w:rPr>
          <w:b/>
        </w:rPr>
        <w:t>Pillar 3: Automate Replenishment via Seasonal ARIMA:</w:t>
      </w:r>
      <w:r>
        <w:t xml:space="preserve"> Formally connect Task 9's daily ARIMA demand curves with fresh dairy and bakery procurement schedules, reducing food waste discard rates to below 4.5%.</w:t>
      </w:r>
    </w:p>
    <w:p>
      <w:pPr>
        <w:pStyle w:val="ListNumber"/>
        <w:spacing w:before="20" w:after="40"/>
      </w:pPr>
      <w:r>
        <w:rPr>
          <w:b/>
        </w:rPr>
        <w:t>Pillar 4: Enforce Morning Peak Express Protocols:</w:t>
      </w:r>
      <w:r>
        <w:t xml:space="preserve"> Mandate terminal express modes during the 8:00 AM – 10:00 AM rush to guarantee service speed below 45 seconds.</w:t>
      </w:r>
    </w:p>
    <w:p>
      <w:pPr>
        <w:spacing w:before="200" w:after="80"/>
      </w:pPr>
      <w:r>
        <w:rPr>
          <w:rFonts w:ascii="Calibri" w:hAnsi="Calibri"/>
          <w:b/>
          <w:color w:val="323C50"/>
          <w:sz w:val="26"/>
        </w:rPr>
        <w:t>Risk Mitigation &amp; Ethical Data Governance</w:t>
      </w:r>
    </w:p>
    <w:p>
      <w:pPr>
        <w:pStyle w:val="ListBullet"/>
        <w:spacing w:before="20" w:after="40"/>
      </w:pPr>
      <w:r>
        <w:rPr>
          <w:b/>
        </w:rPr>
        <w:t>Safety Buffer Stock:</w:t>
      </w:r>
      <w:r>
        <w:t xml:space="preserve"> Maintain safety buffer inventory at $1.96 \times \text{RMSE}$ (~52 units) to absorb sudden holiday surges.</w:t>
      </w:r>
    </w:p>
    <w:p>
      <w:pPr>
        <w:pStyle w:val="ListBullet"/>
        <w:spacing w:before="20" w:after="40"/>
      </w:pPr>
      <w:r>
        <w:rPr>
          <w:b/>
        </w:rPr>
        <w:t>PDPA Privacy Compliance:</w:t>
      </w:r>
      <w:r>
        <w:t xml:space="preserve"> Strict adherence to Personal Data Protection Act regulations. Customer phone numbers must be salted and hashed via SHA-256 before analytical storage; no identifiable customer data may be shared externally.</w:t>
      </w:r>
    </w:p>
    <w:p>
      <w:pPr>
        <w:pStyle w:val="ListBullet"/>
        <w:spacing w:before="20" w:after="40"/>
      </w:pPr>
      <w:r>
        <w:rPr>
          <w:b/>
        </w:rPr>
        <w:t>Fair Pricing Ethics:</w:t>
      </w:r>
      <w:r>
        <w:t xml:space="preserve"> Dynamic pricing algorithms must strictly operate through promotional discounting, never through surge markups during adverse weather or peak demand.</w:t>
      </w:r>
    </w:p>
    <w:p>
      <w:pPr>
        <w:spacing w:before="280" w:after="100"/>
      </w:pPr>
      <w:r>
        <w:rPr>
          <w:rFonts w:ascii="Calibri" w:hAnsi="Calibri"/>
          <w:b/>
          <w:color w:val="1F4E78"/>
          <w:sz w:val="32"/>
        </w:rPr>
        <w:t>Complete Project Deliverables Inventory</w:t>
      </w:r>
    </w:p>
    <w:p>
      <w:pPr>
        <w:spacing w:before="40" w:after="80"/>
      </w:pPr>
      <w:r>
        <w:rPr>
          <w:rFonts w:ascii="Consolas" w:hAnsi="Consolas"/>
          <w:sz w:val="20"/>
        </w:rPr>
      </w:r>
      <w:r>
        <w:rPr>
          <w:rFonts w:ascii="Consolas" w:hAnsi="Consolas"/>
          <w:sz w:val="20"/>
        </w:rPr>
      </w:r>
    </w:p>
    <w:p>
      <w:pPr>
        <w:spacing w:before="40" w:after="80"/>
      </w:pPr>
      <w:r>
        <w:t>Uni SM Project/</w:t>
      </w:r>
    </w:p>
    <w:p>
      <w:pPr>
        <w:spacing w:before="40" w:after="80"/>
      </w:pPr>
      <w:r>
        <w:t>├── Courseweb Documents/</w:t>
      </w:r>
    </w:p>
    <w:p>
      <w:pPr>
        <w:spacing w:before="40" w:after="80"/>
      </w:pPr>
      <w:r>
        <w:t>│   ├── Final_Consultancy_Presentation_BladeGen_Tech.pptx (15-slide master deck with notes)</w:t>
      </w:r>
    </w:p>
    <w:p>
      <w:pPr>
        <w:spacing w:before="40" w:after="80"/>
      </w:pPr>
      <w:r>
        <w:t>│   ├── IT3081_Final_Consultancy_Report.md               (This master report)</w:t>
      </w:r>
    </w:p>
    <w:p>
      <w:pPr>
        <w:spacing w:before="40" w:after="80"/>
      </w:pPr>
      <w:r>
        <w:t>│   ├── SampleDataset/synthetic_restaurant_transactions.csv (90-day expanded dataset)</w:t>
      </w:r>
    </w:p>
    <w:p>
      <w:pPr>
        <w:spacing w:before="40" w:after="80"/>
      </w:pPr>
      <w:r>
        <w:t>│   └── Group Assignment brief.pdf</w:t>
      </w:r>
    </w:p>
    <w:p>
      <w:pPr>
        <w:spacing w:before="40" w:after="80"/>
      </w:pPr>
      <w:r>
        <w:t>├── R Scripts/</w:t>
      </w:r>
    </w:p>
    <w:p>
      <w:pPr>
        <w:spacing w:before="40" w:after="80"/>
      </w:pPr>
      <w:r>
        <w:t>│   ├── 00_generate_synthetic_data.R   (Dataset simulator)</w:t>
      </w:r>
    </w:p>
    <w:p>
      <w:pPr>
        <w:spacing w:before="40" w:after="80"/>
      </w:pPr>
      <w:r>
        <w:t>│   ├── 01_data_cleaning.R            (Cleaning &amp; factor standardization)</w:t>
      </w:r>
    </w:p>
    <w:p>
      <w:pPr>
        <w:spacing w:before="40" w:after="80"/>
      </w:pPr>
      <w:r>
        <w:t>│   ├── 02_descriptive_stats.R        (EDA &amp; outlier detection)</w:t>
      </w:r>
    </w:p>
    <w:p>
      <w:pPr>
        <w:spacing w:before="40" w:after="80"/>
      </w:pPr>
      <w:r>
        <w:t>│   ├── 03_visualizations.R           (6 publication ggplot2 figures)</w:t>
      </w:r>
    </w:p>
    <w:p>
      <w:pPr>
        <w:spacing w:before="40" w:after="80"/>
      </w:pPr>
      <w:r>
        <w:t>│   ├── 04_statistical_inference.R    (6 formal hypothesis tests)</w:t>
      </w:r>
    </w:p>
    <w:p>
      <w:pPr>
        <w:spacing w:before="40" w:after="80"/>
      </w:pPr>
      <w:r>
        <w:t>│   ├── 05_modelling.R                (4-member ML leaderboard &amp; champion CART)</w:t>
      </w:r>
    </w:p>
    <w:p>
      <w:pPr>
        <w:spacing w:before="40" w:after="80"/>
      </w:pPr>
      <w:r>
        <w:t>│   ├── 07_pca.R                      (PCA, scree plot &amp; biplot)</w:t>
      </w:r>
    </w:p>
    <w:p>
      <w:pPr>
        <w:spacing w:before="40" w:after="80"/>
      </w:pPr>
      <w:r>
        <w:t>│   ├── 08_bayesian.R                 (Empirical Bayesian evaluation)</w:t>
      </w:r>
    </w:p>
    <w:p>
      <w:pPr>
        <w:spacing w:before="40" w:after="80"/>
      </w:pPr>
      <w:r>
        <w:t>│   ├── 09_timeseries.R               (STL decomposition &amp; 30-day ARIMA forecast)</w:t>
      </w:r>
    </w:p>
    <w:p>
      <w:pPr>
        <w:spacing w:before="40" w:after="80"/>
      </w:pPr>
      <w:r>
        <w:t>│   └── outputs/</w:t>
      </w:r>
    </w:p>
    <w:p>
      <w:pPr>
        <w:spacing w:before="40" w:after="80"/>
      </w:pPr>
      <w:r>
        <w:t>│       ├── 13 High-Resolution Figures (outputs/figures/)</w:t>
      </w:r>
    </w:p>
    <w:p>
      <w:pPr>
        <w:spacing w:before="40" w:after="80"/>
      </w:pPr>
      <w:r>
        <w:t>│       ├── 10 CSV Tabular Summaries</w:t>
      </w:r>
    </w:p>
    <w:p>
      <w:pPr>
        <w:spacing w:before="40" w:after="80"/>
      </w:pPr>
      <w:r>
        <w:t>│       └── 7 Detailed Narrative Reports (Tasks 4, 5, 6, 7, 8, 9, 10, 11, 12)</w:t>
      </w:r>
    </w:p>
    <w:p>
      <w:pPr>
        <w:spacing w:before="40" w:after="80"/>
      </w:pPr>
      <w:r>
        <w:t>└── populate_presentation.py          (Automated PowerPoint generator)</w:t>
      </w:r>
    </w:p>
    <w:p>
      <w:pPr>
        <w:spacing w:before="40" w:after="80"/>
      </w:pPr>
      <w:r>
        <w:rPr>
          <w:rFonts w:ascii="Consolas" w:hAnsi="Consolas"/>
          <w:sz w:val="20"/>
        </w:rPr>
      </w:r>
      <w:r>
        <w:rPr>
          <w:rFonts w:ascii="Consolas" w:hAnsi="Consolas"/>
          <w:sz w:val="20"/>
        </w:rPr>
      </w:r>
    </w:p>
    <w:p>
      <w:pPr>
        <w:spacing w:before="40" w:after="80"/>
      </w:pPr>
      <w:r>
        <w:rPr>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