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pPr>
      <w:r>
        <w:rPr>
          <w:rFonts w:ascii="Calibri" w:hAnsi="Calibri"/>
          <w:b/>
          <w:color w:val="1F4E78"/>
          <w:sz w:val="44"/>
        </w:rPr>
        <w:t>Statistical Innovation Consultancy Report</w:t>
      </w:r>
    </w:p>
    <w:p>
      <w:pPr>
        <w:spacing w:before="320" w:after="120"/>
      </w:pPr>
      <w:r>
        <w:rPr>
          <w:rFonts w:ascii="Calibri" w:hAnsi="Calibri"/>
          <w:b/>
          <w:color w:val="1F4E78"/>
          <w:sz w:val="32"/>
        </w:rPr>
        <w:t>Product Purchase Prediction &amp; Demand Intelligence: From Data to Strategic Decisions</w:t>
      </w:r>
    </w:p>
    <w:p>
      <w:pPr>
        <w:spacing w:before="40" w:after="80" w:line="276" w:lineRule="auto"/>
      </w:pPr>
      <w:r>
        <w:rPr>
          <w:rFonts w:ascii="Calibri" w:hAnsi="Calibri"/>
          <w:b/>
        </w:rPr>
        <w:t>Course:</w:t>
      </w:r>
      <w:r>
        <w:rPr>
          <w:rFonts w:ascii="Calibri" w:hAnsi="Calibri"/>
        </w:rPr>
        <w:t xml:space="preserve"> IT3081 – Statistical Modelling | Group Assignment (100%)</w:t>
      </w:r>
    </w:p>
    <w:p>
      <w:pPr>
        <w:spacing w:before="40" w:after="80" w:line="276" w:lineRule="auto"/>
      </w:pPr>
      <w:r>
        <w:rPr>
          <w:rFonts w:ascii="Calibri" w:hAnsi="Calibri"/>
          <w:b/>
        </w:rPr>
        <w:t>Client Organization:</w:t>
      </w:r>
      <w:r>
        <w:rPr>
          <w:rFonts w:ascii="Calibri" w:hAnsi="Calibri"/>
        </w:rPr>
        <w:t xml:space="preserve"> BladeGen Tech Consultancy (Multi-Outlet F&amp;B Chain)</w:t>
      </w:r>
    </w:p>
    <w:p>
      <w:pPr>
        <w:spacing w:before="40" w:after="80" w:line="276" w:lineRule="auto"/>
      </w:pPr>
      <w:r>
        <w:rPr>
          <w:rFonts w:ascii="Calibri" w:hAnsi="Calibri"/>
          <w:b/>
        </w:rPr>
        <w:t>Consultancy Group:</w:t>
      </w:r>
      <w:r>
        <w:rPr>
          <w:rFonts w:ascii="Calibri" w:hAnsi="Calibri"/>
        </w:rPr>
        <w:t xml:space="preserve"> Group 4</w:t>
      </w:r>
    </w:p>
    <w:p>
      <w:pPr>
        <w:spacing w:before="40" w:after="80" w:line="276" w:lineRule="auto"/>
      </w:pPr>
      <w:r>
        <w:rPr>
          <w:rFonts w:ascii="Calibri" w:hAnsi="Calibri"/>
          <w:b/>
        </w:rPr>
        <w:t>Date of Submission:</w:t>
      </w:r>
      <w:r>
        <w:rPr>
          <w:rFonts w:ascii="Calibri" w:hAnsi="Calibri"/>
        </w:rPr>
        <w:t xml:space="preserve"> September 2026</w:t>
      </w:r>
    </w:p>
    <w:p>
      <w:pPr>
        <w:spacing w:before="320" w:after="120"/>
      </w:pPr>
      <w:r>
        <w:rPr>
          <w:rFonts w:ascii="Calibri" w:hAnsi="Calibri"/>
          <w:b/>
          <w:color w:val="1F4E78"/>
          <w:sz w:val="32"/>
        </w:rPr>
        <w:t>Executive Summary</w:t>
      </w:r>
    </w:p>
    <w:p>
      <w:pPr>
        <w:spacing w:before="40" w:after="80" w:line="276" w:lineRule="auto"/>
      </w:pPr>
      <w:r>
        <w:rPr>
          <w:rFonts w:ascii="Calibri" w:hAnsi="Calibri"/>
        </w:rPr>
        <w:t>Modern multi-outlet restaurant chains operate in an increasingly competitive environment where margin preservation requires precise alignment between customer purchasing preferences and supply chain replenishment. BladeGen Tech, an expanding food and beverage (F&amp;B) chain operating over 80 store outlets, approached our consultancy firm to resolve persistent operational inefficiencies: unpredictable product category sales, generic point-of-sale (POS) promotional prompts that yield sub-5% conversion, and excessive end-of-day pastry discard rates exceeding 12%.</w:t>
      </w:r>
    </w:p>
    <w:p>
      <w:pPr>
        <w:spacing w:before="40" w:after="80" w:line="276" w:lineRule="auto"/>
      </w:pPr>
      <w:r>
        <w:rPr>
          <w:rFonts w:ascii="Calibri" w:hAnsi="Calibri"/>
        </w:rPr>
        <w:t>To provide evidence-based solutions, our consultancy team engineered an end-to-end statistical modeling pipeline implemented in R (version 4.6.1). Analyzing 29,465 transactions spanning 90 continuous days (Q1 2026), we conducted descriptive analytics, formal hypothesis inference, four distinct machine learning architectures evaluated on an 80/20 train/test partition, dimensionality reduction (PCA), empirical Bayesian analysis, and seasonal ARIMA forecasting.</w:t>
      </w:r>
    </w:p>
    <w:p>
      <w:pPr>
        <w:spacing w:before="240" w:after="80"/>
      </w:pPr>
      <w:r>
        <w:rPr>
          <w:rFonts w:ascii="Calibri" w:hAnsi="Calibri"/>
          <w:b/>
          <w:color w:val="323C50"/>
          <w:sz w:val="26"/>
        </w:rPr>
        <w:t>Key Analytical Findings:</w:t>
      </w:r>
    </w:p>
    <w:p>
      <w:pPr>
        <w:pStyle w:val="ListNumber"/>
        <w:spacing w:before="30" w:after="50"/>
      </w:pPr>
      <w:r>
        <w:rPr>
          <w:rFonts w:ascii="Calibri" w:hAnsi="Calibri"/>
          <w:b/>
        </w:rPr>
        <w:t>Category Dominance &amp; Opportunity:</w:t>
      </w:r>
      <w:r>
        <w:rPr>
          <w:rFonts w:ascii="Calibri" w:hAnsi="Calibri"/>
        </w:rPr>
        <w:t xml:space="preserve"> Beverages represent 52.17% of volume, whereas Food items represent 33.71%, Deals 8.73%, and Merchandising 5.39%. Food and Combos represent the primary margin-expansion targets.</w:t>
      </w:r>
    </w:p>
    <w:p>
      <w:pPr>
        <w:pStyle w:val="ListNumber"/>
        <w:spacing w:before="30" w:after="50"/>
      </w:pPr>
      <w:r>
        <w:rPr>
          <w:rFonts w:ascii="Calibri" w:hAnsi="Calibri"/>
          <w:b/>
        </w:rPr>
        <w:t>Tourist Spend Premium:</w:t>
      </w:r>
      <w:r>
        <w:rPr>
          <w:rFonts w:ascii="Calibri" w:hAnsi="Calibri"/>
        </w:rPr>
        <w:t xml:space="preserve"> Welch’s two-sample t-test confirmed that Foreign tourists spend significantly more per line item than Local patrons (t = 2.0266, p = 0.0427), with distinct international card usage patterns (Chi-Square = 4,270.2, p &lt; 1e-04).</w:t>
      </w:r>
    </w:p>
    <w:p>
      <w:pPr>
        <w:pStyle w:val="ListNumber"/>
        <w:spacing w:before="30" w:after="50"/>
      </w:pPr>
      <w:r>
        <w:rPr>
          <w:rFonts w:ascii="Calibri" w:hAnsi="Calibri"/>
          <w:b/>
        </w:rPr>
        <w:t>Statistical Modelling Champion &amp; Recommendation Engine:</w:t>
      </w:r>
      <w:r>
        <w:rPr>
          <w:rFonts w:ascii="Calibri" w:hAnsi="Calibri"/>
        </w:rPr>
        <w:t xml:space="preserve"> Our 4-member statistical tournament established </w:t>
      </w:r>
      <w:r>
        <w:rPr>
          <w:rFonts w:ascii="Calibri" w:hAnsi="Calibri"/>
          <w:b/>
        </w:rPr>
        <w:t>Linear Discriminant Analysis (Member 2)</w:t>
      </w:r>
      <w:r>
        <w:rPr>
          <w:rFonts w:ascii="Calibri" w:hAnsi="Calibri"/>
        </w:rPr>
        <w:t xml:space="preserve"> as the champion classifier, achieving a </w:t>
      </w:r>
      <w:r>
        <w:rPr>
          <w:rFonts w:ascii="Calibri" w:hAnsi="Calibri"/>
          <w:b/>
        </w:rPr>
        <w:t>76.23% exact Top-1 Category Accuracy</w:t>
      </w:r>
      <w:r>
        <w:rPr>
          <w:rFonts w:ascii="Calibri" w:hAnsi="Calibri"/>
        </w:rPr>
        <w:t xml:space="preserve"> and </w:t>
      </w:r>
      <w:r>
        <w:rPr>
          <w:rFonts w:ascii="Calibri" w:hAnsi="Calibri"/>
          <w:b/>
        </w:rPr>
        <w:t>98.40% Top-2 Recommendation Hit Rate (Hit@2)</w:t>
      </w:r>
      <w:r>
        <w:rPr>
          <w:rFonts w:ascii="Calibri" w:hAnsi="Calibri"/>
        </w:rPr>
        <w:t xml:space="preserve"> (91.18% ROC-AUC, 80.08% Macro-Precision, 76.14% Macro-F1). Multinomial Logistic Regression followed closely with 76.21% Top-1 accuracy.</w:t>
      </w:r>
    </w:p>
    <w:p>
      <w:pPr>
        <w:pStyle w:val="ListNumber"/>
        <w:spacing w:before="30" w:after="50"/>
      </w:pPr>
      <w:r>
        <w:rPr>
          <w:rFonts w:ascii="Calibri" w:hAnsi="Calibri"/>
          <w:b/>
        </w:rPr>
        <w:t>Empirical PCA Dimensionality Benchmarking:</w:t>
      </w:r>
      <w:r>
        <w:rPr>
          <w:rFonts w:ascii="Calibri" w:hAnsi="Calibri"/>
        </w:rPr>
        <w:t xml:space="preserve"> A rigorous Pre vs. Post PCA evaluation proved that compressing predictors into principal components degrades classification accuracy by 8.05% to 12.12%, empirically justifying our deployment of original, interpretable features for cashier operations.</w:t>
      </w:r>
    </w:p>
    <w:p>
      <w:pPr>
        <w:pStyle w:val="ListNumber"/>
        <w:spacing w:before="30" w:after="50"/>
      </w:pPr>
      <w:r>
        <w:rPr>
          <w:rFonts w:ascii="Calibri" w:hAnsi="Calibri"/>
          <w:b/>
        </w:rPr>
        <w:t>Demand Cyclicality &amp; Expert Validation:</w:t>
      </w:r>
      <w:r>
        <w:rPr>
          <w:rFonts w:ascii="Calibri" w:hAnsi="Calibri"/>
        </w:rPr>
        <w:t xml:space="preserve"> STL decomposition identified a strong 7-day cyclical oscillation with weekend surges. An optimal Seasonal ARIMA(0,0,0)(0,1,1)[7] model with drift achieved a 9.9% MAPE and validated white-noise residuals (p = 0.398), projecting ~6,143 orders for April 2026. Validated by Industry Expert Mr. Kusan Edirisinghe, our Customer Intelligence Framework (CIF) links micro POS prompts to automated dairy replenishment, targeting an 18% reduction in bakery discard waste and +14.5% upsell conversion.</w:t>
      </w:r>
    </w:p>
    <w:p>
      <w:pPr>
        <w:spacing w:before="320" w:after="120"/>
      </w:pPr>
      <w:r>
        <w:rPr>
          <w:rFonts w:ascii="Calibri" w:hAnsi="Calibri"/>
          <w:b/>
          <w:color w:val="1F4E78"/>
          <w:sz w:val="32"/>
        </w:rPr>
        <w:t>Task 1: Understanding the Industry Problem</w:t>
      </w:r>
    </w:p>
    <w:p>
      <w:pPr>
        <w:spacing w:before="240" w:after="80"/>
      </w:pPr>
      <w:r>
        <w:rPr>
          <w:rFonts w:ascii="Calibri" w:hAnsi="Calibri"/>
          <w:b/>
          <w:color w:val="323C50"/>
          <w:sz w:val="26"/>
        </w:rPr>
        <w:t>1.1 Industry Background &amp; Organizational Context</w:t>
      </w:r>
    </w:p>
    <w:p>
      <w:pPr>
        <w:spacing w:before="40" w:after="80" w:line="276" w:lineRule="auto"/>
      </w:pPr>
      <w:r>
        <w:rPr>
          <w:rFonts w:ascii="Calibri" w:hAnsi="Calibri"/>
        </w:rPr>
        <w:t>The commercial food and beverage (F&amp;B) industry is characterized by razor-thin operating margins (typically 3–8%), high perishability of raw ingredients (dairy, fresh bakery products), and shifting consumer lifestyle habits. Quick Service Restaurants (QSRs) and specialty coffee chains rely heavily on impulse purchases and register-side product pairings (e.g., pairing a morning latte with a warm croissant).</w:t>
      </w:r>
    </w:p>
    <w:p>
      <w:pPr>
        <w:spacing w:before="40" w:after="80" w:line="276" w:lineRule="auto"/>
      </w:pPr>
      <w:r>
        <w:rPr>
          <w:rFonts w:ascii="Calibri" w:hAnsi="Calibri"/>
        </w:rPr>
        <w:t>BladeGen Tech oversees a network of 80 retail outlets situated in commercial business districts, suburban commuter hubs, and tourist corridors. Despite collecting extensive transaction logs, store operations currently function reactively. Point-of-sale staff rely on ad-hoc cashier intuition to suggest upsells, resulting in missed cross-selling opportunities and customer queuing bottlenecks during rush hours.</w:t>
      </w:r>
    </w:p>
    <w:p>
      <w:pPr>
        <w:spacing w:before="240" w:after="80"/>
      </w:pPr>
      <w:r>
        <w:rPr>
          <w:rFonts w:ascii="Calibri" w:hAnsi="Calibri"/>
          <w:b/>
          <w:color w:val="323C50"/>
          <w:sz w:val="26"/>
        </w:rPr>
        <w:t>1.2 Problem Formulation</w:t>
      </w:r>
    </w:p>
    <w:p>
      <w:pPr>
        <w:spacing w:before="40" w:after="80" w:line="276" w:lineRule="auto"/>
      </w:pPr>
      <w:r>
        <w:rPr>
          <w:rFonts w:ascii="Calibri" w:hAnsi="Calibri"/>
        </w:rPr>
        <w:t>The overarching business challenge is formulated as:</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60" w:type="dxa"/>
              <w:right w:w="160" w:type="dxa"/>
            </w:tcMar>
          </w:tcPr>
          <w:p>
            <w:pPr>
              <w:spacing w:before="40" w:after="40"/>
            </w:pPr>
            <w:r>
              <w:rPr>
                <w:rFonts w:ascii="Calibri" w:hAnsi="Calibri"/>
                <w:i/>
                <w:color w:val="2D3C55"/>
              </w:rPr>
              <w:t>How can BladeGen Tech predict customer product category choice in real time at the point of sale, and leverage demand forecasting to minimize perishable stockouts and food waste across diverse store outlets?</w:t>
            </w:r>
          </w:p>
        </w:tc>
      </w:tr>
    </w:tbl>
    <w:p/>
    <w:p>
      <w:pPr>
        <w:spacing w:before="40" w:after="80" w:line="276" w:lineRule="auto"/>
      </w:pPr>
      <w:r>
        <w:rPr>
          <w:rFonts w:ascii="Calibri" w:hAnsi="Calibri"/>
        </w:rPr>
        <w:t>Sub-problems include:</w:t>
      </w:r>
    </w:p>
    <w:p>
      <w:pPr>
        <w:pStyle w:val="ListBullet"/>
        <w:spacing w:before="30" w:after="50"/>
      </w:pPr>
      <w:r>
        <w:rPr>
          <w:rFonts w:ascii="Calibri" w:hAnsi="Calibri"/>
        </w:rPr>
        <w:t>Inability to profile purchasing elasticity across Local vs. Foreign tourist segments.</w:t>
      </w:r>
    </w:p>
    <w:p>
      <w:pPr>
        <w:pStyle w:val="ListBullet"/>
        <w:spacing w:before="30" w:after="50"/>
      </w:pPr>
      <w:r>
        <w:rPr>
          <w:rFonts w:ascii="Calibri" w:hAnsi="Calibri"/>
        </w:rPr>
        <w:t>High variance in outlet-level baseline sales volumes.</w:t>
      </w:r>
    </w:p>
    <w:p>
      <w:pPr>
        <w:pStyle w:val="ListBullet"/>
        <w:spacing w:before="30" w:after="50"/>
      </w:pPr>
      <w:r>
        <w:rPr>
          <w:rFonts w:ascii="Calibri" w:hAnsi="Calibri"/>
        </w:rPr>
        <w:t>Misalignment between weekly procurement orders and true weekend foot-traffic demand surges.</w:t>
      </w:r>
    </w:p>
    <w:p>
      <w:pPr>
        <w:spacing w:before="240" w:after="80"/>
      </w:pPr>
      <w:r>
        <w:rPr>
          <w:rFonts w:ascii="Calibri" w:hAnsi="Calibri"/>
          <w:b/>
          <w:color w:val="323C50"/>
          <w:sz w:val="26"/>
        </w:rPr>
        <w:t>1.3 Stakeholders Affected</w:t>
      </w:r>
    </w:p>
    <w:p>
      <w:pPr>
        <w:pStyle w:val="ListBullet"/>
        <w:spacing w:before="30" w:after="50"/>
      </w:pPr>
      <w:r>
        <w:rPr>
          <w:rFonts w:ascii="Calibri" w:hAnsi="Calibri"/>
          <w:b/>
        </w:rPr>
        <w:t>Store Baristas &amp; Cashiers:</w:t>
      </w:r>
      <w:r>
        <w:rPr>
          <w:rFonts w:ascii="Calibri" w:hAnsi="Calibri"/>
        </w:rPr>
        <w:t xml:space="preserve"> Experience cognitive overload during peak hours; require instant, automated upsell prompts.</w:t>
      </w:r>
    </w:p>
    <w:p>
      <w:pPr>
        <w:pStyle w:val="ListBullet"/>
        <w:spacing w:before="30" w:after="50"/>
      </w:pPr>
      <w:r>
        <w:rPr>
          <w:rFonts w:ascii="Calibri" w:hAnsi="Calibri"/>
          <w:b/>
        </w:rPr>
        <w:t>Store Managers:</w:t>
      </w:r>
      <w:r>
        <w:rPr>
          <w:rFonts w:ascii="Calibri" w:hAnsi="Calibri"/>
        </w:rPr>
        <w:t xml:space="preserve"> Struggle with daily shift scheduling and balancing morning vs. evening labor allocations.</w:t>
      </w:r>
    </w:p>
    <w:p>
      <w:pPr>
        <w:pStyle w:val="ListBullet"/>
        <w:spacing w:before="30" w:after="50"/>
      </w:pPr>
      <w:r>
        <w:rPr>
          <w:rFonts w:ascii="Calibri" w:hAnsi="Calibri"/>
          <w:b/>
        </w:rPr>
        <w:t>Central Procurement &amp; Supply Chain Directors:</w:t>
      </w:r>
      <w:r>
        <w:rPr>
          <w:rFonts w:ascii="Calibri" w:hAnsi="Calibri"/>
        </w:rPr>
        <w:t xml:space="preserve"> Risk ordering excess dairy and bakery goods that expire within 48–72 hours.</w:t>
      </w:r>
    </w:p>
    <w:p>
      <w:pPr>
        <w:pStyle w:val="ListBullet"/>
        <w:spacing w:before="30" w:after="50"/>
      </w:pPr>
      <w:r>
        <w:rPr>
          <w:rFonts w:ascii="Calibri" w:hAnsi="Calibri"/>
          <w:b/>
        </w:rPr>
        <w:t>Executive Board &amp; CFO:</w:t>
      </w:r>
      <w:r>
        <w:rPr>
          <w:rFonts w:ascii="Calibri" w:hAnsi="Calibri"/>
        </w:rPr>
        <w:t xml:space="preserve"> Face margin erosion from waste write-offs and untargeted promotional discounting.</w:t>
      </w:r>
    </w:p>
    <w:p>
      <w:pPr>
        <w:spacing w:before="240" w:after="80"/>
      </w:pPr>
      <w:r>
        <w:rPr>
          <w:rFonts w:ascii="Calibri" w:hAnsi="Calibri"/>
          <w:b/>
          <w:color w:val="323C50"/>
          <w:sz w:val="26"/>
        </w:rPr>
        <w:t>1.4 Consultancy Objectives</w:t>
      </w:r>
    </w:p>
    <w:p>
      <w:pPr>
        <w:pStyle w:val="ListNumber"/>
        <w:spacing w:before="30" w:after="50"/>
      </w:pPr>
      <w:r>
        <w:rPr>
          <w:rFonts w:ascii="Calibri" w:hAnsi="Calibri"/>
        </w:rPr>
        <w:t>Quantify customer spending behavior and identify significant demographic determinants of revenue.</w:t>
      </w:r>
    </w:p>
    <w:p>
      <w:pPr>
        <w:pStyle w:val="ListNumber"/>
        <w:spacing w:before="30" w:after="50"/>
      </w:pPr>
      <w:r>
        <w:rPr>
          <w:rFonts w:ascii="Calibri" w:hAnsi="Calibri"/>
        </w:rPr>
        <w:t>Formulate and validate six formal inferential hypothesis tests to guide managerial decision-making.</w:t>
      </w:r>
    </w:p>
    <w:p>
      <w:pPr>
        <w:pStyle w:val="ListNumber"/>
        <w:spacing w:before="30" w:after="50"/>
      </w:pPr>
      <w:r>
        <w:rPr>
          <w:rFonts w:ascii="Calibri" w:hAnsi="Calibri"/>
        </w:rPr>
        <w:t>Train, benchmark, and evaluate four machine learning models across four team members to select a champion classifier.</w:t>
      </w:r>
    </w:p>
    <w:p>
      <w:pPr>
        <w:pStyle w:val="ListNumber"/>
        <w:spacing w:before="30" w:after="50"/>
      </w:pPr>
      <w:r>
        <w:rPr>
          <w:rFonts w:ascii="Calibri" w:hAnsi="Calibri"/>
        </w:rPr>
        <w:t>Critically evaluate experimental design, principal component analysis, and Bayesian methods.</w:t>
      </w:r>
    </w:p>
    <w:p>
      <w:pPr>
        <w:pStyle w:val="ListNumber"/>
        <w:spacing w:before="30" w:after="50"/>
      </w:pPr>
      <w:r>
        <w:rPr>
          <w:rFonts w:ascii="Calibri" w:hAnsi="Calibri"/>
        </w:rPr>
        <w:t>Build an operational time-series forecasting model to automate procurement planning.</w:t>
      </w:r>
    </w:p>
    <w:p>
      <w:pPr>
        <w:pStyle w:val="ListNumber"/>
        <w:spacing w:before="30" w:after="50"/>
      </w:pPr>
      <w:r>
        <w:rPr>
          <w:rFonts w:ascii="Calibri" w:hAnsi="Calibri"/>
        </w:rPr>
        <w:t>Deliver a fully validated industry innovation framework and strategic roadmap.</w:t>
      </w:r>
    </w:p>
    <w:p>
      <w:pPr>
        <w:spacing w:before="320" w:after="120"/>
      </w:pPr>
      <w:r>
        <w:rPr>
          <w:rFonts w:ascii="Calibri" w:hAnsi="Calibri"/>
          <w:b/>
          <w:color w:val="1F4E78"/>
          <w:sz w:val="32"/>
        </w:rPr>
        <w:t>Task 2: Research Landscape &amp; Literature Review</w:t>
      </w:r>
    </w:p>
    <w:p>
      <w:pPr>
        <w:spacing w:before="40" w:after="80" w:line="276" w:lineRule="auto"/>
      </w:pPr>
      <w:r>
        <w:rPr>
          <w:rFonts w:ascii="Calibri" w:hAnsi="Calibri"/>
        </w:rPr>
        <w:t>To ground our consultancy methodologies in scientific rigor, we conducted a systematic literature review of 16 peer-reviewed research papers (10 academic journals and 6 international conference proceedings), focusing on studies published within the last five years.</w:t>
      </w:r>
    </w:p>
    <w:p>
      <w:pPr>
        <w:spacing w:before="240" w:after="80"/>
      </w:pPr>
      <w:r>
        <w:rPr>
          <w:rFonts w:ascii="Calibri" w:hAnsi="Calibri"/>
          <w:b/>
          <w:color w:val="323C50"/>
          <w:sz w:val="26"/>
        </w:rPr>
        <w:t>Curated Literature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40" w:type="dxa"/>
              <w:right w:w="140" w:type="dxa"/>
            </w:tcMar>
            <w:shd w:fill="1F4E78"/>
          </w:tcPr>
          <w:p>
            <w:pPr>
              <w:spacing w:before="60" w:after="60"/>
            </w:pPr>
            <w:r>
              <w:rPr>
                <w:b/>
                <w:color w:val="FFFFFF"/>
                <w:sz w:val="20"/>
              </w:rPr>
              <w:t>#</w:t>
            </w:r>
          </w:p>
        </w:tc>
        <w:tc>
          <w:tcPr>
            <w:tcW w:type="dxa" w:w="1872"/>
            <w:tcMar>
              <w:top w:w="120" w:type="dxa"/>
              <w:bottom w:w="120" w:type="dxa"/>
              <w:left w:w="140" w:type="dxa"/>
              <w:right w:w="140" w:type="dxa"/>
            </w:tcMar>
            <w:shd w:fill="1F4E78"/>
          </w:tcPr>
          <w:p>
            <w:pPr>
              <w:spacing w:before="60" w:after="60"/>
            </w:pPr>
            <w:r>
              <w:rPr>
                <w:b/>
                <w:color w:val="FFFFFF"/>
                <w:sz w:val="20"/>
              </w:rPr>
              <w:t>Paper Title &amp; Citation</w:t>
            </w:r>
          </w:p>
        </w:tc>
        <w:tc>
          <w:tcPr>
            <w:tcW w:type="dxa" w:w="1872"/>
            <w:tcMar>
              <w:top w:w="120" w:type="dxa"/>
              <w:bottom w:w="120" w:type="dxa"/>
              <w:left w:w="140" w:type="dxa"/>
              <w:right w:w="140" w:type="dxa"/>
            </w:tcMar>
            <w:shd w:fill="1F4E78"/>
          </w:tcPr>
          <w:p>
            <w:pPr>
              <w:spacing w:before="60" w:after="60"/>
            </w:pPr>
            <w:r>
              <w:rPr>
                <w:b/>
                <w:color w:val="FFFFFF"/>
                <w:sz w:val="20"/>
              </w:rPr>
              <w:t>Source / Year</w:t>
            </w:r>
          </w:p>
        </w:tc>
        <w:tc>
          <w:tcPr>
            <w:tcW w:type="dxa" w:w="1872"/>
            <w:tcMar>
              <w:top w:w="120" w:type="dxa"/>
              <w:bottom w:w="120" w:type="dxa"/>
              <w:left w:w="140" w:type="dxa"/>
              <w:right w:w="140" w:type="dxa"/>
            </w:tcMar>
            <w:shd w:fill="1F4E78"/>
          </w:tcPr>
          <w:p>
            <w:pPr>
              <w:spacing w:before="60" w:after="60"/>
            </w:pPr>
            <w:r>
              <w:rPr>
                <w:b/>
                <w:color w:val="FFFFFF"/>
                <w:sz w:val="20"/>
              </w:rPr>
              <w:t>Core Method</w:t>
            </w:r>
          </w:p>
        </w:tc>
        <w:tc>
          <w:tcPr>
            <w:tcW w:type="dxa" w:w="1872"/>
            <w:tcMar>
              <w:top w:w="120" w:type="dxa"/>
              <w:bottom w:w="120" w:type="dxa"/>
              <w:left w:w="140" w:type="dxa"/>
              <w:right w:w="140" w:type="dxa"/>
            </w:tcMar>
            <w:shd w:fill="1F4E78"/>
          </w:tcPr>
          <w:p>
            <w:pPr>
              <w:spacing w:before="60" w:after="60"/>
            </w:pPr>
            <w:r>
              <w:rPr>
                <w:b/>
                <w:color w:val="FFFFFF"/>
                <w:sz w:val="20"/>
              </w:rPr>
              <w:t>Key Finding Relevant to Consultancy</w:t>
            </w:r>
          </w:p>
        </w:tc>
      </w:tr>
      <w:tr>
        <w:tc>
          <w:tcPr>
            <w:tcW w:type="dxa" w:w="1872"/>
            <w:tcMar>
              <w:top w:w="120" w:type="dxa"/>
              <w:bottom w:w="120" w:type="dxa"/>
              <w:left w:w="140" w:type="dxa"/>
              <w:right w:w="140" w:type="dxa"/>
            </w:tcMar>
            <w:shd w:fill="F2F5F8"/>
          </w:tcPr>
          <w:p>
            <w:pPr>
              <w:spacing w:before="60" w:after="60"/>
            </w:pPr>
            <w:r>
              <w:rPr>
                <w:sz w:val="19"/>
              </w:rPr>
              <w:t>1</w:t>
            </w:r>
          </w:p>
        </w:tc>
        <w:tc>
          <w:tcPr>
            <w:tcW w:type="dxa" w:w="1872"/>
            <w:tcMar>
              <w:top w:w="120" w:type="dxa"/>
              <w:bottom w:w="120" w:type="dxa"/>
              <w:left w:w="140" w:type="dxa"/>
              <w:right w:w="140" w:type="dxa"/>
            </w:tcMar>
            <w:shd w:fill="F2F5F8"/>
          </w:tcPr>
          <w:p>
            <w:pPr>
              <w:spacing w:before="60" w:after="60"/>
            </w:pPr>
            <w:r>
              <w:rPr>
                <w:sz w:val="19"/>
              </w:rPr>
              <w:t>Predicting Online Food Delivery Purchase Intention (Chen et al.)</w:t>
            </w:r>
          </w:p>
        </w:tc>
        <w:tc>
          <w:tcPr>
            <w:tcW w:type="dxa" w:w="1872"/>
            <w:tcMar>
              <w:top w:w="120" w:type="dxa"/>
              <w:bottom w:w="120" w:type="dxa"/>
              <w:left w:w="140" w:type="dxa"/>
              <w:right w:w="140" w:type="dxa"/>
            </w:tcMar>
            <w:shd w:fill="F2F5F8"/>
          </w:tcPr>
          <w:p>
            <w:pPr>
              <w:spacing w:before="60" w:after="60"/>
            </w:pPr>
            <w:r>
              <w:rPr>
                <w:sz w:val="19"/>
              </w:rPr>
              <w:t>CSITCP, 2023</w:t>
            </w:r>
          </w:p>
        </w:tc>
        <w:tc>
          <w:tcPr>
            <w:tcW w:type="dxa" w:w="1872"/>
            <w:tcMar>
              <w:top w:w="120" w:type="dxa"/>
              <w:bottom w:w="120" w:type="dxa"/>
              <w:left w:w="140" w:type="dxa"/>
              <w:right w:w="140" w:type="dxa"/>
            </w:tcMar>
            <w:shd w:fill="F2F5F8"/>
          </w:tcPr>
          <w:p>
            <w:pPr>
              <w:spacing w:before="60" w:after="60"/>
            </w:pPr>
            <w:r>
              <w:rPr>
                <w:sz w:val="19"/>
              </w:rPr>
              <w:t>C4.5 Decision Trees</w:t>
            </w:r>
          </w:p>
        </w:tc>
        <w:tc>
          <w:tcPr>
            <w:tcW w:type="dxa" w:w="1872"/>
            <w:tcMar>
              <w:top w:w="120" w:type="dxa"/>
              <w:bottom w:w="120" w:type="dxa"/>
              <w:left w:w="140" w:type="dxa"/>
              <w:right w:w="140" w:type="dxa"/>
            </w:tcMar>
            <w:shd w:fill="F2F5F8"/>
          </w:tcPr>
          <w:p>
            <w:pPr>
              <w:spacing w:before="60" w:after="60"/>
            </w:pPr>
            <w:r>
              <w:rPr>
                <w:sz w:val="19"/>
              </w:rPr>
              <w:t>Confirms tree models maintain high interpretability in fast-paced retail POS.</w:t>
            </w:r>
          </w:p>
        </w:tc>
      </w:tr>
      <w:tr>
        <w:tc>
          <w:tcPr>
            <w:tcW w:type="dxa" w:w="1872"/>
            <w:tcMar>
              <w:top w:w="120" w:type="dxa"/>
              <w:bottom w:w="120" w:type="dxa"/>
              <w:left w:w="140" w:type="dxa"/>
              <w:right w:w="140" w:type="dxa"/>
            </w:tcMar>
            <w:shd w:fill="FFFFFF"/>
          </w:tcPr>
          <w:p>
            <w:pPr>
              <w:spacing w:before="60" w:after="60"/>
            </w:pPr>
            <w:r>
              <w:rPr>
                <w:sz w:val="19"/>
              </w:rPr>
              <w:t>2</w:t>
            </w:r>
          </w:p>
        </w:tc>
        <w:tc>
          <w:tcPr>
            <w:tcW w:type="dxa" w:w="1872"/>
            <w:tcMar>
              <w:top w:w="120" w:type="dxa"/>
              <w:bottom w:w="120" w:type="dxa"/>
              <w:left w:w="140" w:type="dxa"/>
              <w:right w:w="140" w:type="dxa"/>
            </w:tcMar>
            <w:shd w:fill="FFFFFF"/>
          </w:tcPr>
          <w:p>
            <w:pPr>
              <w:spacing w:before="60" w:after="60"/>
            </w:pPr>
            <w:r>
              <w:rPr>
                <w:sz w:val="19"/>
              </w:rPr>
              <w:t>Customer Purchase Behavior Prediction in F&amp;B (Kumar &amp; Patel)</w:t>
            </w:r>
          </w:p>
        </w:tc>
        <w:tc>
          <w:tcPr>
            <w:tcW w:type="dxa" w:w="1872"/>
            <w:tcMar>
              <w:top w:w="120" w:type="dxa"/>
              <w:bottom w:w="120" w:type="dxa"/>
              <w:left w:w="140" w:type="dxa"/>
              <w:right w:w="140" w:type="dxa"/>
            </w:tcMar>
            <w:shd w:fill="FFFFFF"/>
          </w:tcPr>
          <w:p>
            <w:pPr>
              <w:spacing w:before="60" w:after="60"/>
            </w:pPr>
            <w:r>
              <w:rPr>
                <w:sz w:val="19"/>
              </w:rPr>
              <w:t>Adba Scientific, 2023</w:t>
            </w:r>
          </w:p>
        </w:tc>
        <w:tc>
          <w:tcPr>
            <w:tcW w:type="dxa" w:w="1872"/>
            <w:tcMar>
              <w:top w:w="120" w:type="dxa"/>
              <w:bottom w:w="120" w:type="dxa"/>
              <w:left w:w="140" w:type="dxa"/>
              <w:right w:w="140" w:type="dxa"/>
            </w:tcMar>
            <w:shd w:fill="FFFFFF"/>
          </w:tcPr>
          <w:p>
            <w:pPr>
              <w:spacing w:before="60" w:after="60"/>
            </w:pPr>
            <w:r>
              <w:rPr>
                <w:sz w:val="19"/>
              </w:rPr>
              <w:t>XGBoost &amp; Random Forest</w:t>
            </w:r>
          </w:p>
        </w:tc>
        <w:tc>
          <w:tcPr>
            <w:tcW w:type="dxa" w:w="1872"/>
            <w:tcMar>
              <w:top w:w="120" w:type="dxa"/>
              <w:bottom w:w="120" w:type="dxa"/>
              <w:left w:w="140" w:type="dxa"/>
              <w:right w:w="140" w:type="dxa"/>
            </w:tcMar>
            <w:shd w:fill="FFFFFF"/>
          </w:tcPr>
          <w:p>
            <w:pPr>
              <w:spacing w:before="60" w:after="60"/>
            </w:pPr>
            <w:r>
              <w:rPr>
                <w:sz w:val="19"/>
              </w:rPr>
              <w:t>Non-linear ensemble methods effectively capture multi-item basket interactions.</w:t>
            </w:r>
          </w:p>
        </w:tc>
      </w:tr>
      <w:tr>
        <w:tc>
          <w:tcPr>
            <w:tcW w:type="dxa" w:w="1872"/>
            <w:tcMar>
              <w:top w:w="120" w:type="dxa"/>
              <w:bottom w:w="120" w:type="dxa"/>
              <w:left w:w="140" w:type="dxa"/>
              <w:right w:w="140" w:type="dxa"/>
            </w:tcMar>
            <w:shd w:fill="F2F5F8"/>
          </w:tcPr>
          <w:p>
            <w:pPr>
              <w:spacing w:before="60" w:after="60"/>
            </w:pPr>
            <w:r>
              <w:rPr>
                <w:sz w:val="19"/>
              </w:rPr>
              <w:t>3</w:t>
            </w:r>
          </w:p>
        </w:tc>
        <w:tc>
          <w:tcPr>
            <w:tcW w:type="dxa" w:w="1872"/>
            <w:tcMar>
              <w:top w:w="120" w:type="dxa"/>
              <w:bottom w:w="120" w:type="dxa"/>
              <w:left w:w="140" w:type="dxa"/>
              <w:right w:w="140" w:type="dxa"/>
            </w:tcMar>
            <w:shd w:fill="F2F5F8"/>
          </w:tcPr>
          <w:p>
            <w:pPr>
              <w:spacing w:before="60" w:after="60"/>
            </w:pPr>
            <w:r>
              <w:rPr>
                <w:sz w:val="19"/>
              </w:rPr>
              <w:t>Machine Learning for Consumer Behavior: Systematic Review (Al-Haddad)</w:t>
            </w:r>
          </w:p>
        </w:tc>
        <w:tc>
          <w:tcPr>
            <w:tcW w:type="dxa" w:w="1872"/>
            <w:tcMar>
              <w:top w:w="120" w:type="dxa"/>
              <w:bottom w:w="120" w:type="dxa"/>
              <w:left w:w="140" w:type="dxa"/>
              <w:right w:w="140" w:type="dxa"/>
            </w:tcMar>
            <w:shd w:fill="F2F5F8"/>
          </w:tcPr>
          <w:p>
            <w:pPr>
              <w:spacing w:before="60" w:after="60"/>
            </w:pPr>
            <w:r>
              <w:rPr>
                <w:sz w:val="19"/>
              </w:rPr>
              <w:t>PMC / NIH, 2023</w:t>
            </w:r>
          </w:p>
        </w:tc>
        <w:tc>
          <w:tcPr>
            <w:tcW w:type="dxa" w:w="1872"/>
            <w:tcMar>
              <w:top w:w="120" w:type="dxa"/>
              <w:bottom w:w="120" w:type="dxa"/>
              <w:left w:w="140" w:type="dxa"/>
              <w:right w:w="140" w:type="dxa"/>
            </w:tcMar>
            <w:shd w:fill="F2F5F8"/>
          </w:tcPr>
          <w:p>
            <w:pPr>
              <w:spacing w:before="60" w:after="60"/>
            </w:pPr>
            <w:r>
              <w:rPr>
                <w:sz w:val="19"/>
              </w:rPr>
              <w:t>Systematic Review</w:t>
            </w:r>
          </w:p>
        </w:tc>
        <w:tc>
          <w:tcPr>
            <w:tcW w:type="dxa" w:w="1872"/>
            <w:tcMar>
              <w:top w:w="120" w:type="dxa"/>
              <w:bottom w:w="120" w:type="dxa"/>
              <w:left w:w="140" w:type="dxa"/>
              <w:right w:w="140" w:type="dxa"/>
            </w:tcMar>
            <w:shd w:fill="F2F5F8"/>
          </w:tcPr>
          <w:p>
            <w:pPr>
              <w:spacing w:before="60" w:after="60"/>
            </w:pPr>
            <w:r>
              <w:rPr>
                <w:sz w:val="19"/>
              </w:rPr>
              <w:t>Demonstrates that feature engineering (time of day, loyalty) outperforms raw model complexity.</w:t>
            </w:r>
          </w:p>
        </w:tc>
      </w:tr>
      <w:tr>
        <w:tc>
          <w:tcPr>
            <w:tcW w:type="dxa" w:w="1872"/>
            <w:tcMar>
              <w:top w:w="120" w:type="dxa"/>
              <w:bottom w:w="120" w:type="dxa"/>
              <w:left w:w="140" w:type="dxa"/>
              <w:right w:w="140" w:type="dxa"/>
            </w:tcMar>
            <w:shd w:fill="FFFFFF"/>
          </w:tcPr>
          <w:p>
            <w:pPr>
              <w:spacing w:before="60" w:after="60"/>
            </w:pPr>
            <w:r>
              <w:rPr>
                <w:sz w:val="19"/>
              </w:rPr>
              <w:t>4</w:t>
            </w:r>
          </w:p>
        </w:tc>
        <w:tc>
          <w:tcPr>
            <w:tcW w:type="dxa" w:w="1872"/>
            <w:tcMar>
              <w:top w:w="120" w:type="dxa"/>
              <w:bottom w:w="120" w:type="dxa"/>
              <w:left w:w="140" w:type="dxa"/>
              <w:right w:w="140" w:type="dxa"/>
            </w:tcMar>
            <w:shd w:fill="FFFFFF"/>
          </w:tcPr>
          <w:p>
            <w:pPr>
              <w:spacing w:before="60" w:after="60"/>
            </w:pPr>
            <w:r>
              <w:rPr>
                <w:sz w:val="19"/>
              </w:rPr>
              <w:t>Forecasting Sales in F&amp;B using CatBoost (Rodriguez et al.)</w:t>
            </w:r>
          </w:p>
        </w:tc>
        <w:tc>
          <w:tcPr>
            <w:tcW w:type="dxa" w:w="1872"/>
            <w:tcMar>
              <w:top w:w="120" w:type="dxa"/>
              <w:bottom w:w="120" w:type="dxa"/>
              <w:left w:w="140" w:type="dxa"/>
              <w:right w:w="140" w:type="dxa"/>
            </w:tcMar>
            <w:shd w:fill="FFFFFF"/>
          </w:tcPr>
          <w:p>
            <w:pPr>
              <w:spacing w:before="60" w:after="60"/>
            </w:pPr>
            <w:r>
              <w:rPr>
                <w:sz w:val="19"/>
              </w:rPr>
              <w:t>PLOS One, 2024</w:t>
            </w:r>
          </w:p>
        </w:tc>
        <w:tc>
          <w:tcPr>
            <w:tcW w:type="dxa" w:w="1872"/>
            <w:tcMar>
              <w:top w:w="120" w:type="dxa"/>
              <w:bottom w:w="120" w:type="dxa"/>
              <w:left w:w="140" w:type="dxa"/>
              <w:right w:w="140" w:type="dxa"/>
            </w:tcMar>
            <w:shd w:fill="FFFFFF"/>
          </w:tcPr>
          <w:p>
            <w:pPr>
              <w:spacing w:before="60" w:after="60"/>
            </w:pPr>
            <w:r>
              <w:rPr>
                <w:sz w:val="19"/>
              </w:rPr>
              <w:t>CatBoost vs. ARIMA</w:t>
            </w:r>
          </w:p>
        </w:tc>
        <w:tc>
          <w:tcPr>
            <w:tcW w:type="dxa" w:w="1872"/>
            <w:tcMar>
              <w:top w:w="120" w:type="dxa"/>
              <w:bottom w:w="120" w:type="dxa"/>
              <w:left w:w="140" w:type="dxa"/>
              <w:right w:w="140" w:type="dxa"/>
            </w:tcMar>
            <w:shd w:fill="FFFFFF"/>
          </w:tcPr>
          <w:p>
            <w:pPr>
              <w:spacing w:before="60" w:after="60"/>
            </w:pPr>
            <w:r>
              <w:rPr>
                <w:sz w:val="19"/>
              </w:rPr>
              <w:t>Hybrid econometric-ML models improve demand forecasting in perishable food retail.</w:t>
            </w:r>
          </w:p>
        </w:tc>
      </w:tr>
      <w:tr>
        <w:tc>
          <w:tcPr>
            <w:tcW w:type="dxa" w:w="1872"/>
            <w:tcMar>
              <w:top w:w="120" w:type="dxa"/>
              <w:bottom w:w="120" w:type="dxa"/>
              <w:left w:w="140" w:type="dxa"/>
              <w:right w:w="140" w:type="dxa"/>
            </w:tcMar>
            <w:shd w:fill="F2F5F8"/>
          </w:tcPr>
          <w:p>
            <w:pPr>
              <w:spacing w:before="60" w:after="60"/>
            </w:pPr>
            <w:r>
              <w:rPr>
                <w:sz w:val="19"/>
              </w:rPr>
              <w:t>5</w:t>
            </w:r>
          </w:p>
        </w:tc>
        <w:tc>
          <w:tcPr>
            <w:tcW w:type="dxa" w:w="1872"/>
            <w:tcMar>
              <w:top w:w="120" w:type="dxa"/>
              <w:bottom w:w="120" w:type="dxa"/>
              <w:left w:w="140" w:type="dxa"/>
              <w:right w:w="140" w:type="dxa"/>
            </w:tcMar>
            <w:shd w:fill="F2F5F8"/>
          </w:tcPr>
          <w:p>
            <w:pPr>
              <w:spacing w:before="60" w:after="60"/>
            </w:pPr>
            <w:r>
              <w:rPr>
                <w:sz w:val="19"/>
              </w:rPr>
              <w:t>AI and Precision Marketing in F&amp;B Chains (Zhang &amp; Liu)</w:t>
            </w:r>
          </w:p>
        </w:tc>
        <w:tc>
          <w:tcPr>
            <w:tcW w:type="dxa" w:w="1872"/>
            <w:tcMar>
              <w:top w:w="120" w:type="dxa"/>
              <w:bottom w:w="120" w:type="dxa"/>
              <w:left w:w="140" w:type="dxa"/>
              <w:right w:w="140" w:type="dxa"/>
            </w:tcMar>
            <w:shd w:fill="F2F5F8"/>
          </w:tcPr>
          <w:p>
            <w:pPr>
              <w:spacing w:before="60" w:after="60"/>
            </w:pPr>
            <w:r>
              <w:rPr>
                <w:sz w:val="19"/>
              </w:rPr>
              <w:t>Atlantis Press, 2023</w:t>
            </w:r>
          </w:p>
        </w:tc>
        <w:tc>
          <w:tcPr>
            <w:tcW w:type="dxa" w:w="1872"/>
            <w:tcMar>
              <w:top w:w="120" w:type="dxa"/>
              <w:bottom w:w="120" w:type="dxa"/>
              <w:left w:w="140" w:type="dxa"/>
              <w:right w:w="140" w:type="dxa"/>
            </w:tcMar>
            <w:shd w:fill="F2F5F8"/>
          </w:tcPr>
          <w:p>
            <w:pPr>
              <w:spacing w:before="60" w:after="60"/>
            </w:pPr>
            <w:r>
              <w:rPr>
                <w:sz w:val="19"/>
              </w:rPr>
              <w:t>Collaborative Filtering</w:t>
            </w:r>
          </w:p>
        </w:tc>
        <w:tc>
          <w:tcPr>
            <w:tcW w:type="dxa" w:w="1872"/>
            <w:tcMar>
              <w:top w:w="120" w:type="dxa"/>
              <w:bottom w:w="120" w:type="dxa"/>
              <w:left w:w="140" w:type="dxa"/>
              <w:right w:w="140" w:type="dxa"/>
            </w:tcMar>
            <w:shd w:fill="F2F5F8"/>
          </w:tcPr>
          <w:p>
            <w:pPr>
              <w:spacing w:before="60" w:after="60"/>
            </w:pPr>
            <w:r>
              <w:rPr>
                <w:sz w:val="19"/>
              </w:rPr>
              <w:t>Dynamic discount personalization lifts average order values by 12–18%.</w:t>
            </w:r>
          </w:p>
        </w:tc>
      </w:tr>
      <w:tr>
        <w:tc>
          <w:tcPr>
            <w:tcW w:type="dxa" w:w="1872"/>
            <w:tcMar>
              <w:top w:w="120" w:type="dxa"/>
              <w:bottom w:w="120" w:type="dxa"/>
              <w:left w:w="140" w:type="dxa"/>
              <w:right w:w="140" w:type="dxa"/>
            </w:tcMar>
            <w:shd w:fill="FFFFFF"/>
          </w:tcPr>
          <w:p>
            <w:pPr>
              <w:spacing w:before="60" w:after="60"/>
            </w:pPr>
            <w:r>
              <w:rPr>
                <w:sz w:val="19"/>
              </w:rPr>
              <w:t>6</w:t>
            </w:r>
          </w:p>
        </w:tc>
        <w:tc>
          <w:tcPr>
            <w:tcW w:type="dxa" w:w="1872"/>
            <w:tcMar>
              <w:top w:w="120" w:type="dxa"/>
              <w:bottom w:w="120" w:type="dxa"/>
              <w:left w:w="140" w:type="dxa"/>
              <w:right w:w="140" w:type="dxa"/>
            </w:tcMar>
            <w:shd w:fill="FFFFFF"/>
          </w:tcPr>
          <w:p>
            <w:pPr>
              <w:spacing w:before="60" w:after="60"/>
            </w:pPr>
            <w:r>
              <w:rPr>
                <w:sz w:val="19"/>
              </w:rPr>
              <w:t>Logistic Regression vs. Ensemble Models for Churn (Mishra et al.)</w:t>
            </w:r>
          </w:p>
        </w:tc>
        <w:tc>
          <w:tcPr>
            <w:tcW w:type="dxa" w:w="1872"/>
            <w:tcMar>
              <w:top w:w="120" w:type="dxa"/>
              <w:bottom w:w="120" w:type="dxa"/>
              <w:left w:w="140" w:type="dxa"/>
              <w:right w:w="140" w:type="dxa"/>
            </w:tcMar>
            <w:shd w:fill="FFFFFF"/>
          </w:tcPr>
          <w:p>
            <w:pPr>
              <w:spacing w:before="60" w:after="60"/>
            </w:pPr>
            <w:r>
              <w:rPr>
                <w:sz w:val="19"/>
              </w:rPr>
              <w:t>Emerald, 2022</w:t>
            </w:r>
          </w:p>
        </w:tc>
        <w:tc>
          <w:tcPr>
            <w:tcW w:type="dxa" w:w="1872"/>
            <w:tcMar>
              <w:top w:w="120" w:type="dxa"/>
              <w:bottom w:w="120" w:type="dxa"/>
              <w:left w:w="140" w:type="dxa"/>
              <w:right w:w="140" w:type="dxa"/>
            </w:tcMar>
            <w:shd w:fill="FFFFFF"/>
          </w:tcPr>
          <w:p>
            <w:pPr>
              <w:spacing w:before="60" w:after="60"/>
            </w:pPr>
            <w:r>
              <w:rPr>
                <w:sz w:val="19"/>
              </w:rPr>
              <w:t>Multinomial Logit</w:t>
            </w:r>
          </w:p>
        </w:tc>
        <w:tc>
          <w:tcPr>
            <w:tcW w:type="dxa" w:w="1872"/>
            <w:tcMar>
              <w:top w:w="120" w:type="dxa"/>
              <w:bottom w:w="120" w:type="dxa"/>
              <w:left w:w="140" w:type="dxa"/>
              <w:right w:w="140" w:type="dxa"/>
            </w:tcMar>
            <w:shd w:fill="FFFFFF"/>
          </w:tcPr>
          <w:p>
            <w:pPr>
              <w:spacing w:before="60" w:after="60"/>
            </w:pPr>
            <w:r>
              <w:rPr>
                <w:sz w:val="19"/>
              </w:rPr>
              <w:t>Generalized linear models provide superior coefficient explainability for board reporting.</w:t>
            </w:r>
          </w:p>
        </w:tc>
      </w:tr>
      <w:tr>
        <w:tc>
          <w:tcPr>
            <w:tcW w:type="dxa" w:w="1872"/>
            <w:tcMar>
              <w:top w:w="120" w:type="dxa"/>
              <w:bottom w:w="120" w:type="dxa"/>
              <w:left w:w="140" w:type="dxa"/>
              <w:right w:w="140" w:type="dxa"/>
            </w:tcMar>
            <w:shd w:fill="F2F5F8"/>
          </w:tcPr>
          <w:p>
            <w:pPr>
              <w:spacing w:before="60" w:after="60"/>
            </w:pPr>
            <w:r>
              <w:rPr>
                <w:sz w:val="19"/>
              </w:rPr>
              <w:t>7</w:t>
            </w:r>
          </w:p>
        </w:tc>
        <w:tc>
          <w:tcPr>
            <w:tcW w:type="dxa" w:w="1872"/>
            <w:tcMar>
              <w:top w:w="120" w:type="dxa"/>
              <w:bottom w:w="120" w:type="dxa"/>
              <w:left w:w="140" w:type="dxa"/>
              <w:right w:w="140" w:type="dxa"/>
            </w:tcMar>
            <w:shd w:fill="F2F5F8"/>
          </w:tcPr>
          <w:p>
            <w:pPr>
              <w:spacing w:before="60" w:after="60"/>
            </w:pPr>
            <w:r>
              <w:rPr>
                <w:sz w:val="19"/>
              </w:rPr>
              <w:t>Customer Loyalty Program Analysis in Restaurant Sector (O'Connor)</w:t>
            </w:r>
          </w:p>
        </w:tc>
        <w:tc>
          <w:tcPr>
            <w:tcW w:type="dxa" w:w="1872"/>
            <w:tcMar>
              <w:top w:w="120" w:type="dxa"/>
              <w:bottom w:w="120" w:type="dxa"/>
              <w:left w:w="140" w:type="dxa"/>
              <w:right w:w="140" w:type="dxa"/>
            </w:tcMar>
            <w:shd w:fill="F2F5F8"/>
          </w:tcPr>
          <w:p>
            <w:pPr>
              <w:spacing w:before="60" w:after="60"/>
            </w:pPr>
            <w:r>
              <w:rPr>
                <w:sz w:val="19"/>
              </w:rPr>
              <w:t>ResearchGate, 2023</w:t>
            </w:r>
          </w:p>
        </w:tc>
        <w:tc>
          <w:tcPr>
            <w:tcW w:type="dxa" w:w="1872"/>
            <w:tcMar>
              <w:top w:w="120" w:type="dxa"/>
              <w:bottom w:w="120" w:type="dxa"/>
              <w:left w:w="140" w:type="dxa"/>
              <w:right w:w="140" w:type="dxa"/>
            </w:tcMar>
            <w:shd w:fill="F2F5F8"/>
          </w:tcPr>
          <w:p>
            <w:pPr>
              <w:spacing w:before="60" w:after="60"/>
            </w:pPr>
            <w:r>
              <w:rPr>
                <w:sz w:val="19"/>
              </w:rPr>
              <w:t>Cohort Analysis</w:t>
            </w:r>
          </w:p>
        </w:tc>
        <w:tc>
          <w:tcPr>
            <w:tcW w:type="dxa" w:w="1872"/>
            <w:tcMar>
              <w:top w:w="120" w:type="dxa"/>
              <w:bottom w:w="120" w:type="dxa"/>
              <w:left w:w="140" w:type="dxa"/>
              <w:right w:w="140" w:type="dxa"/>
            </w:tcMar>
            <w:shd w:fill="F2F5F8"/>
          </w:tcPr>
          <w:p>
            <w:pPr>
              <w:spacing w:before="60" w:after="60"/>
            </w:pPr>
            <w:r>
              <w:rPr>
                <w:sz w:val="19"/>
              </w:rPr>
              <w:t>Loyalty club members demonstrate 25% lower price sensitivity to premium hot beverages.</w:t>
            </w:r>
          </w:p>
        </w:tc>
      </w:tr>
      <w:tr>
        <w:tc>
          <w:tcPr>
            <w:tcW w:type="dxa" w:w="1872"/>
            <w:tcMar>
              <w:top w:w="120" w:type="dxa"/>
              <w:bottom w:w="120" w:type="dxa"/>
              <w:left w:w="140" w:type="dxa"/>
              <w:right w:w="140" w:type="dxa"/>
            </w:tcMar>
            <w:shd w:fill="FFFFFF"/>
          </w:tcPr>
          <w:p>
            <w:pPr>
              <w:spacing w:before="60" w:after="60"/>
            </w:pPr>
            <w:r>
              <w:rPr>
                <w:sz w:val="19"/>
              </w:rPr>
              <w:t>8</w:t>
            </w:r>
          </w:p>
        </w:tc>
        <w:tc>
          <w:tcPr>
            <w:tcW w:type="dxa" w:w="1872"/>
            <w:tcMar>
              <w:top w:w="120" w:type="dxa"/>
              <w:bottom w:w="120" w:type="dxa"/>
              <w:left w:w="140" w:type="dxa"/>
              <w:right w:w="140" w:type="dxa"/>
            </w:tcMar>
            <w:shd w:fill="FFFFFF"/>
          </w:tcPr>
          <w:p>
            <w:pPr>
              <w:spacing w:before="60" w:after="60"/>
            </w:pPr>
            <w:r>
              <w:rPr>
                <w:sz w:val="19"/>
              </w:rPr>
              <w:t>Time-Series Demand Forecasting for Cafes Using ARIMA (Santos et al.)</w:t>
            </w:r>
          </w:p>
        </w:tc>
        <w:tc>
          <w:tcPr>
            <w:tcW w:type="dxa" w:w="1872"/>
            <w:tcMar>
              <w:top w:w="120" w:type="dxa"/>
              <w:bottom w:w="120" w:type="dxa"/>
              <w:left w:w="140" w:type="dxa"/>
              <w:right w:w="140" w:type="dxa"/>
            </w:tcMar>
            <w:shd w:fill="FFFFFF"/>
          </w:tcPr>
          <w:p>
            <w:pPr>
              <w:spacing w:before="60" w:after="60"/>
            </w:pPr>
            <w:r>
              <w:rPr>
                <w:sz w:val="19"/>
              </w:rPr>
              <w:t>ResearchGate, 2022</w:t>
            </w:r>
          </w:p>
        </w:tc>
        <w:tc>
          <w:tcPr>
            <w:tcW w:type="dxa" w:w="1872"/>
            <w:tcMar>
              <w:top w:w="120" w:type="dxa"/>
              <w:bottom w:w="120" w:type="dxa"/>
              <w:left w:w="140" w:type="dxa"/>
              <w:right w:w="140" w:type="dxa"/>
            </w:tcMar>
            <w:shd w:fill="FFFFFF"/>
          </w:tcPr>
          <w:p>
            <w:pPr>
              <w:spacing w:before="60" w:after="60"/>
            </w:pPr>
            <w:r>
              <w:rPr>
                <w:sz w:val="19"/>
              </w:rPr>
              <w:t>Seasonal ARIMA</w:t>
            </w:r>
          </w:p>
        </w:tc>
        <w:tc>
          <w:tcPr>
            <w:tcW w:type="dxa" w:w="1872"/>
            <w:tcMar>
              <w:top w:w="120" w:type="dxa"/>
              <w:bottom w:w="120" w:type="dxa"/>
              <w:left w:w="140" w:type="dxa"/>
              <w:right w:w="140" w:type="dxa"/>
            </w:tcMar>
            <w:shd w:fill="FFFFFF"/>
          </w:tcPr>
          <w:p>
            <w:pPr>
              <w:spacing w:before="60" w:after="60"/>
            </w:pPr>
            <w:r>
              <w:rPr>
                <w:sz w:val="19"/>
              </w:rPr>
              <w:t>7-day weekly seasonal differencing is necessary to avoid residual autocorrelation.</w:t>
            </w:r>
          </w:p>
        </w:tc>
      </w:tr>
      <w:tr>
        <w:tc>
          <w:tcPr>
            <w:tcW w:type="dxa" w:w="1872"/>
            <w:tcMar>
              <w:top w:w="120" w:type="dxa"/>
              <w:bottom w:w="120" w:type="dxa"/>
              <w:left w:w="140" w:type="dxa"/>
              <w:right w:w="140" w:type="dxa"/>
            </w:tcMar>
            <w:shd w:fill="F2F5F8"/>
          </w:tcPr>
          <w:p>
            <w:pPr>
              <w:spacing w:before="60" w:after="60"/>
            </w:pPr>
            <w:r>
              <w:rPr>
                <w:sz w:val="19"/>
              </w:rPr>
              <w:t>9</w:t>
            </w:r>
          </w:p>
        </w:tc>
        <w:tc>
          <w:tcPr>
            <w:tcW w:type="dxa" w:w="1872"/>
            <w:tcMar>
              <w:top w:w="120" w:type="dxa"/>
              <w:bottom w:w="120" w:type="dxa"/>
              <w:left w:w="140" w:type="dxa"/>
              <w:right w:w="140" w:type="dxa"/>
            </w:tcMar>
            <w:shd w:fill="F2F5F8"/>
          </w:tcPr>
          <w:p>
            <w:pPr>
              <w:spacing w:before="60" w:after="60"/>
            </w:pPr>
            <w:r>
              <w:rPr>
                <w:sz w:val="19"/>
              </w:rPr>
              <w:t>Principal Component Analysis for Customer Segmentation (Larsson)</w:t>
            </w:r>
          </w:p>
        </w:tc>
        <w:tc>
          <w:tcPr>
            <w:tcW w:type="dxa" w:w="1872"/>
            <w:tcMar>
              <w:top w:w="120" w:type="dxa"/>
              <w:bottom w:w="120" w:type="dxa"/>
              <w:left w:w="140" w:type="dxa"/>
              <w:right w:w="140" w:type="dxa"/>
            </w:tcMar>
            <w:shd w:fill="F2F5F8"/>
          </w:tcPr>
          <w:p>
            <w:pPr>
              <w:spacing w:before="60" w:after="60"/>
            </w:pPr>
            <w:r>
              <w:rPr>
                <w:sz w:val="19"/>
              </w:rPr>
              <w:t>DiVA Portal, 2023</w:t>
            </w:r>
          </w:p>
        </w:tc>
        <w:tc>
          <w:tcPr>
            <w:tcW w:type="dxa" w:w="1872"/>
            <w:tcMar>
              <w:top w:w="120" w:type="dxa"/>
              <w:bottom w:w="120" w:type="dxa"/>
              <w:left w:w="140" w:type="dxa"/>
              <w:right w:w="140" w:type="dxa"/>
            </w:tcMar>
            <w:shd w:fill="F2F5F8"/>
          </w:tcPr>
          <w:p>
            <w:pPr>
              <w:spacing w:before="60" w:after="60"/>
            </w:pPr>
            <w:r>
              <w:rPr>
                <w:sz w:val="19"/>
              </w:rPr>
              <w:t>PCA &amp; K-Means</w:t>
            </w:r>
          </w:p>
        </w:tc>
        <w:tc>
          <w:tcPr>
            <w:tcW w:type="dxa" w:w="1872"/>
            <w:tcMar>
              <w:top w:w="120" w:type="dxa"/>
              <w:bottom w:w="120" w:type="dxa"/>
              <w:left w:w="140" w:type="dxa"/>
              <w:right w:w="140" w:type="dxa"/>
            </w:tcMar>
            <w:shd w:fill="F2F5F8"/>
          </w:tcPr>
          <w:p>
            <w:pPr>
              <w:spacing w:before="60" w:after="60"/>
            </w:pPr>
            <w:r>
              <w:rPr>
                <w:sz w:val="19"/>
              </w:rPr>
              <w:t>Dimensionality reduction stabilizes continuous financial features but obscures categorical splits.</w:t>
            </w:r>
          </w:p>
        </w:tc>
      </w:tr>
      <w:tr>
        <w:tc>
          <w:tcPr>
            <w:tcW w:type="dxa" w:w="1872"/>
            <w:tcMar>
              <w:top w:w="120" w:type="dxa"/>
              <w:bottom w:w="120" w:type="dxa"/>
              <w:left w:w="140" w:type="dxa"/>
              <w:right w:w="140" w:type="dxa"/>
            </w:tcMar>
            <w:shd w:fill="FFFFFF"/>
          </w:tcPr>
          <w:p>
            <w:pPr>
              <w:spacing w:before="60" w:after="60"/>
            </w:pPr>
            <w:r>
              <w:rPr>
                <w:sz w:val="19"/>
              </w:rPr>
              <w:t>10</w:t>
            </w:r>
          </w:p>
        </w:tc>
        <w:tc>
          <w:tcPr>
            <w:tcW w:type="dxa" w:w="1872"/>
            <w:tcMar>
              <w:top w:w="120" w:type="dxa"/>
              <w:bottom w:w="120" w:type="dxa"/>
              <w:left w:w="140" w:type="dxa"/>
              <w:right w:w="140" w:type="dxa"/>
            </w:tcMar>
            <w:shd w:fill="FFFFFF"/>
          </w:tcPr>
          <w:p>
            <w:pPr>
              <w:spacing w:before="60" w:after="60"/>
            </w:pPr>
            <w:r>
              <w:rPr>
                <w:sz w:val="19"/>
              </w:rPr>
              <w:t>Bayesian Methods for Consumer Purchase Prediction (Gupta &amp; Rossi)</w:t>
            </w:r>
          </w:p>
        </w:tc>
        <w:tc>
          <w:tcPr>
            <w:tcW w:type="dxa" w:w="1872"/>
            <w:tcMar>
              <w:top w:w="120" w:type="dxa"/>
              <w:bottom w:w="120" w:type="dxa"/>
              <w:left w:w="140" w:type="dxa"/>
              <w:right w:w="140" w:type="dxa"/>
            </w:tcMar>
            <w:shd w:fill="FFFFFF"/>
          </w:tcPr>
          <w:p>
            <w:pPr>
              <w:spacing w:before="60" w:after="60"/>
            </w:pPr>
            <w:r>
              <w:rPr>
                <w:sz w:val="19"/>
              </w:rPr>
              <w:t>arXiv, 2022</w:t>
            </w:r>
          </w:p>
        </w:tc>
        <w:tc>
          <w:tcPr>
            <w:tcW w:type="dxa" w:w="1872"/>
            <w:tcMar>
              <w:top w:w="120" w:type="dxa"/>
              <w:bottom w:w="120" w:type="dxa"/>
              <w:left w:w="140" w:type="dxa"/>
              <w:right w:w="140" w:type="dxa"/>
            </w:tcMar>
            <w:shd w:fill="FFFFFF"/>
          </w:tcPr>
          <w:p>
            <w:pPr>
              <w:spacing w:before="60" w:after="60"/>
            </w:pPr>
            <w:r>
              <w:rPr>
                <w:sz w:val="19"/>
              </w:rPr>
              <w:t>Bayesian GLM &amp; MCMC</w:t>
            </w:r>
          </w:p>
        </w:tc>
        <w:tc>
          <w:tcPr>
            <w:tcW w:type="dxa" w:w="1872"/>
            <w:tcMar>
              <w:top w:w="120" w:type="dxa"/>
              <w:bottom w:w="120" w:type="dxa"/>
              <w:left w:w="140" w:type="dxa"/>
              <w:right w:w="140" w:type="dxa"/>
            </w:tcMar>
            <w:shd w:fill="FFFFFF"/>
          </w:tcPr>
          <w:p>
            <w:pPr>
              <w:spacing w:before="60" w:after="60"/>
            </w:pPr>
            <w:r>
              <w:rPr>
                <w:sz w:val="19"/>
              </w:rPr>
              <w:t>Bayesian priors prevent parameter distortion in newly opened outlets with sparse data.</w:t>
            </w:r>
          </w:p>
        </w:tc>
      </w:tr>
      <w:tr>
        <w:tc>
          <w:tcPr>
            <w:tcW w:type="dxa" w:w="1872"/>
            <w:tcMar>
              <w:top w:w="120" w:type="dxa"/>
              <w:bottom w:w="120" w:type="dxa"/>
              <w:left w:w="140" w:type="dxa"/>
              <w:right w:w="140" w:type="dxa"/>
            </w:tcMar>
            <w:shd w:fill="F2F5F8"/>
          </w:tcPr>
          <w:p>
            <w:pPr>
              <w:spacing w:before="60" w:after="60"/>
            </w:pPr>
            <w:r>
              <w:rPr>
                <w:sz w:val="19"/>
              </w:rPr>
              <w:t>11</w:t>
            </w:r>
          </w:p>
        </w:tc>
        <w:tc>
          <w:tcPr>
            <w:tcW w:type="dxa" w:w="1872"/>
            <w:tcMar>
              <w:top w:w="120" w:type="dxa"/>
              <w:bottom w:w="120" w:type="dxa"/>
              <w:left w:w="140" w:type="dxa"/>
              <w:right w:w="140" w:type="dxa"/>
            </w:tcMar>
            <w:shd w:fill="F2F5F8"/>
          </w:tcPr>
          <w:p>
            <w:pPr>
              <w:spacing w:before="60" w:after="60"/>
            </w:pPr>
            <w:r>
              <w:rPr>
                <w:sz w:val="19"/>
              </w:rPr>
              <w:t>Experimental Design in Marketing Analytics (Bradlow et al.)</w:t>
            </w:r>
          </w:p>
        </w:tc>
        <w:tc>
          <w:tcPr>
            <w:tcW w:type="dxa" w:w="1872"/>
            <w:tcMar>
              <w:top w:w="120" w:type="dxa"/>
              <w:bottom w:w="120" w:type="dxa"/>
              <w:left w:w="140" w:type="dxa"/>
              <w:right w:w="140" w:type="dxa"/>
            </w:tcMar>
            <w:shd w:fill="F2F5F8"/>
          </w:tcPr>
          <w:p>
            <w:pPr>
              <w:spacing w:before="60" w:after="60"/>
            </w:pPr>
            <w:r>
              <w:rPr>
                <w:sz w:val="19"/>
              </w:rPr>
              <w:t>J. Mark. Res., 2023</w:t>
            </w:r>
          </w:p>
        </w:tc>
        <w:tc>
          <w:tcPr>
            <w:tcW w:type="dxa" w:w="1872"/>
            <w:tcMar>
              <w:top w:w="120" w:type="dxa"/>
              <w:bottom w:w="120" w:type="dxa"/>
              <w:left w:w="140" w:type="dxa"/>
              <w:right w:w="140" w:type="dxa"/>
            </w:tcMar>
            <w:shd w:fill="F2F5F8"/>
          </w:tcPr>
          <w:p>
            <w:pPr>
              <w:spacing w:before="60" w:after="60"/>
            </w:pPr>
            <w:r>
              <w:rPr>
                <w:sz w:val="19"/>
              </w:rPr>
              <w:t>CRD vs. RCBD</w:t>
            </w:r>
          </w:p>
        </w:tc>
        <w:tc>
          <w:tcPr>
            <w:tcW w:type="dxa" w:w="1872"/>
            <w:tcMar>
              <w:top w:w="120" w:type="dxa"/>
              <w:bottom w:w="120" w:type="dxa"/>
              <w:left w:w="140" w:type="dxa"/>
              <w:right w:w="140" w:type="dxa"/>
            </w:tcMar>
            <w:shd w:fill="F2F5F8"/>
          </w:tcPr>
          <w:p>
            <w:pPr>
              <w:spacing w:before="60" w:after="60"/>
            </w:pPr>
            <w:r>
              <w:rPr>
                <w:sz w:val="19"/>
              </w:rPr>
              <w:t>Blocking by store location controls for unobserved foot-traffic confounding.</w:t>
            </w:r>
          </w:p>
        </w:tc>
      </w:tr>
      <w:tr>
        <w:tc>
          <w:tcPr>
            <w:tcW w:type="dxa" w:w="1872"/>
            <w:tcMar>
              <w:top w:w="120" w:type="dxa"/>
              <w:bottom w:w="120" w:type="dxa"/>
              <w:left w:w="140" w:type="dxa"/>
              <w:right w:w="140" w:type="dxa"/>
            </w:tcMar>
            <w:shd w:fill="FFFFFF"/>
          </w:tcPr>
          <w:p>
            <w:pPr>
              <w:spacing w:before="60" w:after="60"/>
            </w:pPr>
            <w:r>
              <w:rPr>
                <w:sz w:val="19"/>
              </w:rPr>
              <w:t>12</w:t>
            </w:r>
          </w:p>
        </w:tc>
        <w:tc>
          <w:tcPr>
            <w:tcW w:type="dxa" w:w="1872"/>
            <w:tcMar>
              <w:top w:w="120" w:type="dxa"/>
              <w:bottom w:w="120" w:type="dxa"/>
              <w:left w:w="140" w:type="dxa"/>
              <w:right w:w="140" w:type="dxa"/>
            </w:tcMar>
            <w:shd w:fill="FFFFFF"/>
          </w:tcPr>
          <w:p>
            <w:pPr>
              <w:spacing w:before="60" w:after="60"/>
            </w:pPr>
            <w:r>
              <w:rPr>
                <w:sz w:val="19"/>
              </w:rPr>
              <w:t>Food Product Demand Prediction Using Machine Learning (Gomez)</w:t>
            </w:r>
          </w:p>
        </w:tc>
        <w:tc>
          <w:tcPr>
            <w:tcW w:type="dxa" w:w="1872"/>
            <w:tcMar>
              <w:top w:w="120" w:type="dxa"/>
              <w:bottom w:w="120" w:type="dxa"/>
              <w:left w:w="140" w:type="dxa"/>
              <w:right w:w="140" w:type="dxa"/>
            </w:tcMar>
            <w:shd w:fill="FFFFFF"/>
          </w:tcPr>
          <w:p>
            <w:pPr>
              <w:spacing w:before="60" w:after="60"/>
            </w:pPr>
            <w:r>
              <w:rPr>
                <w:sz w:val="19"/>
              </w:rPr>
              <w:t>MDPI Foods, 2024</w:t>
            </w:r>
          </w:p>
        </w:tc>
        <w:tc>
          <w:tcPr>
            <w:tcW w:type="dxa" w:w="1872"/>
            <w:tcMar>
              <w:top w:w="120" w:type="dxa"/>
              <w:bottom w:w="120" w:type="dxa"/>
              <w:left w:w="140" w:type="dxa"/>
              <w:right w:w="140" w:type="dxa"/>
            </w:tcMar>
            <w:shd w:fill="FFFFFF"/>
          </w:tcPr>
          <w:p>
            <w:pPr>
              <w:spacing w:before="60" w:after="60"/>
            </w:pPr>
            <w:r>
              <w:rPr>
                <w:sz w:val="19"/>
              </w:rPr>
              <w:t>Random Forest</w:t>
            </w:r>
          </w:p>
        </w:tc>
        <w:tc>
          <w:tcPr>
            <w:tcW w:type="dxa" w:w="1872"/>
            <w:tcMar>
              <w:top w:w="120" w:type="dxa"/>
              <w:bottom w:w="120" w:type="dxa"/>
              <w:left w:w="140" w:type="dxa"/>
              <w:right w:w="140" w:type="dxa"/>
            </w:tcMar>
            <w:shd w:fill="FFFFFF"/>
          </w:tcPr>
          <w:p>
            <w:pPr>
              <w:spacing w:before="60" w:after="60"/>
            </w:pPr>
            <w:r>
              <w:rPr>
                <w:sz w:val="19"/>
              </w:rPr>
              <w:t>Supervised classification of product categories improves raw ingredient shelf-life planning.</w:t>
            </w:r>
          </w:p>
        </w:tc>
      </w:tr>
      <w:tr>
        <w:tc>
          <w:tcPr>
            <w:tcW w:type="dxa" w:w="1872"/>
            <w:tcMar>
              <w:top w:w="120" w:type="dxa"/>
              <w:bottom w:w="120" w:type="dxa"/>
              <w:left w:w="140" w:type="dxa"/>
              <w:right w:w="140" w:type="dxa"/>
            </w:tcMar>
            <w:shd w:fill="F2F5F8"/>
          </w:tcPr>
          <w:p>
            <w:pPr>
              <w:spacing w:before="60" w:after="60"/>
            </w:pPr>
            <w:r>
              <w:rPr>
                <w:sz w:val="19"/>
              </w:rPr>
              <w:t>13</w:t>
            </w:r>
          </w:p>
        </w:tc>
        <w:tc>
          <w:tcPr>
            <w:tcW w:type="dxa" w:w="1872"/>
            <w:tcMar>
              <w:top w:w="120" w:type="dxa"/>
              <w:bottom w:w="120" w:type="dxa"/>
              <w:left w:w="140" w:type="dxa"/>
              <w:right w:w="140" w:type="dxa"/>
            </w:tcMar>
            <w:shd w:fill="F2F5F8"/>
          </w:tcPr>
          <w:p>
            <w:pPr>
              <w:spacing w:before="60" w:after="60"/>
            </w:pPr>
            <w:r>
              <w:rPr>
                <w:sz w:val="19"/>
              </w:rPr>
              <w:t>SERVQUAL and Customer Satisfaction in Coffee Shops (Tan &amp; Lim)</w:t>
            </w:r>
          </w:p>
        </w:tc>
        <w:tc>
          <w:tcPr>
            <w:tcW w:type="dxa" w:w="1872"/>
            <w:tcMar>
              <w:top w:w="120" w:type="dxa"/>
              <w:bottom w:w="120" w:type="dxa"/>
              <w:left w:w="140" w:type="dxa"/>
              <w:right w:w="140" w:type="dxa"/>
            </w:tcMar>
            <w:shd w:fill="F2F5F8"/>
          </w:tcPr>
          <w:p>
            <w:pPr>
              <w:spacing w:before="60" w:after="60"/>
            </w:pPr>
            <w:r>
              <w:rPr>
                <w:sz w:val="19"/>
              </w:rPr>
              <w:t>ResearchGate, 2022</w:t>
            </w:r>
          </w:p>
        </w:tc>
        <w:tc>
          <w:tcPr>
            <w:tcW w:type="dxa" w:w="1872"/>
            <w:tcMar>
              <w:top w:w="120" w:type="dxa"/>
              <w:bottom w:w="120" w:type="dxa"/>
              <w:left w:w="140" w:type="dxa"/>
              <w:right w:w="140" w:type="dxa"/>
            </w:tcMar>
            <w:shd w:fill="F2F5F8"/>
          </w:tcPr>
          <w:p>
            <w:pPr>
              <w:spacing w:before="60" w:after="60"/>
            </w:pPr>
            <w:r>
              <w:rPr>
                <w:sz w:val="19"/>
              </w:rPr>
              <w:t>Structural Equation</w:t>
            </w:r>
          </w:p>
        </w:tc>
        <w:tc>
          <w:tcPr>
            <w:tcW w:type="dxa" w:w="1872"/>
            <w:tcMar>
              <w:top w:w="120" w:type="dxa"/>
              <w:bottom w:w="120" w:type="dxa"/>
              <w:left w:w="140" w:type="dxa"/>
              <w:right w:w="140" w:type="dxa"/>
            </w:tcMar>
            <w:shd w:fill="F2F5F8"/>
          </w:tcPr>
          <w:p>
            <w:pPr>
              <w:spacing w:before="60" w:after="60"/>
            </w:pPr>
            <w:r>
              <w:rPr>
                <w:sz w:val="19"/>
              </w:rPr>
              <w:t>Speed of checkout is the #1 determinant of customer return intent during breakfast rush.</w:t>
            </w:r>
          </w:p>
        </w:tc>
      </w:tr>
      <w:tr>
        <w:tc>
          <w:tcPr>
            <w:tcW w:type="dxa" w:w="1872"/>
            <w:tcMar>
              <w:top w:w="120" w:type="dxa"/>
              <w:bottom w:w="120" w:type="dxa"/>
              <w:left w:w="140" w:type="dxa"/>
              <w:right w:w="140" w:type="dxa"/>
            </w:tcMar>
            <w:shd w:fill="FFFFFF"/>
          </w:tcPr>
          <w:p>
            <w:pPr>
              <w:spacing w:before="60" w:after="60"/>
            </w:pPr>
            <w:r>
              <w:rPr>
                <w:sz w:val="19"/>
              </w:rPr>
              <w:t>14</w:t>
            </w:r>
          </w:p>
        </w:tc>
        <w:tc>
          <w:tcPr>
            <w:tcW w:type="dxa" w:w="1872"/>
            <w:tcMar>
              <w:top w:w="120" w:type="dxa"/>
              <w:bottom w:w="120" w:type="dxa"/>
              <w:left w:w="140" w:type="dxa"/>
              <w:right w:w="140" w:type="dxa"/>
            </w:tcMar>
            <w:shd w:fill="FFFFFF"/>
          </w:tcPr>
          <w:p>
            <w:pPr>
              <w:spacing w:before="60" w:after="60"/>
            </w:pPr>
            <w:r>
              <w:rPr>
                <w:sz w:val="19"/>
              </w:rPr>
              <w:t>AI-Driven Supply Chain for Food Waste Reduction (Van Der Berg)</w:t>
            </w:r>
          </w:p>
        </w:tc>
        <w:tc>
          <w:tcPr>
            <w:tcW w:type="dxa" w:w="1872"/>
            <w:tcMar>
              <w:top w:w="120" w:type="dxa"/>
              <w:bottom w:w="120" w:type="dxa"/>
              <w:left w:w="140" w:type="dxa"/>
              <w:right w:w="140" w:type="dxa"/>
            </w:tcMar>
            <w:shd w:fill="FFFFFF"/>
          </w:tcPr>
          <w:p>
            <w:pPr>
              <w:spacing w:before="60" w:after="60"/>
            </w:pPr>
            <w:r>
              <w:rPr>
                <w:sz w:val="19"/>
              </w:rPr>
              <w:t>MDPI Sustain., 2023</w:t>
            </w:r>
          </w:p>
        </w:tc>
        <w:tc>
          <w:tcPr>
            <w:tcW w:type="dxa" w:w="1872"/>
            <w:tcMar>
              <w:top w:w="120" w:type="dxa"/>
              <w:bottom w:w="120" w:type="dxa"/>
              <w:left w:w="140" w:type="dxa"/>
              <w:right w:w="140" w:type="dxa"/>
            </w:tcMar>
            <w:shd w:fill="FFFFFF"/>
          </w:tcPr>
          <w:p>
            <w:pPr>
              <w:spacing w:before="60" w:after="60"/>
            </w:pPr>
            <w:r>
              <w:rPr>
                <w:sz w:val="19"/>
              </w:rPr>
              <w:t>Predictive Replenish</w:t>
            </w:r>
          </w:p>
        </w:tc>
        <w:tc>
          <w:tcPr>
            <w:tcW w:type="dxa" w:w="1872"/>
            <w:tcMar>
              <w:top w:w="120" w:type="dxa"/>
              <w:bottom w:w="120" w:type="dxa"/>
              <w:left w:w="140" w:type="dxa"/>
              <w:right w:w="140" w:type="dxa"/>
            </w:tcMar>
            <w:shd w:fill="FFFFFF"/>
          </w:tcPr>
          <w:p>
            <w:pPr>
              <w:spacing w:before="60" w:after="60"/>
            </w:pPr>
            <w:r>
              <w:rPr>
                <w:sz w:val="19"/>
              </w:rPr>
              <w:t>Dynamic markdowns in late afternoon reduce bakery landfill waste by over 30%.</w:t>
            </w:r>
          </w:p>
        </w:tc>
      </w:tr>
      <w:tr>
        <w:tc>
          <w:tcPr>
            <w:tcW w:type="dxa" w:w="1872"/>
            <w:tcMar>
              <w:top w:w="120" w:type="dxa"/>
              <w:bottom w:w="120" w:type="dxa"/>
              <w:left w:w="140" w:type="dxa"/>
              <w:right w:w="140" w:type="dxa"/>
            </w:tcMar>
            <w:shd w:fill="F2F5F8"/>
          </w:tcPr>
          <w:p>
            <w:pPr>
              <w:spacing w:before="60" w:after="60"/>
            </w:pPr>
            <w:r>
              <w:rPr>
                <w:sz w:val="19"/>
              </w:rPr>
              <w:t>15</w:t>
            </w:r>
          </w:p>
        </w:tc>
        <w:tc>
          <w:tcPr>
            <w:tcW w:type="dxa" w:w="1872"/>
            <w:tcMar>
              <w:top w:w="120" w:type="dxa"/>
              <w:bottom w:w="120" w:type="dxa"/>
              <w:left w:w="140" w:type="dxa"/>
              <w:right w:w="140" w:type="dxa"/>
            </w:tcMar>
            <w:shd w:fill="F2F5F8"/>
          </w:tcPr>
          <w:p>
            <w:pPr>
              <w:spacing w:before="60" w:after="60"/>
            </w:pPr>
            <w:r>
              <w:rPr>
                <w:sz w:val="19"/>
              </w:rPr>
              <w:t>The Role of Digital Payments on Purchase Behavior (Silva &amp; Fernando)</w:t>
            </w:r>
          </w:p>
        </w:tc>
        <w:tc>
          <w:tcPr>
            <w:tcW w:type="dxa" w:w="1872"/>
            <w:tcMar>
              <w:top w:w="120" w:type="dxa"/>
              <w:bottom w:w="120" w:type="dxa"/>
              <w:left w:w="140" w:type="dxa"/>
              <w:right w:w="140" w:type="dxa"/>
            </w:tcMar>
            <w:shd w:fill="F2F5F8"/>
          </w:tcPr>
          <w:p>
            <w:pPr>
              <w:spacing w:before="60" w:after="60"/>
            </w:pPr>
            <w:r>
              <w:rPr>
                <w:sz w:val="19"/>
              </w:rPr>
              <w:t>SSRN / EconJour., 2023</w:t>
            </w:r>
          </w:p>
        </w:tc>
        <w:tc>
          <w:tcPr>
            <w:tcW w:type="dxa" w:w="1872"/>
            <w:tcMar>
              <w:top w:w="120" w:type="dxa"/>
              <w:bottom w:w="120" w:type="dxa"/>
              <w:left w:w="140" w:type="dxa"/>
              <w:right w:w="140" w:type="dxa"/>
            </w:tcMar>
            <w:shd w:fill="F2F5F8"/>
          </w:tcPr>
          <w:p>
            <w:pPr>
              <w:spacing w:before="60" w:after="60"/>
            </w:pPr>
            <w:r>
              <w:rPr>
                <w:sz w:val="19"/>
              </w:rPr>
              <w:t>Econometric Logit</w:t>
            </w:r>
          </w:p>
        </w:tc>
        <w:tc>
          <w:tcPr>
            <w:tcW w:type="dxa" w:w="1872"/>
            <w:tcMar>
              <w:top w:w="120" w:type="dxa"/>
              <w:bottom w:w="120" w:type="dxa"/>
              <w:left w:w="140" w:type="dxa"/>
              <w:right w:w="140" w:type="dxa"/>
            </w:tcMar>
            <w:shd w:fill="F2F5F8"/>
          </w:tcPr>
          <w:p>
            <w:pPr>
              <w:spacing w:before="60" w:after="60"/>
            </w:pPr>
            <w:r>
              <w:rPr>
                <w:sz w:val="19"/>
              </w:rPr>
              <w:t>Card and digital wallet users spend on average 15–20% more per transaction than cash payers.</w:t>
            </w:r>
          </w:p>
        </w:tc>
      </w:tr>
      <w:tr>
        <w:tc>
          <w:tcPr>
            <w:tcW w:type="dxa" w:w="1872"/>
            <w:tcMar>
              <w:top w:w="120" w:type="dxa"/>
              <w:bottom w:w="120" w:type="dxa"/>
              <w:left w:w="140" w:type="dxa"/>
              <w:right w:w="140" w:type="dxa"/>
            </w:tcMar>
            <w:shd w:fill="FFFFFF"/>
          </w:tcPr>
          <w:p>
            <w:pPr>
              <w:spacing w:before="60" w:after="60"/>
            </w:pPr>
            <w:r>
              <w:rPr>
                <w:sz w:val="19"/>
              </w:rPr>
              <w:t>16</w:t>
            </w:r>
          </w:p>
        </w:tc>
        <w:tc>
          <w:tcPr>
            <w:tcW w:type="dxa" w:w="1872"/>
            <w:tcMar>
              <w:top w:w="120" w:type="dxa"/>
              <w:bottom w:w="120" w:type="dxa"/>
              <w:left w:w="140" w:type="dxa"/>
              <w:right w:w="140" w:type="dxa"/>
            </w:tcMar>
            <w:shd w:fill="FFFFFF"/>
          </w:tcPr>
          <w:p>
            <w:pPr>
              <w:spacing w:before="60" w:after="60"/>
            </w:pPr>
            <w:r>
              <w:rPr>
                <w:sz w:val="19"/>
              </w:rPr>
              <w:t>Descriptive Analytics &amp; BI in Multi-Unit Chains (Grand View)</w:t>
            </w:r>
          </w:p>
        </w:tc>
        <w:tc>
          <w:tcPr>
            <w:tcW w:type="dxa" w:w="1872"/>
            <w:tcMar>
              <w:top w:w="120" w:type="dxa"/>
              <w:bottom w:w="120" w:type="dxa"/>
              <w:left w:w="140" w:type="dxa"/>
              <w:right w:w="140" w:type="dxa"/>
            </w:tcMar>
            <w:shd w:fill="FFFFFF"/>
          </w:tcPr>
          <w:p>
            <w:pPr>
              <w:spacing w:before="60" w:after="60"/>
            </w:pPr>
            <w:r>
              <w:rPr>
                <w:sz w:val="19"/>
              </w:rPr>
              <w:t>Industry Report, 2024</w:t>
            </w:r>
          </w:p>
        </w:tc>
        <w:tc>
          <w:tcPr>
            <w:tcW w:type="dxa" w:w="1872"/>
            <w:tcMar>
              <w:top w:w="120" w:type="dxa"/>
              <w:bottom w:w="120" w:type="dxa"/>
              <w:left w:w="140" w:type="dxa"/>
              <w:right w:w="140" w:type="dxa"/>
            </w:tcMar>
            <w:shd w:fill="FFFFFF"/>
          </w:tcPr>
          <w:p>
            <w:pPr>
              <w:spacing w:before="60" w:after="60"/>
            </w:pPr>
            <w:r>
              <w:rPr>
                <w:sz w:val="19"/>
              </w:rPr>
              <w:t>Telemetry &amp; KPI Benchmarks</w:t>
            </w:r>
          </w:p>
        </w:tc>
        <w:tc>
          <w:tcPr>
            <w:tcW w:type="dxa" w:w="1872"/>
            <w:tcMar>
              <w:top w:w="120" w:type="dxa"/>
              <w:bottom w:w="120" w:type="dxa"/>
              <w:left w:w="140" w:type="dxa"/>
              <w:right w:w="140" w:type="dxa"/>
            </w:tcMar>
            <w:shd w:fill="FFFFFF"/>
          </w:tcPr>
          <w:p>
            <w:pPr>
              <w:spacing w:before="60" w:after="60"/>
            </w:pPr>
            <w:r>
              <w:rPr>
                <w:sz w:val="19"/>
              </w:rPr>
              <w:t>Centralized POS integration delivers an average ROI payback within 6 months.</w:t>
            </w:r>
          </w:p>
        </w:tc>
      </w:tr>
    </w:tbl>
    <w:p/>
    <w:p>
      <w:pPr>
        <w:spacing w:before="240" w:after="80"/>
      </w:pPr>
      <w:r>
        <w:rPr>
          <w:rFonts w:ascii="Calibri" w:hAnsi="Calibri"/>
          <w:b/>
          <w:color w:val="323C50"/>
          <w:sz w:val="26"/>
        </w:rPr>
        <w:t>Research Gap &amp; Consultancy Justification</w:t>
      </w:r>
    </w:p>
    <w:p>
      <w:pPr>
        <w:spacing w:before="40" w:after="80" w:line="276" w:lineRule="auto"/>
      </w:pPr>
      <w:r>
        <w:rPr>
          <w:rFonts w:ascii="Calibri" w:hAnsi="Calibri"/>
        </w:rPr>
        <w:t>While existing studies explore either consumer product propensity or macro-level store forecasting in isolation, none synthesize micro-level register recommendation with macro-level daily supply chain replenishment. Our consultancy framework directly bridges this gap.</w:t>
      </w:r>
    </w:p>
    <w:p>
      <w:pPr>
        <w:spacing w:before="320" w:after="120"/>
      </w:pPr>
      <w:r>
        <w:rPr>
          <w:rFonts w:ascii="Calibri" w:hAnsi="Calibri"/>
          <w:b/>
          <w:color w:val="1F4E78"/>
          <w:sz w:val="32"/>
        </w:rPr>
        <w:t>Task 3: Dataset Understanding, Data Quality &amp; Descriptive Analytics</w:t>
      </w:r>
    </w:p>
    <w:p>
      <w:pPr>
        <w:spacing w:before="240" w:after="80"/>
      </w:pPr>
      <w:r>
        <w:rPr>
          <w:rFonts w:ascii="Calibri" w:hAnsi="Calibri"/>
          <w:b/>
          <w:color w:val="323C50"/>
          <w:sz w:val="26"/>
        </w:rPr>
        <w:t>3.1 Dataset Overview &amp; Provenance</w:t>
      </w:r>
    </w:p>
    <w:p>
      <w:pPr>
        <w:spacing w:before="40" w:after="80" w:line="276" w:lineRule="auto"/>
      </w:pPr>
      <w:r>
        <w:rPr>
          <w:rFonts w:ascii="Calibri" w:hAnsi="Calibri"/>
        </w:rPr>
        <w:t>The commercial transaction dataset provided by BladeGen Tech (</w:t>
      </w:r>
      <w:r>
        <w:rPr>
          <w:rFonts w:ascii="Consolas" w:hAnsi="Consolas"/>
          <w:color w:val="A0283C"/>
          <w:sz w:val="20"/>
        </w:rPr>
        <w:t>restaurant_transactions.csv</w:t>
      </w:r>
      <w:r>
        <w:rPr>
          <w:rFonts w:ascii="Calibri" w:hAnsi="Calibri"/>
        </w:rPr>
        <w:t>) spans 90 continuous operating days across the first quarter of 2026 (January 1, 2026 to March 31, 2026). The dataset comprises 29,465 clean transaction line items across 20,476 distinct customer orders collected across 80 retail outlets. Capturing empirical item prices, outlet market shares, customer segment proportions, and rush-hour density curves, this dataset provides a comprehensive empirical foundation for descriptive analytics, formal hypothesis inference, multi-class machine learning, and seasonal demand forecasting.</w:t>
      </w:r>
    </w:p>
    <w:p>
      <w:pPr>
        <w:spacing w:before="240" w:after="80"/>
      </w:pPr>
      <w:r>
        <w:rPr>
          <w:rFonts w:ascii="Calibri" w:hAnsi="Calibri"/>
          <w:b/>
          <w:color w:val="323C50"/>
          <w:sz w:val="26"/>
        </w:rPr>
        <w:t>3.2 Source Integrity &amp; Data Quality Audit</w:t>
      </w:r>
    </w:p>
    <w:p>
      <w:pPr>
        <w:spacing w:before="40" w:after="80" w:line="276" w:lineRule="auto"/>
      </w:pPr>
      <w:r>
        <w:rPr>
          <w:rFonts w:ascii="Calibri" w:hAnsi="Calibri"/>
        </w:rPr>
        <w:t xml:space="preserve">Prior to model training, a rigorous data provenance and integrity audit was executed in </w:t>
      </w:r>
      <w:r>
        <w:rPr>
          <w:rFonts w:ascii="Consolas" w:hAnsi="Consolas"/>
          <w:color w:val="A0283C"/>
          <w:sz w:val="20"/>
        </w:rPr>
        <w:t>01_data_cleaning.R</w:t>
      </w:r>
      <w:r>
        <w:rPr>
          <w:rFonts w:ascii="Calibri" w:hAnsi="Calibri"/>
        </w:rPr>
        <w:t xml:space="preserve"> (</w:t>
      </w:r>
      <w:r>
        <w:rPr>
          <w:rFonts w:ascii="Consolas" w:hAnsi="Consolas"/>
          <w:color w:val="A0283C"/>
          <w:sz w:val="20"/>
        </w:rPr>
        <w:t>01_source_audit.csv</w:t>
      </w:r>
      <w:r>
        <w:rPr>
          <w:rFonts w:ascii="Calibri" w:hAnsi="Calibri"/>
        </w:rPr>
        <w:t>):</w:t>
      </w:r>
    </w:p>
    <w:tbl>
      <w:tblPr>
        <w:tblW w:type="auto" w:w="0"/>
        <w:jc w:val="center"/>
        <w:tblLook w:firstColumn="1" w:firstRow="1" w:lastColumn="0" w:lastRow="0" w:noHBand="0" w:noVBand="1" w:val="04A0"/>
      </w:tblPr>
      <w:tblGrid>
        <w:gridCol w:w="3120"/>
        <w:gridCol w:w="3120"/>
        <w:gridCol w:w="3120"/>
      </w:tblGrid>
      <w:tr>
        <w:tc>
          <w:tcPr>
            <w:tcW w:type="dxa" w:w="3120"/>
            <w:tcMar>
              <w:top w:w="120" w:type="dxa"/>
              <w:bottom w:w="120" w:type="dxa"/>
              <w:left w:w="140" w:type="dxa"/>
              <w:right w:w="140" w:type="dxa"/>
            </w:tcMar>
            <w:shd w:fill="1F4E78"/>
          </w:tcPr>
          <w:p>
            <w:pPr>
              <w:spacing w:before="60" w:after="60"/>
            </w:pPr>
            <w:r>
              <w:rPr>
                <w:b/>
                <w:color w:val="FFFFFF"/>
                <w:sz w:val="20"/>
              </w:rPr>
              <w:t>Audit Metric</w:t>
            </w:r>
          </w:p>
        </w:tc>
        <w:tc>
          <w:tcPr>
            <w:tcW w:type="dxa" w:w="3120"/>
            <w:tcMar>
              <w:top w:w="120" w:type="dxa"/>
              <w:bottom w:w="120" w:type="dxa"/>
              <w:left w:w="140" w:type="dxa"/>
              <w:right w:w="140" w:type="dxa"/>
            </w:tcMar>
            <w:shd w:fill="1F4E78"/>
          </w:tcPr>
          <w:p>
            <w:pPr>
              <w:spacing w:before="60" w:after="60"/>
            </w:pPr>
            <w:r>
              <w:rPr>
                <w:b/>
                <w:color w:val="FFFFFF"/>
                <w:sz w:val="20"/>
              </w:rPr>
              <w:t>Observed Value</w:t>
            </w:r>
          </w:p>
        </w:tc>
        <w:tc>
          <w:tcPr>
            <w:tcW w:type="dxa" w:w="3120"/>
            <w:tcMar>
              <w:top w:w="120" w:type="dxa"/>
              <w:bottom w:w="120" w:type="dxa"/>
              <w:left w:w="140" w:type="dxa"/>
              <w:right w:w="140" w:type="dxa"/>
            </w:tcMar>
            <w:shd w:fill="1F4E78"/>
          </w:tcPr>
          <w:p>
            <w:pPr>
              <w:spacing w:before="60" w:after="60"/>
            </w:pPr>
            <w:r>
              <w:rPr>
                <w:b/>
                <w:color w:val="FFFFFF"/>
                <w:sz w:val="20"/>
              </w:rPr>
              <w:t>Quality Assessment &amp; Action Taken</w:t>
            </w:r>
          </w:p>
        </w:tc>
      </w:tr>
      <w:tr>
        <w:tc>
          <w:tcPr>
            <w:tcW w:type="dxa" w:w="3120"/>
            <w:tcMar>
              <w:top w:w="120" w:type="dxa"/>
              <w:bottom w:w="120" w:type="dxa"/>
              <w:left w:w="140" w:type="dxa"/>
              <w:right w:w="140" w:type="dxa"/>
            </w:tcMar>
            <w:shd w:fill="F2F5F8"/>
          </w:tcPr>
          <w:p>
            <w:pPr>
              <w:spacing w:before="60" w:after="60"/>
            </w:pPr>
            <w:r>
              <w:rPr>
                <w:sz w:val="19"/>
              </w:rPr>
              <w:t>Total Purchased Item Lines</w:t>
            </w:r>
          </w:p>
        </w:tc>
        <w:tc>
          <w:tcPr>
            <w:tcW w:type="dxa" w:w="3120"/>
            <w:tcMar>
              <w:top w:w="120" w:type="dxa"/>
              <w:bottom w:w="120" w:type="dxa"/>
              <w:left w:w="140" w:type="dxa"/>
              <w:right w:w="140" w:type="dxa"/>
            </w:tcMar>
            <w:shd w:fill="F2F5F8"/>
          </w:tcPr>
          <w:p>
            <w:pPr>
              <w:spacing w:before="60" w:after="60"/>
            </w:pPr>
            <w:r>
              <w:rPr>
                <w:sz w:val="19"/>
              </w:rPr>
              <w:t>29,465</w:t>
            </w:r>
          </w:p>
        </w:tc>
        <w:tc>
          <w:tcPr>
            <w:tcW w:type="dxa" w:w="3120"/>
            <w:tcMar>
              <w:top w:w="120" w:type="dxa"/>
              <w:bottom w:w="120" w:type="dxa"/>
              <w:left w:w="140" w:type="dxa"/>
              <w:right w:w="140" w:type="dxa"/>
            </w:tcMar>
            <w:shd w:fill="F2F5F8"/>
          </w:tcPr>
          <w:p>
            <w:pPr>
              <w:spacing w:before="60" w:after="60"/>
            </w:pPr>
            <w:r>
              <w:rPr>
                <w:sz w:val="19"/>
              </w:rPr>
              <w:t>Complete line-item transaction records verified.</w:t>
            </w:r>
          </w:p>
        </w:tc>
      </w:tr>
      <w:tr>
        <w:tc>
          <w:tcPr>
            <w:tcW w:type="dxa" w:w="3120"/>
            <w:tcMar>
              <w:top w:w="120" w:type="dxa"/>
              <w:bottom w:w="120" w:type="dxa"/>
              <w:left w:w="140" w:type="dxa"/>
              <w:right w:w="140" w:type="dxa"/>
            </w:tcMar>
            <w:shd w:fill="FFFFFF"/>
          </w:tcPr>
          <w:p>
            <w:pPr>
              <w:spacing w:before="60" w:after="60"/>
            </w:pPr>
            <w:r>
              <w:rPr>
                <w:sz w:val="19"/>
              </w:rPr>
              <w:t>Unique Transaction Orders</w:t>
            </w:r>
          </w:p>
        </w:tc>
        <w:tc>
          <w:tcPr>
            <w:tcW w:type="dxa" w:w="3120"/>
            <w:tcMar>
              <w:top w:w="120" w:type="dxa"/>
              <w:bottom w:w="120" w:type="dxa"/>
              <w:left w:w="140" w:type="dxa"/>
              <w:right w:w="140" w:type="dxa"/>
            </w:tcMar>
            <w:shd w:fill="FFFFFF"/>
          </w:tcPr>
          <w:p>
            <w:pPr>
              <w:spacing w:before="60" w:after="60"/>
            </w:pPr>
            <w:r>
              <w:rPr>
                <w:sz w:val="19"/>
              </w:rPr>
              <w:t>20,476</w:t>
            </w:r>
          </w:p>
        </w:tc>
        <w:tc>
          <w:tcPr>
            <w:tcW w:type="dxa" w:w="3120"/>
            <w:tcMar>
              <w:top w:w="120" w:type="dxa"/>
              <w:bottom w:w="120" w:type="dxa"/>
              <w:left w:w="140" w:type="dxa"/>
              <w:right w:w="140" w:type="dxa"/>
            </w:tcMar>
            <w:shd w:fill="FFFFFF"/>
          </w:tcPr>
          <w:p>
            <w:pPr>
              <w:spacing w:before="60" w:after="60"/>
            </w:pPr>
            <w:r>
              <w:rPr>
                <w:sz w:val="19"/>
              </w:rPr>
              <w:t>Unique basket order IDs validated.</w:t>
            </w:r>
          </w:p>
        </w:tc>
      </w:tr>
      <w:tr>
        <w:tc>
          <w:tcPr>
            <w:tcW w:type="dxa" w:w="3120"/>
            <w:tcMar>
              <w:top w:w="120" w:type="dxa"/>
              <w:bottom w:w="120" w:type="dxa"/>
              <w:left w:w="140" w:type="dxa"/>
              <w:right w:w="140" w:type="dxa"/>
            </w:tcMar>
            <w:shd w:fill="F2F5F8"/>
          </w:tcPr>
          <w:p>
            <w:pPr>
              <w:spacing w:before="60" w:after="60"/>
            </w:pPr>
            <w:r>
              <w:rPr>
                <w:sz w:val="19"/>
              </w:rPr>
              <w:t>Unique Identified Customers</w:t>
            </w:r>
          </w:p>
        </w:tc>
        <w:tc>
          <w:tcPr>
            <w:tcW w:type="dxa" w:w="3120"/>
            <w:tcMar>
              <w:top w:w="120" w:type="dxa"/>
              <w:bottom w:w="120" w:type="dxa"/>
              <w:left w:w="140" w:type="dxa"/>
              <w:right w:w="140" w:type="dxa"/>
            </w:tcMar>
            <w:shd w:fill="F2F5F8"/>
          </w:tcPr>
          <w:p>
            <w:pPr>
              <w:spacing w:before="60" w:after="60"/>
            </w:pPr>
            <w:r>
              <w:rPr>
                <w:sz w:val="19"/>
              </w:rPr>
              <w:t>1,492</w:t>
            </w:r>
          </w:p>
        </w:tc>
        <w:tc>
          <w:tcPr>
            <w:tcW w:type="dxa" w:w="3120"/>
            <w:tcMar>
              <w:top w:w="120" w:type="dxa"/>
              <w:bottom w:w="120" w:type="dxa"/>
              <w:left w:w="140" w:type="dxa"/>
              <w:right w:w="140" w:type="dxa"/>
            </w:tcMar>
            <w:shd w:fill="F2F5F8"/>
          </w:tcPr>
          <w:p>
            <w:pPr>
              <w:spacing w:before="60" w:after="60"/>
            </w:pPr>
            <w:r>
              <w:rPr>
                <w:sz w:val="19"/>
              </w:rPr>
              <w:t>Pseudonymized loyalty customer IDs parsed.</w:t>
            </w:r>
          </w:p>
        </w:tc>
      </w:tr>
      <w:tr>
        <w:tc>
          <w:tcPr>
            <w:tcW w:type="dxa" w:w="3120"/>
            <w:tcMar>
              <w:top w:w="120" w:type="dxa"/>
              <w:bottom w:w="120" w:type="dxa"/>
              <w:left w:w="140" w:type="dxa"/>
              <w:right w:w="140" w:type="dxa"/>
            </w:tcMar>
            <w:shd w:fill="FFFFFF"/>
          </w:tcPr>
          <w:p>
            <w:pPr>
              <w:spacing w:before="60" w:after="60"/>
            </w:pPr>
            <w:r>
              <w:rPr>
                <w:sz w:val="19"/>
              </w:rPr>
              <w:t>Distinct Menu Products</w:t>
            </w:r>
          </w:p>
        </w:tc>
        <w:tc>
          <w:tcPr>
            <w:tcW w:type="dxa" w:w="3120"/>
            <w:tcMar>
              <w:top w:w="120" w:type="dxa"/>
              <w:bottom w:w="120" w:type="dxa"/>
              <w:left w:w="140" w:type="dxa"/>
              <w:right w:w="140" w:type="dxa"/>
            </w:tcMar>
            <w:shd w:fill="FFFFFF"/>
          </w:tcPr>
          <w:p>
            <w:pPr>
              <w:spacing w:before="60" w:after="60"/>
            </w:pPr>
            <w:r>
              <w:rPr>
                <w:sz w:val="19"/>
              </w:rPr>
              <w:t>15 items</w:t>
            </w:r>
          </w:p>
        </w:tc>
        <w:tc>
          <w:tcPr>
            <w:tcW w:type="dxa" w:w="3120"/>
            <w:tcMar>
              <w:top w:w="120" w:type="dxa"/>
              <w:bottom w:w="120" w:type="dxa"/>
              <w:left w:w="140" w:type="dxa"/>
              <w:right w:w="140" w:type="dxa"/>
            </w:tcMar>
            <w:shd w:fill="FFFFFF"/>
          </w:tcPr>
          <w:p>
            <w:pPr>
              <w:spacing w:before="60" w:after="60"/>
            </w:pPr>
            <w:r>
              <w:rPr>
                <w:sz w:val="19"/>
              </w:rPr>
              <w:t>100% item name consistency across all transaction logs.</w:t>
            </w:r>
          </w:p>
        </w:tc>
      </w:tr>
      <w:tr>
        <w:tc>
          <w:tcPr>
            <w:tcW w:type="dxa" w:w="3120"/>
            <w:tcMar>
              <w:top w:w="120" w:type="dxa"/>
              <w:bottom w:w="120" w:type="dxa"/>
              <w:left w:w="140" w:type="dxa"/>
              <w:right w:w="140" w:type="dxa"/>
            </w:tcMar>
            <w:shd w:fill="F2F5F8"/>
          </w:tcPr>
          <w:p>
            <w:pPr>
              <w:spacing w:before="60" w:after="60"/>
            </w:pPr>
            <w:r>
              <w:rPr>
                <w:sz w:val="19"/>
              </w:rPr>
              <w:t>Order Date Consistency</w:t>
            </w:r>
          </w:p>
        </w:tc>
        <w:tc>
          <w:tcPr>
            <w:tcW w:type="dxa" w:w="3120"/>
            <w:tcMar>
              <w:top w:w="120" w:type="dxa"/>
              <w:bottom w:w="120" w:type="dxa"/>
              <w:left w:w="140" w:type="dxa"/>
              <w:right w:w="140" w:type="dxa"/>
            </w:tcMar>
            <w:shd w:fill="F2F5F8"/>
          </w:tcPr>
          <w:p>
            <w:pPr>
              <w:spacing w:before="60" w:after="60"/>
            </w:pPr>
            <w:r>
              <w:rPr>
                <w:sz w:val="19"/>
              </w:rPr>
              <w:t>20,476 (100%)</w:t>
            </w:r>
          </w:p>
        </w:tc>
        <w:tc>
          <w:tcPr>
            <w:tcW w:type="dxa" w:w="3120"/>
            <w:tcMar>
              <w:top w:w="120" w:type="dxa"/>
              <w:bottom w:w="120" w:type="dxa"/>
              <w:left w:w="140" w:type="dxa"/>
              <w:right w:w="140" w:type="dxa"/>
            </w:tcMar>
            <w:shd w:fill="F2F5F8"/>
          </w:tcPr>
          <w:p>
            <w:pPr>
              <w:spacing w:before="60" w:after="60"/>
            </w:pPr>
            <w:r>
              <w:rPr>
                <w:sz w:val="19"/>
              </w:rPr>
              <w:t>0 cross-date order conflicts detected.</w:t>
            </w:r>
          </w:p>
        </w:tc>
      </w:tr>
      <w:tr>
        <w:tc>
          <w:tcPr>
            <w:tcW w:type="dxa" w:w="3120"/>
            <w:tcMar>
              <w:top w:w="120" w:type="dxa"/>
              <w:bottom w:w="120" w:type="dxa"/>
              <w:left w:w="140" w:type="dxa"/>
              <w:right w:w="140" w:type="dxa"/>
            </w:tcMar>
            <w:shd w:fill="FFFFFF"/>
          </w:tcPr>
          <w:p>
            <w:pPr>
              <w:spacing w:before="60" w:after="60"/>
            </w:pPr>
            <w:r>
              <w:rPr>
                <w:sz w:val="19"/>
              </w:rPr>
              <w:t>Multi-Payment Discrepancies</w:t>
            </w:r>
          </w:p>
        </w:tc>
        <w:tc>
          <w:tcPr>
            <w:tcW w:type="dxa" w:w="3120"/>
            <w:tcMar>
              <w:top w:w="120" w:type="dxa"/>
              <w:bottom w:w="120" w:type="dxa"/>
              <w:left w:w="140" w:type="dxa"/>
              <w:right w:w="140" w:type="dxa"/>
            </w:tcMar>
            <w:shd w:fill="FFFFFF"/>
          </w:tcPr>
          <w:p>
            <w:pPr>
              <w:spacing w:before="60" w:after="60"/>
            </w:pPr>
            <w:r>
              <w:rPr>
                <w:sz w:val="19"/>
              </w:rPr>
              <w:t>0 conflicts</w:t>
            </w:r>
          </w:p>
        </w:tc>
        <w:tc>
          <w:tcPr>
            <w:tcW w:type="dxa" w:w="3120"/>
            <w:tcMar>
              <w:top w:w="120" w:type="dxa"/>
              <w:bottom w:w="120" w:type="dxa"/>
              <w:left w:w="140" w:type="dxa"/>
              <w:right w:w="140" w:type="dxa"/>
            </w:tcMar>
            <w:shd w:fill="FFFFFF"/>
          </w:tcPr>
          <w:p>
            <w:pPr>
              <w:spacing w:before="60" w:after="60"/>
            </w:pPr>
            <w:r>
              <w:rPr>
                <w:sz w:val="19"/>
              </w:rPr>
              <w:t>Payment method field verified consistent per order.</w:t>
            </w:r>
          </w:p>
        </w:tc>
      </w:tr>
      <w:tr>
        <w:tc>
          <w:tcPr>
            <w:tcW w:type="dxa" w:w="3120"/>
            <w:tcMar>
              <w:top w:w="120" w:type="dxa"/>
              <w:bottom w:w="120" w:type="dxa"/>
              <w:left w:w="140" w:type="dxa"/>
              <w:right w:w="140" w:type="dxa"/>
            </w:tcMar>
            <w:shd w:fill="F2F5F8"/>
          </w:tcPr>
          <w:p>
            <w:pPr>
              <w:spacing w:before="60" w:after="60"/>
            </w:pPr>
            <w:r>
              <w:rPr>
                <w:sz w:val="19"/>
              </w:rPr>
              <w:t>Category Label Sanitization</w:t>
            </w:r>
          </w:p>
        </w:tc>
        <w:tc>
          <w:tcPr>
            <w:tcW w:type="dxa" w:w="3120"/>
            <w:tcMar>
              <w:top w:w="120" w:type="dxa"/>
              <w:bottom w:w="120" w:type="dxa"/>
              <w:left w:w="140" w:type="dxa"/>
              <w:right w:w="140" w:type="dxa"/>
            </w:tcMar>
            <w:shd w:fill="F2F5F8"/>
          </w:tcPr>
          <w:p>
            <w:pPr>
              <w:spacing w:before="60" w:after="60"/>
            </w:pPr>
            <w:r>
              <w:rPr>
                <w:sz w:val="19"/>
              </w:rPr>
              <w:t>Mapped</w:t>
            </w:r>
          </w:p>
        </w:tc>
        <w:tc>
          <w:tcPr>
            <w:tcW w:type="dxa" w:w="3120"/>
            <w:tcMar>
              <w:top w:w="120" w:type="dxa"/>
              <w:bottom w:w="120" w:type="dxa"/>
              <w:left w:w="140" w:type="dxa"/>
              <w:right w:w="140" w:type="dxa"/>
            </w:tcMar>
            <w:shd w:fill="F2F5F8"/>
          </w:tcPr>
          <w:p>
            <w:pPr>
              <w:spacing w:before="60" w:after="60"/>
            </w:pPr>
            <w:r>
              <w:rPr>
                <w:sz w:val="19"/>
              </w:rPr>
              <w:t>Standardized inconsistent raw tags (e.g. Mocha mapped strictly to Beverage).</w:t>
            </w:r>
          </w:p>
        </w:tc>
      </w:tr>
      <w:tr>
        <w:tc>
          <w:tcPr>
            <w:tcW w:type="dxa" w:w="3120"/>
            <w:tcMar>
              <w:top w:w="120" w:type="dxa"/>
              <w:bottom w:w="120" w:type="dxa"/>
              <w:left w:w="140" w:type="dxa"/>
              <w:right w:w="140" w:type="dxa"/>
            </w:tcMar>
            <w:shd w:fill="FFFFFF"/>
          </w:tcPr>
          <w:p>
            <w:pPr>
              <w:spacing w:before="60" w:after="60"/>
            </w:pPr>
            <w:r>
              <w:rPr>
                <w:sz w:val="19"/>
              </w:rPr>
              <w:t>Missing Contact / PII Data</w:t>
            </w:r>
          </w:p>
        </w:tc>
        <w:tc>
          <w:tcPr>
            <w:tcW w:type="dxa" w:w="3120"/>
            <w:tcMar>
              <w:top w:w="120" w:type="dxa"/>
              <w:bottom w:w="120" w:type="dxa"/>
              <w:left w:w="140" w:type="dxa"/>
              <w:right w:w="140" w:type="dxa"/>
            </w:tcMar>
            <w:shd w:fill="FFFFFF"/>
          </w:tcPr>
          <w:p>
            <w:pPr>
              <w:spacing w:before="60" w:after="60"/>
            </w:pPr>
            <w:r>
              <w:rPr>
                <w:sz w:val="19"/>
              </w:rPr>
              <w:t>Excluded</w:t>
            </w:r>
          </w:p>
        </w:tc>
        <w:tc>
          <w:tcPr>
            <w:tcW w:type="dxa" w:w="3120"/>
            <w:tcMar>
              <w:top w:w="120" w:type="dxa"/>
              <w:bottom w:w="120" w:type="dxa"/>
              <w:left w:w="140" w:type="dxa"/>
              <w:right w:w="140" w:type="dxa"/>
            </w:tcMar>
            <w:shd w:fill="FFFFFF"/>
          </w:tcPr>
          <w:p>
            <w:pPr>
              <w:spacing w:before="60" w:after="60"/>
            </w:pPr>
            <w:r>
              <w:rPr>
                <w:sz w:val="19"/>
              </w:rPr>
              <w:t>Empty AddressLine1 and Contact No purged in compliance with data privacy.</w:t>
            </w:r>
          </w:p>
        </w:tc>
      </w:tr>
    </w:tbl>
    <w:p/>
    <w:p>
      <w:pPr>
        <w:spacing w:before="240" w:after="80"/>
      </w:pPr>
      <w:r>
        <w:rPr>
          <w:rFonts w:ascii="Calibri" w:hAnsi="Calibri"/>
          <w:b/>
          <w:color w:val="323C50"/>
          <w:sz w:val="26"/>
        </w:rPr>
        <w:t>3.3 Feature Matrix &amp; Feature Engineering</w:t>
      </w:r>
    </w:p>
    <w:p>
      <w:pPr>
        <w:spacing w:before="40" w:after="80" w:line="276" w:lineRule="auto"/>
      </w:pPr>
      <w:r>
        <w:rPr>
          <w:rFonts w:ascii="Calibri" w:hAnsi="Calibri"/>
        </w:rPr>
        <w:t xml:space="preserve">Data preprocessing was executed in </w:t>
      </w:r>
      <w:r>
        <w:rPr>
          <w:rFonts w:ascii="Consolas" w:hAnsi="Consolas"/>
          <w:color w:val="A0283C"/>
          <w:sz w:val="20"/>
        </w:rPr>
        <w:t>01_data_cleaning.R</w:t>
      </w:r>
      <w:r>
        <w:rPr>
          <w:rFonts w:ascii="Calibri" w:hAnsi="Calibri"/>
        </w:rPr>
        <w:t>:</w:t>
      </w:r>
    </w:p>
    <w:p>
      <w:pPr>
        <w:pStyle w:val="ListBullet"/>
        <w:spacing w:before="30" w:after="50"/>
      </w:pPr>
      <w:r>
        <w:rPr>
          <w:rFonts w:ascii="Calibri" w:hAnsi="Calibri"/>
        </w:rPr>
        <w:t>Date and time features were parsed into ISO date formats and 24-hour time ranges.</w:t>
      </w:r>
    </w:p>
    <w:p>
      <w:pPr>
        <w:pStyle w:val="ListBullet"/>
        <w:spacing w:before="30" w:after="50"/>
      </w:pPr>
      <w:r>
        <w:rPr>
          <w:rFonts w:ascii="Consolas" w:hAnsi="Consolas"/>
          <w:color w:val="A0283C"/>
          <w:sz w:val="20"/>
        </w:rPr>
        <w:t>OrderType</w:t>
      </w:r>
      <w:r>
        <w:rPr>
          <w:rFonts w:ascii="Calibri" w:hAnsi="Calibri"/>
        </w:rPr>
        <w:t xml:space="preserve"> was cleaned and standardized (</w:t>
      </w:r>
      <w:r>
        <w:rPr>
          <w:rFonts w:ascii="Consolas" w:hAnsi="Consolas"/>
          <w:color w:val="A0283C"/>
          <w:sz w:val="20"/>
        </w:rPr>
        <w:t>Dine-In</w:t>
      </w:r>
      <w:r>
        <w:rPr>
          <w:rFonts w:ascii="Calibri" w:hAnsi="Calibri"/>
        </w:rPr>
        <w:t xml:space="preserve"> vs. </w:t>
      </w:r>
      <w:r>
        <w:rPr>
          <w:rFonts w:ascii="Consolas" w:hAnsi="Consolas"/>
          <w:color w:val="A0283C"/>
          <w:sz w:val="20"/>
        </w:rPr>
        <w:t>Takeaway</w:t>
      </w:r>
      <w:r>
        <w:rPr>
          <w:rFonts w:ascii="Calibri" w:hAnsi="Calibri"/>
        </w:rPr>
        <w:t>).</w:t>
      </w:r>
    </w:p>
    <w:p>
      <w:pPr>
        <w:pStyle w:val="ListBullet"/>
        <w:spacing w:before="30" w:after="50"/>
      </w:pPr>
      <w:r>
        <w:rPr>
          <w:rFonts w:ascii="Calibri" w:hAnsi="Calibri"/>
        </w:rPr>
        <w:t xml:space="preserve">Missing values in </w:t>
      </w:r>
      <w:r>
        <w:rPr>
          <w:rFonts w:ascii="Consolas" w:hAnsi="Consolas"/>
          <w:color w:val="A0283C"/>
          <w:sz w:val="20"/>
        </w:rPr>
        <w:t>CustomerLoyaltyNumber</w:t>
      </w:r>
      <w:r>
        <w:rPr>
          <w:rFonts w:ascii="Calibri" w:hAnsi="Calibri"/>
        </w:rPr>
        <w:t xml:space="preserve"> were encoded into a binary indicator (</w:t>
      </w:r>
      <w:r>
        <w:rPr>
          <w:rFonts w:ascii="Consolas" w:hAnsi="Consolas"/>
          <w:color w:val="A0283C"/>
          <w:sz w:val="20"/>
        </w:rPr>
        <w:t>IsLoyaltyMember</w:t>
      </w:r>
      <w:r>
        <w:rPr>
          <w:rFonts w:ascii="Calibri" w:hAnsi="Calibri"/>
        </w:rPr>
        <w:t>).</w:t>
      </w:r>
    </w:p>
    <w:p>
      <w:pPr>
        <w:pStyle w:val="ListBullet"/>
        <w:spacing w:before="30" w:after="50"/>
      </w:pPr>
      <w:r>
        <w:rPr>
          <w:rFonts w:ascii="Calibri" w:hAnsi="Calibri"/>
        </w:rPr>
        <w:t xml:space="preserve">Continuous </w:t>
      </w:r>
      <w:r>
        <w:rPr>
          <w:rFonts w:ascii="Consolas" w:hAnsi="Consolas"/>
          <w:color w:val="A0283C"/>
          <w:sz w:val="20"/>
        </w:rPr>
        <w:t>Revenue</w:t>
      </w:r>
      <w:r>
        <w:rPr>
          <w:rFonts w:ascii="Calibri" w:hAnsi="Calibri"/>
        </w:rPr>
        <w:t xml:space="preserve"> was engineered: </w:t>
      </w:r>
      <w:r>
        <w:rPr>
          <w:rFonts w:ascii="Consolas" w:hAnsi="Consolas"/>
          <w:color w:val="A0283C"/>
          <w:sz w:val="20"/>
        </w:rPr>
        <w:t>Revenue = (AdjustedRate × Qty1) - Discount</w:t>
      </w:r>
      <w:r>
        <w:rPr>
          <w:rFonts w:ascii="Calibri" w:hAnsi="Calibri"/>
        </w:rPr>
        <w:t>.</w:t>
      </w:r>
    </w:p>
    <w:p>
      <w:pPr>
        <w:pStyle w:val="ListBullet"/>
        <w:spacing w:before="30" w:after="50"/>
      </w:pPr>
      <w:r>
        <w:rPr>
          <w:rFonts w:ascii="Consolas" w:hAnsi="Consolas"/>
          <w:color w:val="A0283C"/>
          <w:sz w:val="20"/>
        </w:rPr>
        <w:t>TotalBill</w:t>
      </w:r>
      <w:r>
        <w:rPr>
          <w:rFonts w:ascii="Calibri" w:hAnsi="Calibri"/>
        </w:rPr>
        <w:t xml:space="preserve"> was calculated: </w:t>
      </w:r>
      <w:r>
        <w:rPr>
          <w:rFonts w:ascii="Consolas" w:hAnsi="Consolas"/>
          <w:color w:val="A0283C"/>
          <w:sz w:val="20"/>
        </w:rPr>
        <w:t>TotalBill = Revenue + ServiceCharge</w:t>
      </w:r>
      <w:r>
        <w:rPr>
          <w:rFonts w:ascii="Calibri" w:hAnsi="Calibri"/>
        </w:rPr>
        <w:t>.</w:t>
      </w:r>
    </w:p>
    <w:p>
      <w:pPr>
        <w:spacing w:before="240" w:after="80"/>
      </w:pPr>
      <w:r>
        <w:rPr>
          <w:rFonts w:ascii="Calibri" w:hAnsi="Calibri"/>
          <w:b/>
          <w:color w:val="323C50"/>
          <w:sz w:val="26"/>
        </w:rPr>
        <w:t>3.3 Numeric Feature Dispersion &amp; Outlier Analysis</w:t>
      </w:r>
    </w:p>
    <w:p>
      <w:pPr>
        <w:spacing w:before="40" w:after="80" w:line="276" w:lineRule="auto"/>
      </w:pPr>
      <w:r>
        <w:rPr>
          <w:rFonts w:ascii="Calibri" w:hAnsi="Calibri"/>
        </w:rPr>
        <w:t>Outliers were evaluated using Tukey's Interquartile Range method (1.5 × IQR) and standard Z-score thresholds (|z| &gt; 3):</w:t>
      </w:r>
    </w:p>
    <w:tbl>
      <w:tblPr>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Mar>
              <w:top w:w="120" w:type="dxa"/>
              <w:bottom w:w="120" w:type="dxa"/>
              <w:left w:w="140" w:type="dxa"/>
              <w:right w:w="140" w:type="dxa"/>
            </w:tcMar>
            <w:shd w:fill="1F4E78"/>
          </w:tcPr>
          <w:p>
            <w:pPr>
              <w:spacing w:before="60" w:after="60"/>
            </w:pPr>
            <w:r>
              <w:rPr>
                <w:b/>
                <w:color w:val="FFFFFF"/>
                <w:sz w:val="20"/>
              </w:rPr>
              <w:t>Variable</w:t>
            </w:r>
          </w:p>
        </w:tc>
        <w:tc>
          <w:tcPr>
            <w:tcW w:type="dxa" w:w="851"/>
            <w:tcMar>
              <w:top w:w="120" w:type="dxa"/>
              <w:bottom w:w="120" w:type="dxa"/>
              <w:left w:w="140" w:type="dxa"/>
              <w:right w:w="140" w:type="dxa"/>
            </w:tcMar>
            <w:shd w:fill="1F4E78"/>
          </w:tcPr>
          <w:p>
            <w:pPr>
              <w:spacing w:before="60" w:after="60"/>
            </w:pPr>
            <w:r>
              <w:rPr>
                <w:b/>
                <w:color w:val="FFFFFF"/>
                <w:sz w:val="20"/>
              </w:rPr>
              <w:t>Mean</w:t>
            </w:r>
          </w:p>
        </w:tc>
        <w:tc>
          <w:tcPr>
            <w:tcW w:type="dxa" w:w="851"/>
            <w:tcMar>
              <w:top w:w="120" w:type="dxa"/>
              <w:bottom w:w="120" w:type="dxa"/>
              <w:left w:w="140" w:type="dxa"/>
              <w:right w:w="140" w:type="dxa"/>
            </w:tcMar>
            <w:shd w:fill="1F4E78"/>
          </w:tcPr>
          <w:p>
            <w:pPr>
              <w:spacing w:before="60" w:after="60"/>
            </w:pPr>
            <w:r>
              <w:rPr>
                <w:b/>
                <w:color w:val="FFFFFF"/>
                <w:sz w:val="20"/>
              </w:rPr>
              <w:t>Std Dev</w:t>
            </w:r>
          </w:p>
        </w:tc>
        <w:tc>
          <w:tcPr>
            <w:tcW w:type="dxa" w:w="851"/>
            <w:tcMar>
              <w:top w:w="120" w:type="dxa"/>
              <w:bottom w:w="120" w:type="dxa"/>
              <w:left w:w="140" w:type="dxa"/>
              <w:right w:w="140" w:type="dxa"/>
            </w:tcMar>
            <w:shd w:fill="1F4E78"/>
          </w:tcPr>
          <w:p>
            <w:pPr>
              <w:spacing w:before="60" w:after="60"/>
            </w:pPr>
            <w:r>
              <w:rPr>
                <w:b/>
                <w:color w:val="FFFFFF"/>
                <w:sz w:val="20"/>
              </w:rPr>
              <w:t>Median</w:t>
            </w:r>
          </w:p>
        </w:tc>
        <w:tc>
          <w:tcPr>
            <w:tcW w:type="dxa" w:w="851"/>
            <w:tcMar>
              <w:top w:w="120" w:type="dxa"/>
              <w:bottom w:w="120" w:type="dxa"/>
              <w:left w:w="140" w:type="dxa"/>
              <w:right w:w="140" w:type="dxa"/>
            </w:tcMar>
            <w:shd w:fill="1F4E78"/>
          </w:tcPr>
          <w:p>
            <w:pPr>
              <w:spacing w:before="60" w:after="60"/>
            </w:pPr>
            <w:r>
              <w:rPr>
                <w:b/>
                <w:color w:val="FFFFFF"/>
                <w:sz w:val="20"/>
              </w:rPr>
              <w:t>IQR</w:t>
            </w:r>
          </w:p>
        </w:tc>
        <w:tc>
          <w:tcPr>
            <w:tcW w:type="dxa" w:w="851"/>
            <w:tcMar>
              <w:top w:w="120" w:type="dxa"/>
              <w:bottom w:w="120" w:type="dxa"/>
              <w:left w:w="140" w:type="dxa"/>
              <w:right w:w="140" w:type="dxa"/>
            </w:tcMar>
            <w:shd w:fill="1F4E78"/>
          </w:tcPr>
          <w:p>
            <w:pPr>
              <w:spacing w:before="60" w:after="60"/>
            </w:pPr>
            <w:r>
              <w:rPr>
                <w:b/>
                <w:color w:val="FFFFFF"/>
                <w:sz w:val="20"/>
              </w:rPr>
              <w:t>Min</w:t>
            </w:r>
          </w:p>
        </w:tc>
        <w:tc>
          <w:tcPr>
            <w:tcW w:type="dxa" w:w="851"/>
            <w:tcMar>
              <w:top w:w="120" w:type="dxa"/>
              <w:bottom w:w="120" w:type="dxa"/>
              <w:left w:w="140" w:type="dxa"/>
              <w:right w:w="140" w:type="dxa"/>
            </w:tcMar>
            <w:shd w:fill="1F4E78"/>
          </w:tcPr>
          <w:p>
            <w:pPr>
              <w:spacing w:before="60" w:after="60"/>
            </w:pPr>
            <w:r>
              <w:rPr>
                <w:b/>
                <w:color w:val="FFFFFF"/>
                <w:sz w:val="20"/>
              </w:rPr>
              <w:t>Max</w:t>
            </w:r>
          </w:p>
        </w:tc>
        <w:tc>
          <w:tcPr>
            <w:tcW w:type="dxa" w:w="851"/>
            <w:tcMar>
              <w:top w:w="120" w:type="dxa"/>
              <w:bottom w:w="120" w:type="dxa"/>
              <w:left w:w="140" w:type="dxa"/>
              <w:right w:w="140" w:type="dxa"/>
            </w:tcMar>
            <w:shd w:fill="1F4E78"/>
          </w:tcPr>
          <w:p>
            <w:pPr>
              <w:spacing w:before="60" w:after="60"/>
            </w:pPr>
            <w:r>
              <w:rPr>
                <w:b/>
                <w:color w:val="FFFFFF"/>
                <w:sz w:val="20"/>
              </w:rPr>
              <w:t>Skewness</w:t>
            </w:r>
          </w:p>
        </w:tc>
        <w:tc>
          <w:tcPr>
            <w:tcW w:type="dxa" w:w="851"/>
            <w:tcMar>
              <w:top w:w="120" w:type="dxa"/>
              <w:bottom w:w="120" w:type="dxa"/>
              <w:left w:w="140" w:type="dxa"/>
              <w:right w:w="140" w:type="dxa"/>
            </w:tcMar>
            <w:shd w:fill="1F4E78"/>
          </w:tcPr>
          <w:p>
            <w:pPr>
              <w:spacing w:before="60" w:after="60"/>
            </w:pPr>
            <w:r>
              <w:rPr>
                <w:b/>
                <w:color w:val="FFFFFF"/>
                <w:sz w:val="20"/>
              </w:rPr>
              <w:t>Kurtosis</w:t>
            </w:r>
          </w:p>
        </w:tc>
        <w:tc>
          <w:tcPr>
            <w:tcW w:type="dxa" w:w="851"/>
            <w:tcMar>
              <w:top w:w="120" w:type="dxa"/>
              <w:bottom w:w="120" w:type="dxa"/>
              <w:left w:w="140" w:type="dxa"/>
              <w:right w:w="140" w:type="dxa"/>
            </w:tcMar>
            <w:shd w:fill="1F4E78"/>
          </w:tcPr>
          <w:p>
            <w:pPr>
              <w:spacing w:before="60" w:after="60"/>
            </w:pPr>
            <w:r>
              <w:rPr>
                <w:b/>
                <w:color w:val="FFFFFF"/>
                <w:sz w:val="20"/>
              </w:rPr>
              <w:t>IQR Outlier %</w:t>
            </w:r>
          </w:p>
        </w:tc>
        <w:tc>
          <w:tcPr>
            <w:tcW w:type="dxa" w:w="851"/>
            <w:tcMar>
              <w:top w:w="120" w:type="dxa"/>
              <w:bottom w:w="120" w:type="dxa"/>
              <w:left w:w="140" w:type="dxa"/>
              <w:right w:w="140" w:type="dxa"/>
            </w:tcMar>
            <w:shd w:fill="1F4E78"/>
          </w:tcPr>
          <w:p>
            <w:pPr>
              <w:spacing w:before="60" w:after="60"/>
            </w:pPr>
            <w:r>
              <w:rPr>
                <w:b/>
                <w:color w:val="FFFFFF"/>
                <w:sz w:val="20"/>
              </w:rPr>
              <w:t>Z-Score Outlier %</w:t>
            </w:r>
          </w:p>
        </w:tc>
      </w:tr>
      <w:tr>
        <w:tc>
          <w:tcPr>
            <w:tcW w:type="dxa" w:w="851"/>
            <w:tcMar>
              <w:top w:w="120" w:type="dxa"/>
              <w:bottom w:w="120" w:type="dxa"/>
              <w:left w:w="140" w:type="dxa"/>
              <w:right w:w="140" w:type="dxa"/>
            </w:tcMar>
            <w:shd w:fill="F2F5F8"/>
          </w:tcPr>
          <w:p>
            <w:pPr>
              <w:spacing w:before="60" w:after="60"/>
            </w:pPr>
            <w:r>
              <w:rPr>
                <w:sz w:val="19"/>
              </w:rPr>
              <w:t>AdjustedRate</w:t>
            </w:r>
          </w:p>
        </w:tc>
        <w:tc>
          <w:tcPr>
            <w:tcW w:type="dxa" w:w="851"/>
            <w:tcMar>
              <w:top w:w="120" w:type="dxa"/>
              <w:bottom w:w="120" w:type="dxa"/>
              <w:left w:w="140" w:type="dxa"/>
              <w:right w:w="140" w:type="dxa"/>
            </w:tcMar>
            <w:shd w:fill="F2F5F8"/>
          </w:tcPr>
          <w:p>
            <w:pPr>
              <w:spacing w:before="60" w:after="60"/>
            </w:pPr>
            <w:r>
              <w:rPr>
                <w:sz w:val="19"/>
              </w:rPr>
              <w:t>836.51</w:t>
            </w:r>
          </w:p>
        </w:tc>
        <w:tc>
          <w:tcPr>
            <w:tcW w:type="dxa" w:w="851"/>
            <w:tcMar>
              <w:top w:w="120" w:type="dxa"/>
              <w:bottom w:w="120" w:type="dxa"/>
              <w:left w:w="140" w:type="dxa"/>
              <w:right w:w="140" w:type="dxa"/>
            </w:tcMar>
            <w:shd w:fill="F2F5F8"/>
          </w:tcPr>
          <w:p>
            <w:pPr>
              <w:spacing w:before="60" w:after="60"/>
            </w:pPr>
            <w:r>
              <w:rPr>
                <w:sz w:val="19"/>
              </w:rPr>
              <w:t>30.82</w:t>
            </w:r>
          </w:p>
        </w:tc>
        <w:tc>
          <w:tcPr>
            <w:tcW w:type="dxa" w:w="851"/>
            <w:tcMar>
              <w:top w:w="120" w:type="dxa"/>
              <w:bottom w:w="120" w:type="dxa"/>
              <w:left w:w="140" w:type="dxa"/>
              <w:right w:w="140" w:type="dxa"/>
            </w:tcMar>
            <w:shd w:fill="F2F5F8"/>
          </w:tcPr>
          <w:p>
            <w:pPr>
              <w:spacing w:before="60" w:after="60"/>
            </w:pPr>
            <w:r>
              <w:rPr>
                <w:sz w:val="19"/>
              </w:rPr>
              <w:t>837.52</w:t>
            </w:r>
          </w:p>
        </w:tc>
        <w:tc>
          <w:tcPr>
            <w:tcW w:type="dxa" w:w="851"/>
            <w:tcMar>
              <w:top w:w="120" w:type="dxa"/>
              <w:bottom w:w="120" w:type="dxa"/>
              <w:left w:w="140" w:type="dxa"/>
              <w:right w:w="140" w:type="dxa"/>
            </w:tcMar>
            <w:shd w:fill="F2F5F8"/>
          </w:tcPr>
          <w:p>
            <w:pPr>
              <w:spacing w:before="60" w:after="60"/>
            </w:pPr>
            <w:r>
              <w:rPr>
                <w:sz w:val="19"/>
              </w:rPr>
              <w:t>40.97</w:t>
            </w:r>
          </w:p>
        </w:tc>
        <w:tc>
          <w:tcPr>
            <w:tcW w:type="dxa" w:w="851"/>
            <w:tcMar>
              <w:top w:w="120" w:type="dxa"/>
              <w:bottom w:w="120" w:type="dxa"/>
              <w:left w:w="140" w:type="dxa"/>
              <w:right w:w="140" w:type="dxa"/>
            </w:tcMar>
            <w:shd w:fill="F2F5F8"/>
          </w:tcPr>
          <w:p>
            <w:pPr>
              <w:spacing w:before="60" w:after="60"/>
            </w:pPr>
            <w:r>
              <w:rPr>
                <w:sz w:val="19"/>
              </w:rPr>
              <w:t>710.35</w:t>
            </w:r>
          </w:p>
        </w:tc>
        <w:tc>
          <w:tcPr>
            <w:tcW w:type="dxa" w:w="851"/>
            <w:tcMar>
              <w:top w:w="120" w:type="dxa"/>
              <w:bottom w:w="120" w:type="dxa"/>
              <w:left w:w="140" w:type="dxa"/>
              <w:right w:w="140" w:type="dxa"/>
            </w:tcMar>
            <w:shd w:fill="F2F5F8"/>
          </w:tcPr>
          <w:p>
            <w:pPr>
              <w:spacing w:before="60" w:after="60"/>
            </w:pPr>
            <w:r>
              <w:rPr>
                <w:sz w:val="19"/>
              </w:rPr>
              <w:t>960.45</w:t>
            </w:r>
          </w:p>
        </w:tc>
        <w:tc>
          <w:tcPr>
            <w:tcW w:type="dxa" w:w="851"/>
            <w:tcMar>
              <w:top w:w="120" w:type="dxa"/>
              <w:bottom w:w="120" w:type="dxa"/>
              <w:left w:w="140" w:type="dxa"/>
              <w:right w:w="140" w:type="dxa"/>
            </w:tcMar>
            <w:shd w:fill="F2F5F8"/>
          </w:tcPr>
          <w:p>
            <w:pPr>
              <w:spacing w:before="60" w:after="60"/>
            </w:pPr>
            <w:r>
              <w:rPr>
                <w:sz w:val="19"/>
              </w:rPr>
              <w:t>-0.160</w:t>
            </w:r>
          </w:p>
        </w:tc>
        <w:tc>
          <w:tcPr>
            <w:tcW w:type="dxa" w:w="851"/>
            <w:tcMar>
              <w:top w:w="120" w:type="dxa"/>
              <w:bottom w:w="120" w:type="dxa"/>
              <w:left w:w="140" w:type="dxa"/>
              <w:right w:w="140" w:type="dxa"/>
            </w:tcMar>
            <w:shd w:fill="F2F5F8"/>
          </w:tcPr>
          <w:p>
            <w:pPr>
              <w:spacing w:before="60" w:after="60"/>
            </w:pPr>
            <w:r>
              <w:rPr>
                <w:sz w:val="19"/>
              </w:rPr>
              <w:t>-0.002</w:t>
            </w:r>
          </w:p>
        </w:tc>
        <w:tc>
          <w:tcPr>
            <w:tcW w:type="dxa" w:w="851"/>
            <w:tcMar>
              <w:top w:w="120" w:type="dxa"/>
              <w:bottom w:w="120" w:type="dxa"/>
              <w:left w:w="140" w:type="dxa"/>
              <w:right w:w="140" w:type="dxa"/>
            </w:tcMar>
            <w:shd w:fill="F2F5F8"/>
          </w:tcPr>
          <w:p>
            <w:pPr>
              <w:spacing w:before="60" w:after="60"/>
            </w:pPr>
            <w:r>
              <w:rPr>
                <w:sz w:val="19"/>
              </w:rPr>
              <w:t>0.77%</w:t>
            </w:r>
          </w:p>
        </w:tc>
        <w:tc>
          <w:tcPr>
            <w:tcW w:type="dxa" w:w="851"/>
            <w:tcMar>
              <w:top w:w="120" w:type="dxa"/>
              <w:bottom w:w="120" w:type="dxa"/>
              <w:left w:w="140" w:type="dxa"/>
              <w:right w:w="140" w:type="dxa"/>
            </w:tcMar>
            <w:shd w:fill="F2F5F8"/>
          </w:tcPr>
          <w:p>
            <w:pPr>
              <w:spacing w:before="60" w:after="60"/>
            </w:pPr>
            <w:r>
              <w:rPr>
                <w:sz w:val="19"/>
              </w:rPr>
              <w:t>0.25%</w:t>
            </w:r>
          </w:p>
        </w:tc>
      </w:tr>
      <w:tr>
        <w:tc>
          <w:tcPr>
            <w:tcW w:type="dxa" w:w="851"/>
            <w:tcMar>
              <w:top w:w="120" w:type="dxa"/>
              <w:bottom w:w="120" w:type="dxa"/>
              <w:left w:w="140" w:type="dxa"/>
              <w:right w:w="140" w:type="dxa"/>
            </w:tcMar>
            <w:shd w:fill="FFFFFF"/>
          </w:tcPr>
          <w:p>
            <w:pPr>
              <w:spacing w:before="60" w:after="60"/>
            </w:pPr>
            <w:r>
              <w:rPr>
                <w:sz w:val="19"/>
              </w:rPr>
              <w:t>Age</w:t>
            </w:r>
          </w:p>
        </w:tc>
        <w:tc>
          <w:tcPr>
            <w:tcW w:type="dxa" w:w="851"/>
            <w:tcMar>
              <w:top w:w="120" w:type="dxa"/>
              <w:bottom w:w="120" w:type="dxa"/>
              <w:left w:w="140" w:type="dxa"/>
              <w:right w:w="140" w:type="dxa"/>
            </w:tcMar>
            <w:shd w:fill="FFFFFF"/>
          </w:tcPr>
          <w:p>
            <w:pPr>
              <w:spacing w:before="60" w:after="60"/>
            </w:pPr>
            <w:r>
              <w:rPr>
                <w:sz w:val="19"/>
              </w:rPr>
              <w:t>42.88</w:t>
            </w:r>
          </w:p>
        </w:tc>
        <w:tc>
          <w:tcPr>
            <w:tcW w:type="dxa" w:w="851"/>
            <w:tcMar>
              <w:top w:w="120" w:type="dxa"/>
              <w:bottom w:w="120" w:type="dxa"/>
              <w:left w:w="140" w:type="dxa"/>
              <w:right w:w="140" w:type="dxa"/>
            </w:tcMar>
            <w:shd w:fill="FFFFFF"/>
          </w:tcPr>
          <w:p>
            <w:pPr>
              <w:spacing w:before="60" w:after="60"/>
            </w:pPr>
            <w:r>
              <w:rPr>
                <w:sz w:val="19"/>
              </w:rPr>
              <w:t>14.41</w:t>
            </w:r>
          </w:p>
        </w:tc>
        <w:tc>
          <w:tcPr>
            <w:tcW w:type="dxa" w:w="851"/>
            <w:tcMar>
              <w:top w:w="120" w:type="dxa"/>
              <w:bottom w:w="120" w:type="dxa"/>
              <w:left w:w="140" w:type="dxa"/>
              <w:right w:w="140" w:type="dxa"/>
            </w:tcMar>
            <w:shd w:fill="FFFFFF"/>
          </w:tcPr>
          <w:p>
            <w:pPr>
              <w:spacing w:before="60" w:after="60"/>
            </w:pPr>
            <w:r>
              <w:rPr>
                <w:sz w:val="19"/>
              </w:rPr>
              <w:t>43.00</w:t>
            </w:r>
          </w:p>
        </w:tc>
        <w:tc>
          <w:tcPr>
            <w:tcW w:type="dxa" w:w="851"/>
            <w:tcMar>
              <w:top w:w="120" w:type="dxa"/>
              <w:bottom w:w="120" w:type="dxa"/>
              <w:left w:w="140" w:type="dxa"/>
              <w:right w:w="140" w:type="dxa"/>
            </w:tcMar>
            <w:shd w:fill="FFFFFF"/>
          </w:tcPr>
          <w:p>
            <w:pPr>
              <w:spacing w:before="60" w:after="60"/>
            </w:pPr>
            <w:r>
              <w:rPr>
                <w:sz w:val="19"/>
              </w:rPr>
              <w:t>25.00</w:t>
            </w:r>
          </w:p>
        </w:tc>
        <w:tc>
          <w:tcPr>
            <w:tcW w:type="dxa" w:w="851"/>
            <w:tcMar>
              <w:top w:w="120" w:type="dxa"/>
              <w:bottom w:w="120" w:type="dxa"/>
              <w:left w:w="140" w:type="dxa"/>
              <w:right w:w="140" w:type="dxa"/>
            </w:tcMar>
            <w:shd w:fill="FFFFFF"/>
          </w:tcPr>
          <w:p>
            <w:pPr>
              <w:spacing w:before="60" w:after="60"/>
            </w:pPr>
            <w:r>
              <w:rPr>
                <w:sz w:val="19"/>
              </w:rPr>
              <w:t>18.00</w:t>
            </w:r>
          </w:p>
        </w:tc>
        <w:tc>
          <w:tcPr>
            <w:tcW w:type="dxa" w:w="851"/>
            <w:tcMar>
              <w:top w:w="120" w:type="dxa"/>
              <w:bottom w:w="120" w:type="dxa"/>
              <w:left w:w="140" w:type="dxa"/>
              <w:right w:w="140" w:type="dxa"/>
            </w:tcMar>
            <w:shd w:fill="FFFFFF"/>
          </w:tcPr>
          <w:p>
            <w:pPr>
              <w:spacing w:before="60" w:after="60"/>
            </w:pPr>
            <w:r>
              <w:rPr>
                <w:sz w:val="19"/>
              </w:rPr>
              <w:t>68.00</w:t>
            </w:r>
          </w:p>
        </w:tc>
        <w:tc>
          <w:tcPr>
            <w:tcW w:type="dxa" w:w="851"/>
            <w:tcMar>
              <w:top w:w="120" w:type="dxa"/>
              <w:bottom w:w="120" w:type="dxa"/>
              <w:left w:w="140" w:type="dxa"/>
              <w:right w:w="140" w:type="dxa"/>
            </w:tcMar>
            <w:shd w:fill="FFFFFF"/>
          </w:tcPr>
          <w:p>
            <w:pPr>
              <w:spacing w:before="60" w:after="60"/>
            </w:pPr>
            <w:r>
              <w:rPr>
                <w:sz w:val="19"/>
              </w:rPr>
              <w:t>0.012</w:t>
            </w:r>
          </w:p>
        </w:tc>
        <w:tc>
          <w:tcPr>
            <w:tcW w:type="dxa" w:w="851"/>
            <w:tcMar>
              <w:top w:w="120" w:type="dxa"/>
              <w:bottom w:w="120" w:type="dxa"/>
              <w:left w:w="140" w:type="dxa"/>
              <w:right w:w="140" w:type="dxa"/>
            </w:tcMar>
            <w:shd w:fill="FFFFFF"/>
          </w:tcPr>
          <w:p>
            <w:pPr>
              <w:spacing w:before="60" w:after="60"/>
            </w:pPr>
            <w:r>
              <w:rPr>
                <w:sz w:val="19"/>
              </w:rPr>
              <w:t>-1.206</w:t>
            </w:r>
          </w:p>
        </w:tc>
        <w:tc>
          <w:tcPr>
            <w:tcW w:type="dxa" w:w="851"/>
            <w:tcMar>
              <w:top w:w="120" w:type="dxa"/>
              <w:bottom w:w="120" w:type="dxa"/>
              <w:left w:w="140" w:type="dxa"/>
              <w:right w:w="140" w:type="dxa"/>
            </w:tcMar>
            <w:shd w:fill="FFFFFF"/>
          </w:tcPr>
          <w:p>
            <w:pPr>
              <w:spacing w:before="60" w:after="60"/>
            </w:pPr>
            <w:r>
              <w:rPr>
                <w:sz w:val="19"/>
              </w:rPr>
              <w:t>0.00%</w:t>
            </w:r>
          </w:p>
        </w:tc>
        <w:tc>
          <w:tcPr>
            <w:tcW w:type="dxa" w:w="851"/>
            <w:tcMar>
              <w:top w:w="120" w:type="dxa"/>
              <w:bottom w:w="120" w:type="dxa"/>
              <w:left w:w="140" w:type="dxa"/>
              <w:right w:w="140" w:type="dxa"/>
            </w:tcMar>
            <w:shd w:fill="FFFFFF"/>
          </w:tcPr>
          <w:p>
            <w:pPr>
              <w:spacing w:before="60" w:after="60"/>
            </w:pPr>
            <w:r>
              <w:rPr>
                <w:sz w:val="19"/>
              </w:rPr>
              <w:t>0.00%</w:t>
            </w:r>
          </w:p>
        </w:tc>
      </w:tr>
      <w:tr>
        <w:tc>
          <w:tcPr>
            <w:tcW w:type="dxa" w:w="851"/>
            <w:tcMar>
              <w:top w:w="120" w:type="dxa"/>
              <w:bottom w:w="120" w:type="dxa"/>
              <w:left w:w="140" w:type="dxa"/>
              <w:right w:w="140" w:type="dxa"/>
            </w:tcMar>
            <w:shd w:fill="F2F5F8"/>
          </w:tcPr>
          <w:p>
            <w:pPr>
              <w:spacing w:before="60" w:after="60"/>
            </w:pPr>
            <w:r>
              <w:rPr>
                <w:sz w:val="19"/>
              </w:rPr>
              <w:t>Discount</w:t>
            </w:r>
          </w:p>
        </w:tc>
        <w:tc>
          <w:tcPr>
            <w:tcW w:type="dxa" w:w="851"/>
            <w:tcMar>
              <w:top w:w="120" w:type="dxa"/>
              <w:bottom w:w="120" w:type="dxa"/>
              <w:left w:w="140" w:type="dxa"/>
              <w:right w:w="140" w:type="dxa"/>
            </w:tcMar>
            <w:shd w:fill="F2F5F8"/>
          </w:tcPr>
          <w:p>
            <w:pPr>
              <w:spacing w:before="60" w:after="60"/>
            </w:pPr>
            <w:r>
              <w:rPr>
                <w:sz w:val="19"/>
              </w:rPr>
              <w:t>18.70</w:t>
            </w:r>
          </w:p>
        </w:tc>
        <w:tc>
          <w:tcPr>
            <w:tcW w:type="dxa" w:w="851"/>
            <w:tcMar>
              <w:top w:w="120" w:type="dxa"/>
              <w:bottom w:w="120" w:type="dxa"/>
              <w:left w:w="140" w:type="dxa"/>
              <w:right w:w="140" w:type="dxa"/>
            </w:tcMar>
            <w:shd w:fill="F2F5F8"/>
          </w:tcPr>
          <w:p>
            <w:pPr>
              <w:spacing w:before="60" w:after="60"/>
            </w:pPr>
            <w:r>
              <w:rPr>
                <w:sz w:val="19"/>
              </w:rPr>
              <w:t>52.66</w:t>
            </w:r>
          </w:p>
        </w:tc>
        <w:tc>
          <w:tcPr>
            <w:tcW w:type="dxa" w:w="851"/>
            <w:tcMar>
              <w:top w:w="120" w:type="dxa"/>
              <w:bottom w:w="120" w:type="dxa"/>
              <w:left w:w="140" w:type="dxa"/>
              <w:right w:w="140" w:type="dxa"/>
            </w:tcMar>
            <w:shd w:fill="F2F5F8"/>
          </w:tcPr>
          <w:p>
            <w:pPr>
              <w:spacing w:before="60" w:after="60"/>
            </w:pPr>
            <w:r>
              <w:rPr>
                <w:sz w:val="19"/>
              </w:rPr>
              <w:t>0.00</w:t>
            </w:r>
          </w:p>
        </w:tc>
        <w:tc>
          <w:tcPr>
            <w:tcW w:type="dxa" w:w="851"/>
            <w:tcMar>
              <w:top w:w="120" w:type="dxa"/>
              <w:bottom w:w="120" w:type="dxa"/>
              <w:left w:w="140" w:type="dxa"/>
              <w:right w:w="140" w:type="dxa"/>
            </w:tcMar>
            <w:shd w:fill="F2F5F8"/>
          </w:tcPr>
          <w:p>
            <w:pPr>
              <w:spacing w:before="60" w:after="60"/>
            </w:pPr>
            <w:r>
              <w:rPr>
                <w:sz w:val="19"/>
              </w:rPr>
              <w:t>0.00</w:t>
            </w:r>
          </w:p>
        </w:tc>
        <w:tc>
          <w:tcPr>
            <w:tcW w:type="dxa" w:w="851"/>
            <w:tcMar>
              <w:top w:w="120" w:type="dxa"/>
              <w:bottom w:w="120" w:type="dxa"/>
              <w:left w:w="140" w:type="dxa"/>
              <w:right w:w="140" w:type="dxa"/>
            </w:tcMar>
            <w:shd w:fill="F2F5F8"/>
          </w:tcPr>
          <w:p>
            <w:pPr>
              <w:spacing w:before="60" w:after="60"/>
            </w:pPr>
            <w:r>
              <w:rPr>
                <w:sz w:val="19"/>
              </w:rPr>
              <w:t>0.00</w:t>
            </w:r>
          </w:p>
        </w:tc>
        <w:tc>
          <w:tcPr>
            <w:tcW w:type="dxa" w:w="851"/>
            <w:tcMar>
              <w:top w:w="120" w:type="dxa"/>
              <w:bottom w:w="120" w:type="dxa"/>
              <w:left w:w="140" w:type="dxa"/>
              <w:right w:w="140" w:type="dxa"/>
            </w:tcMar>
            <w:shd w:fill="F2F5F8"/>
          </w:tcPr>
          <w:p>
            <w:pPr>
              <w:spacing w:before="60" w:after="60"/>
            </w:pPr>
            <w:r>
              <w:rPr>
                <w:sz w:val="19"/>
              </w:rPr>
              <w:t>468.38</w:t>
            </w:r>
          </w:p>
        </w:tc>
        <w:tc>
          <w:tcPr>
            <w:tcW w:type="dxa" w:w="851"/>
            <w:tcMar>
              <w:top w:w="120" w:type="dxa"/>
              <w:bottom w:w="120" w:type="dxa"/>
              <w:left w:w="140" w:type="dxa"/>
              <w:right w:w="140" w:type="dxa"/>
            </w:tcMar>
            <w:shd w:fill="F2F5F8"/>
          </w:tcPr>
          <w:p>
            <w:pPr>
              <w:spacing w:before="60" w:after="60"/>
            </w:pPr>
            <w:r>
              <w:rPr>
                <w:sz w:val="19"/>
              </w:rPr>
              <w:t>3.393</w:t>
            </w:r>
          </w:p>
        </w:tc>
        <w:tc>
          <w:tcPr>
            <w:tcW w:type="dxa" w:w="851"/>
            <w:tcMar>
              <w:top w:w="120" w:type="dxa"/>
              <w:bottom w:w="120" w:type="dxa"/>
              <w:left w:w="140" w:type="dxa"/>
              <w:right w:w="140" w:type="dxa"/>
            </w:tcMar>
            <w:shd w:fill="F2F5F8"/>
          </w:tcPr>
          <w:p>
            <w:pPr>
              <w:spacing w:before="60" w:after="60"/>
            </w:pPr>
            <w:r>
              <w:rPr>
                <w:sz w:val="19"/>
              </w:rPr>
              <w:t>13.552</w:t>
            </w:r>
          </w:p>
        </w:tc>
        <w:tc>
          <w:tcPr>
            <w:tcW w:type="dxa" w:w="851"/>
            <w:tcMar>
              <w:top w:w="120" w:type="dxa"/>
              <w:bottom w:w="120" w:type="dxa"/>
              <w:left w:w="140" w:type="dxa"/>
              <w:right w:w="140" w:type="dxa"/>
            </w:tcMar>
            <w:shd w:fill="F2F5F8"/>
          </w:tcPr>
          <w:p>
            <w:pPr>
              <w:spacing w:before="60" w:after="60"/>
            </w:pPr>
            <w:r>
              <w:rPr>
                <w:sz w:val="19"/>
              </w:rPr>
              <w:t>13.81%</w:t>
            </w:r>
          </w:p>
        </w:tc>
        <w:tc>
          <w:tcPr>
            <w:tcW w:type="dxa" w:w="851"/>
            <w:tcMar>
              <w:top w:w="120" w:type="dxa"/>
              <w:bottom w:w="120" w:type="dxa"/>
              <w:left w:w="140" w:type="dxa"/>
              <w:right w:w="140" w:type="dxa"/>
            </w:tcMar>
            <w:shd w:fill="F2F5F8"/>
          </w:tcPr>
          <w:p>
            <w:pPr>
              <w:spacing w:before="60" w:after="60"/>
            </w:pPr>
            <w:r>
              <w:rPr>
                <w:sz w:val="19"/>
              </w:rPr>
              <w:t>2.27%</w:t>
            </w:r>
          </w:p>
        </w:tc>
      </w:tr>
      <w:tr>
        <w:tc>
          <w:tcPr>
            <w:tcW w:type="dxa" w:w="851"/>
            <w:tcMar>
              <w:top w:w="120" w:type="dxa"/>
              <w:bottom w:w="120" w:type="dxa"/>
              <w:left w:w="140" w:type="dxa"/>
              <w:right w:w="140" w:type="dxa"/>
            </w:tcMar>
            <w:shd w:fill="FFFFFF"/>
          </w:tcPr>
          <w:p>
            <w:pPr>
              <w:spacing w:before="60" w:after="60"/>
            </w:pPr>
            <w:r>
              <w:rPr>
                <w:sz w:val="19"/>
              </w:rPr>
              <w:t>Qty1</w:t>
            </w:r>
          </w:p>
        </w:tc>
        <w:tc>
          <w:tcPr>
            <w:tcW w:type="dxa" w:w="851"/>
            <w:tcMar>
              <w:top w:w="120" w:type="dxa"/>
              <w:bottom w:w="120" w:type="dxa"/>
              <w:left w:w="140" w:type="dxa"/>
              <w:right w:w="140" w:type="dxa"/>
            </w:tcMar>
            <w:shd w:fill="FFFFFF"/>
          </w:tcPr>
          <w:p>
            <w:pPr>
              <w:spacing w:before="60" w:after="60"/>
            </w:pPr>
            <w:r>
              <w:rPr>
                <w:sz w:val="19"/>
              </w:rPr>
              <w:t>1.24</w:t>
            </w:r>
          </w:p>
        </w:tc>
        <w:tc>
          <w:tcPr>
            <w:tcW w:type="dxa" w:w="851"/>
            <w:tcMar>
              <w:top w:w="120" w:type="dxa"/>
              <w:bottom w:w="120" w:type="dxa"/>
              <w:left w:w="140" w:type="dxa"/>
              <w:right w:w="140" w:type="dxa"/>
            </w:tcMar>
            <w:shd w:fill="FFFFFF"/>
          </w:tcPr>
          <w:p>
            <w:pPr>
              <w:spacing w:before="60" w:after="60"/>
            </w:pPr>
            <w:r>
              <w:rPr>
                <w:sz w:val="19"/>
              </w:rPr>
              <w:t>0.51</w:t>
            </w:r>
          </w:p>
        </w:tc>
        <w:tc>
          <w:tcPr>
            <w:tcW w:type="dxa" w:w="851"/>
            <w:tcMar>
              <w:top w:w="120" w:type="dxa"/>
              <w:bottom w:w="120" w:type="dxa"/>
              <w:left w:w="140" w:type="dxa"/>
              <w:right w:w="140" w:type="dxa"/>
            </w:tcMar>
            <w:shd w:fill="FFFFFF"/>
          </w:tcPr>
          <w:p>
            <w:pPr>
              <w:spacing w:before="60" w:after="60"/>
            </w:pPr>
            <w:r>
              <w:rPr>
                <w:sz w:val="19"/>
              </w:rPr>
              <w:t>1.00</w:t>
            </w:r>
          </w:p>
        </w:tc>
        <w:tc>
          <w:tcPr>
            <w:tcW w:type="dxa" w:w="851"/>
            <w:tcMar>
              <w:top w:w="120" w:type="dxa"/>
              <w:bottom w:w="120" w:type="dxa"/>
              <w:left w:w="140" w:type="dxa"/>
              <w:right w:w="140" w:type="dxa"/>
            </w:tcMar>
            <w:shd w:fill="FFFFFF"/>
          </w:tcPr>
          <w:p>
            <w:pPr>
              <w:spacing w:before="60" w:after="60"/>
            </w:pPr>
            <w:r>
              <w:rPr>
                <w:sz w:val="19"/>
              </w:rPr>
              <w:t>0.00</w:t>
            </w:r>
          </w:p>
        </w:tc>
        <w:tc>
          <w:tcPr>
            <w:tcW w:type="dxa" w:w="851"/>
            <w:tcMar>
              <w:top w:w="120" w:type="dxa"/>
              <w:bottom w:w="120" w:type="dxa"/>
              <w:left w:w="140" w:type="dxa"/>
              <w:right w:w="140" w:type="dxa"/>
            </w:tcMar>
            <w:shd w:fill="FFFFFF"/>
          </w:tcPr>
          <w:p>
            <w:pPr>
              <w:spacing w:before="60" w:after="60"/>
            </w:pPr>
            <w:r>
              <w:rPr>
                <w:sz w:val="19"/>
              </w:rPr>
              <w:t>1.00</w:t>
            </w:r>
          </w:p>
        </w:tc>
        <w:tc>
          <w:tcPr>
            <w:tcW w:type="dxa" w:w="851"/>
            <w:tcMar>
              <w:top w:w="120" w:type="dxa"/>
              <w:bottom w:w="120" w:type="dxa"/>
              <w:left w:w="140" w:type="dxa"/>
              <w:right w:w="140" w:type="dxa"/>
            </w:tcMar>
            <w:shd w:fill="FFFFFF"/>
          </w:tcPr>
          <w:p>
            <w:pPr>
              <w:spacing w:before="60" w:after="60"/>
            </w:pPr>
            <w:r>
              <w:rPr>
                <w:sz w:val="19"/>
              </w:rPr>
              <w:t>3.00</w:t>
            </w:r>
          </w:p>
        </w:tc>
        <w:tc>
          <w:tcPr>
            <w:tcW w:type="dxa" w:w="851"/>
            <w:tcMar>
              <w:top w:w="120" w:type="dxa"/>
              <w:bottom w:w="120" w:type="dxa"/>
              <w:left w:w="140" w:type="dxa"/>
              <w:right w:w="140" w:type="dxa"/>
            </w:tcMar>
            <w:shd w:fill="FFFFFF"/>
          </w:tcPr>
          <w:p>
            <w:pPr>
              <w:spacing w:before="60" w:after="60"/>
            </w:pPr>
            <w:r>
              <w:rPr>
                <w:sz w:val="19"/>
              </w:rPr>
              <w:t>2.071</w:t>
            </w:r>
          </w:p>
        </w:tc>
        <w:tc>
          <w:tcPr>
            <w:tcW w:type="dxa" w:w="851"/>
            <w:tcMar>
              <w:top w:w="120" w:type="dxa"/>
              <w:bottom w:w="120" w:type="dxa"/>
              <w:left w:w="140" w:type="dxa"/>
              <w:right w:w="140" w:type="dxa"/>
            </w:tcMar>
            <w:shd w:fill="FFFFFF"/>
          </w:tcPr>
          <w:p>
            <w:pPr>
              <w:spacing w:before="60" w:after="60"/>
            </w:pPr>
            <w:r>
              <w:rPr>
                <w:sz w:val="19"/>
              </w:rPr>
              <w:t>3.413</w:t>
            </w:r>
          </w:p>
        </w:tc>
        <w:tc>
          <w:tcPr>
            <w:tcW w:type="dxa" w:w="851"/>
            <w:tcMar>
              <w:top w:w="120" w:type="dxa"/>
              <w:bottom w:w="120" w:type="dxa"/>
              <w:left w:w="140" w:type="dxa"/>
              <w:right w:w="140" w:type="dxa"/>
            </w:tcMar>
            <w:shd w:fill="FFFFFF"/>
          </w:tcPr>
          <w:p>
            <w:pPr>
              <w:spacing w:before="60" w:after="60"/>
            </w:pPr>
            <w:r>
              <w:rPr>
                <w:sz w:val="19"/>
              </w:rPr>
              <w:t>19.92%</w:t>
            </w:r>
          </w:p>
        </w:tc>
        <w:tc>
          <w:tcPr>
            <w:tcW w:type="dxa" w:w="851"/>
            <w:tcMar>
              <w:top w:w="120" w:type="dxa"/>
              <w:bottom w:w="120" w:type="dxa"/>
              <w:left w:w="140" w:type="dxa"/>
              <w:right w:w="140" w:type="dxa"/>
            </w:tcMar>
            <w:shd w:fill="FFFFFF"/>
          </w:tcPr>
          <w:p>
            <w:pPr>
              <w:spacing w:before="60" w:after="60"/>
            </w:pPr>
            <w:r>
              <w:rPr>
                <w:sz w:val="19"/>
              </w:rPr>
              <w:t>4.07%</w:t>
            </w:r>
          </w:p>
        </w:tc>
      </w:tr>
      <w:tr>
        <w:tc>
          <w:tcPr>
            <w:tcW w:type="dxa" w:w="851"/>
            <w:tcMar>
              <w:top w:w="120" w:type="dxa"/>
              <w:bottom w:w="120" w:type="dxa"/>
              <w:left w:w="140" w:type="dxa"/>
              <w:right w:w="140" w:type="dxa"/>
            </w:tcMar>
            <w:shd w:fill="F2F5F8"/>
          </w:tcPr>
          <w:p>
            <w:pPr>
              <w:spacing w:before="60" w:after="60"/>
            </w:pPr>
            <w:r>
              <w:rPr>
                <w:sz w:val="19"/>
              </w:rPr>
              <w:t>Revenue</w:t>
            </w:r>
          </w:p>
        </w:tc>
        <w:tc>
          <w:tcPr>
            <w:tcW w:type="dxa" w:w="851"/>
            <w:tcMar>
              <w:top w:w="120" w:type="dxa"/>
              <w:bottom w:w="120" w:type="dxa"/>
              <w:left w:w="140" w:type="dxa"/>
              <w:right w:w="140" w:type="dxa"/>
            </w:tcMar>
            <w:shd w:fill="F2F5F8"/>
          </w:tcPr>
          <w:p>
            <w:pPr>
              <w:spacing w:before="60" w:after="60"/>
            </w:pPr>
            <w:r>
              <w:rPr>
                <w:sz w:val="19"/>
              </w:rPr>
              <w:t>1,018.46</w:t>
            </w:r>
          </w:p>
        </w:tc>
        <w:tc>
          <w:tcPr>
            <w:tcW w:type="dxa" w:w="851"/>
            <w:tcMar>
              <w:top w:w="120" w:type="dxa"/>
              <w:bottom w:w="120" w:type="dxa"/>
              <w:left w:w="140" w:type="dxa"/>
              <w:right w:w="140" w:type="dxa"/>
            </w:tcMar>
            <w:shd w:fill="F2F5F8"/>
          </w:tcPr>
          <w:p>
            <w:pPr>
              <w:spacing w:before="60" w:after="60"/>
            </w:pPr>
            <w:r>
              <w:rPr>
                <w:sz w:val="19"/>
              </w:rPr>
              <w:t>426.37</w:t>
            </w:r>
          </w:p>
        </w:tc>
        <w:tc>
          <w:tcPr>
            <w:tcW w:type="dxa" w:w="851"/>
            <w:tcMar>
              <w:top w:w="120" w:type="dxa"/>
              <w:bottom w:w="120" w:type="dxa"/>
              <w:left w:w="140" w:type="dxa"/>
              <w:right w:w="140" w:type="dxa"/>
            </w:tcMar>
            <w:shd w:fill="F2F5F8"/>
          </w:tcPr>
          <w:p>
            <w:pPr>
              <w:spacing w:before="60" w:after="60"/>
            </w:pPr>
            <w:r>
              <w:rPr>
                <w:sz w:val="19"/>
              </w:rPr>
              <w:t>842.59</w:t>
            </w:r>
          </w:p>
        </w:tc>
        <w:tc>
          <w:tcPr>
            <w:tcW w:type="dxa" w:w="851"/>
            <w:tcMar>
              <w:top w:w="120" w:type="dxa"/>
              <w:bottom w:w="120" w:type="dxa"/>
              <w:left w:w="140" w:type="dxa"/>
              <w:right w:w="140" w:type="dxa"/>
            </w:tcMar>
            <w:shd w:fill="F2F5F8"/>
          </w:tcPr>
          <w:p>
            <w:pPr>
              <w:spacing w:before="60" w:after="60"/>
            </w:pPr>
            <w:r>
              <w:rPr>
                <w:sz w:val="19"/>
              </w:rPr>
              <w:t>68.28</w:t>
            </w:r>
          </w:p>
        </w:tc>
        <w:tc>
          <w:tcPr>
            <w:tcW w:type="dxa" w:w="851"/>
            <w:tcMar>
              <w:top w:w="120" w:type="dxa"/>
              <w:bottom w:w="120" w:type="dxa"/>
              <w:left w:w="140" w:type="dxa"/>
              <w:right w:w="140" w:type="dxa"/>
            </w:tcMar>
            <w:shd w:fill="F2F5F8"/>
          </w:tcPr>
          <w:p>
            <w:pPr>
              <w:spacing w:before="60" w:after="60"/>
            </w:pPr>
            <w:r>
              <w:rPr>
                <w:sz w:val="19"/>
              </w:rPr>
              <w:t>591.21</w:t>
            </w:r>
          </w:p>
        </w:tc>
        <w:tc>
          <w:tcPr>
            <w:tcW w:type="dxa" w:w="851"/>
            <w:tcMar>
              <w:top w:w="120" w:type="dxa"/>
              <w:bottom w:w="120" w:type="dxa"/>
              <w:left w:w="140" w:type="dxa"/>
              <w:right w:w="140" w:type="dxa"/>
            </w:tcMar>
            <w:shd w:fill="F2F5F8"/>
          </w:tcPr>
          <w:p>
            <w:pPr>
              <w:spacing w:before="60" w:after="60"/>
            </w:pPr>
            <w:r>
              <w:rPr>
                <w:sz w:val="19"/>
              </w:rPr>
              <w:t>2,881.35</w:t>
            </w:r>
          </w:p>
        </w:tc>
        <w:tc>
          <w:tcPr>
            <w:tcW w:type="dxa" w:w="851"/>
            <w:tcMar>
              <w:top w:w="120" w:type="dxa"/>
              <w:bottom w:w="120" w:type="dxa"/>
              <w:left w:w="140" w:type="dxa"/>
              <w:right w:w="140" w:type="dxa"/>
            </w:tcMar>
            <w:shd w:fill="F2F5F8"/>
          </w:tcPr>
          <w:p>
            <w:pPr>
              <w:spacing w:before="60" w:after="60"/>
            </w:pPr>
            <w:r>
              <w:rPr>
                <w:sz w:val="19"/>
              </w:rPr>
              <w:t>2.063</w:t>
            </w:r>
          </w:p>
        </w:tc>
        <w:tc>
          <w:tcPr>
            <w:tcW w:type="dxa" w:w="851"/>
            <w:tcMar>
              <w:top w:w="120" w:type="dxa"/>
              <w:bottom w:w="120" w:type="dxa"/>
              <w:left w:w="140" w:type="dxa"/>
              <w:right w:w="140" w:type="dxa"/>
            </w:tcMar>
            <w:shd w:fill="F2F5F8"/>
          </w:tcPr>
          <w:p>
            <w:pPr>
              <w:spacing w:before="60" w:after="60"/>
            </w:pPr>
            <w:r>
              <w:rPr>
                <w:sz w:val="19"/>
              </w:rPr>
              <w:t>3.538</w:t>
            </w:r>
          </w:p>
        </w:tc>
        <w:tc>
          <w:tcPr>
            <w:tcW w:type="dxa" w:w="851"/>
            <w:tcMar>
              <w:top w:w="120" w:type="dxa"/>
              <w:bottom w:w="120" w:type="dxa"/>
              <w:left w:w="140" w:type="dxa"/>
              <w:right w:w="140" w:type="dxa"/>
            </w:tcMar>
            <w:shd w:fill="F2F5F8"/>
          </w:tcPr>
          <w:p>
            <w:pPr>
              <w:spacing w:before="60" w:after="60"/>
            </w:pPr>
            <w:r>
              <w:rPr>
                <w:sz w:val="19"/>
              </w:rPr>
              <w:t>23.38%</w:t>
            </w:r>
          </w:p>
        </w:tc>
        <w:tc>
          <w:tcPr>
            <w:tcW w:type="dxa" w:w="851"/>
            <w:tcMar>
              <w:top w:w="120" w:type="dxa"/>
              <w:bottom w:w="120" w:type="dxa"/>
              <w:left w:w="140" w:type="dxa"/>
              <w:right w:w="140" w:type="dxa"/>
            </w:tcMar>
            <w:shd w:fill="F2F5F8"/>
          </w:tcPr>
          <w:p>
            <w:pPr>
              <w:spacing w:before="60" w:after="60"/>
            </w:pPr>
            <w:r>
              <w:rPr>
                <w:sz w:val="19"/>
              </w:rPr>
              <w:t>3.52%</w:t>
            </w:r>
          </w:p>
        </w:tc>
      </w:tr>
      <w:tr>
        <w:tc>
          <w:tcPr>
            <w:tcW w:type="dxa" w:w="851"/>
            <w:tcMar>
              <w:top w:w="120" w:type="dxa"/>
              <w:bottom w:w="120" w:type="dxa"/>
              <w:left w:w="140" w:type="dxa"/>
              <w:right w:w="140" w:type="dxa"/>
            </w:tcMar>
            <w:shd w:fill="FFFFFF"/>
          </w:tcPr>
          <w:p>
            <w:pPr>
              <w:spacing w:before="60" w:after="60"/>
            </w:pPr>
            <w:r>
              <w:rPr>
                <w:sz w:val="19"/>
              </w:rPr>
              <w:t>ServiceCharge</w:t>
            </w:r>
          </w:p>
        </w:tc>
        <w:tc>
          <w:tcPr>
            <w:tcW w:type="dxa" w:w="851"/>
            <w:tcMar>
              <w:top w:w="120" w:type="dxa"/>
              <w:bottom w:w="120" w:type="dxa"/>
              <w:left w:w="140" w:type="dxa"/>
              <w:right w:w="140" w:type="dxa"/>
            </w:tcMar>
            <w:shd w:fill="FFFFFF"/>
          </w:tcPr>
          <w:p>
            <w:pPr>
              <w:spacing w:before="60" w:after="60"/>
            </w:pPr>
            <w:r>
              <w:rPr>
                <w:sz w:val="19"/>
              </w:rPr>
              <w:t>59.79</w:t>
            </w:r>
          </w:p>
        </w:tc>
        <w:tc>
          <w:tcPr>
            <w:tcW w:type="dxa" w:w="851"/>
            <w:tcMar>
              <w:top w:w="120" w:type="dxa"/>
              <w:bottom w:w="120" w:type="dxa"/>
              <w:left w:w="140" w:type="dxa"/>
              <w:right w:w="140" w:type="dxa"/>
            </w:tcMar>
            <w:shd w:fill="FFFFFF"/>
          </w:tcPr>
          <w:p>
            <w:pPr>
              <w:spacing w:before="60" w:after="60"/>
            </w:pPr>
            <w:r>
              <w:rPr>
                <w:sz w:val="19"/>
              </w:rPr>
              <w:t>59.57</w:t>
            </w:r>
          </w:p>
        </w:tc>
        <w:tc>
          <w:tcPr>
            <w:tcW w:type="dxa" w:w="851"/>
            <w:tcMar>
              <w:top w:w="120" w:type="dxa"/>
              <w:bottom w:w="120" w:type="dxa"/>
              <w:left w:w="140" w:type="dxa"/>
              <w:right w:w="140" w:type="dxa"/>
            </w:tcMar>
            <w:shd w:fill="FFFFFF"/>
          </w:tcPr>
          <w:p>
            <w:pPr>
              <w:spacing w:before="60" w:after="60"/>
            </w:pPr>
            <w:r>
              <w:rPr>
                <w:sz w:val="19"/>
              </w:rPr>
              <w:t>78.76</w:t>
            </w:r>
          </w:p>
        </w:tc>
        <w:tc>
          <w:tcPr>
            <w:tcW w:type="dxa" w:w="851"/>
            <w:tcMar>
              <w:top w:w="120" w:type="dxa"/>
              <w:bottom w:w="120" w:type="dxa"/>
              <w:left w:w="140" w:type="dxa"/>
              <w:right w:w="140" w:type="dxa"/>
            </w:tcMar>
            <w:shd w:fill="FFFFFF"/>
          </w:tcPr>
          <w:p>
            <w:pPr>
              <w:spacing w:before="60" w:after="60"/>
            </w:pPr>
            <w:r>
              <w:rPr>
                <w:sz w:val="19"/>
              </w:rPr>
              <w:t>85.10</w:t>
            </w:r>
          </w:p>
        </w:tc>
        <w:tc>
          <w:tcPr>
            <w:tcW w:type="dxa" w:w="851"/>
            <w:tcMar>
              <w:top w:w="120" w:type="dxa"/>
              <w:bottom w:w="120" w:type="dxa"/>
              <w:left w:w="140" w:type="dxa"/>
              <w:right w:w="140" w:type="dxa"/>
            </w:tcMar>
            <w:shd w:fill="FFFFFF"/>
          </w:tcPr>
          <w:p>
            <w:pPr>
              <w:spacing w:before="60" w:after="60"/>
            </w:pPr>
            <w:r>
              <w:rPr>
                <w:sz w:val="19"/>
              </w:rPr>
              <w:t>0.00</w:t>
            </w:r>
          </w:p>
        </w:tc>
        <w:tc>
          <w:tcPr>
            <w:tcW w:type="dxa" w:w="851"/>
            <w:tcMar>
              <w:top w:w="120" w:type="dxa"/>
              <w:bottom w:w="120" w:type="dxa"/>
              <w:left w:w="140" w:type="dxa"/>
              <w:right w:w="140" w:type="dxa"/>
            </w:tcMar>
            <w:shd w:fill="FFFFFF"/>
          </w:tcPr>
          <w:p>
            <w:pPr>
              <w:spacing w:before="60" w:after="60"/>
            </w:pPr>
            <w:r>
              <w:rPr>
                <w:sz w:val="19"/>
              </w:rPr>
              <w:t>288.14</w:t>
            </w:r>
          </w:p>
        </w:tc>
        <w:tc>
          <w:tcPr>
            <w:tcW w:type="dxa" w:w="851"/>
            <w:tcMar>
              <w:top w:w="120" w:type="dxa"/>
              <w:bottom w:w="120" w:type="dxa"/>
              <w:left w:w="140" w:type="dxa"/>
              <w:right w:w="140" w:type="dxa"/>
            </w:tcMar>
            <w:shd w:fill="FFFFFF"/>
          </w:tcPr>
          <w:p>
            <w:pPr>
              <w:spacing w:before="60" w:after="60"/>
            </w:pPr>
            <w:r>
              <w:rPr>
                <w:sz w:val="19"/>
              </w:rPr>
              <w:t>0.856</w:t>
            </w:r>
          </w:p>
        </w:tc>
        <w:tc>
          <w:tcPr>
            <w:tcW w:type="dxa" w:w="851"/>
            <w:tcMar>
              <w:top w:w="120" w:type="dxa"/>
              <w:bottom w:w="120" w:type="dxa"/>
              <w:left w:w="140" w:type="dxa"/>
              <w:right w:w="140" w:type="dxa"/>
            </w:tcMar>
            <w:shd w:fill="FFFFFF"/>
          </w:tcPr>
          <w:p>
            <w:pPr>
              <w:spacing w:before="60" w:after="60"/>
            </w:pPr>
            <w:r>
              <w:rPr>
                <w:sz w:val="19"/>
              </w:rPr>
              <w:t>0.685</w:t>
            </w:r>
          </w:p>
        </w:tc>
        <w:tc>
          <w:tcPr>
            <w:tcW w:type="dxa" w:w="851"/>
            <w:tcMar>
              <w:top w:w="120" w:type="dxa"/>
              <w:bottom w:w="120" w:type="dxa"/>
              <w:left w:w="140" w:type="dxa"/>
              <w:right w:w="140" w:type="dxa"/>
            </w:tcMar>
            <w:shd w:fill="FFFFFF"/>
          </w:tcPr>
          <w:p>
            <w:pPr>
              <w:spacing w:before="60" w:after="60"/>
            </w:pPr>
            <w:r>
              <w:rPr>
                <w:sz w:val="19"/>
              </w:rPr>
              <w:t>2.23%</w:t>
            </w:r>
          </w:p>
        </w:tc>
        <w:tc>
          <w:tcPr>
            <w:tcW w:type="dxa" w:w="851"/>
            <w:tcMar>
              <w:top w:w="120" w:type="dxa"/>
              <w:bottom w:w="120" w:type="dxa"/>
              <w:left w:w="140" w:type="dxa"/>
              <w:right w:w="140" w:type="dxa"/>
            </w:tcMar>
            <w:shd w:fill="FFFFFF"/>
          </w:tcPr>
          <w:p>
            <w:pPr>
              <w:spacing w:before="60" w:after="60"/>
            </w:pPr>
            <w:r>
              <w:rPr>
                <w:sz w:val="19"/>
              </w:rPr>
              <w:t>1.86%</w:t>
            </w:r>
          </w:p>
        </w:tc>
      </w:tr>
    </w:tbl>
    <w:p/>
    <w:p>
      <w:pPr>
        <w:spacing w:before="40" w:after="80" w:line="276" w:lineRule="auto"/>
      </w:pPr>
      <w:r>
        <w:rPr>
          <w:rFonts w:ascii="Calibri" w:hAnsi="Calibri"/>
          <w:i/>
        </w:rPr>
        <w:t>Interpretation:</w:t>
      </w:r>
      <w:r>
        <w:rPr>
          <w:rFonts w:ascii="Calibri" w:hAnsi="Calibri"/>
        </w:rPr>
        <w:t xml:space="preserve"> Adjusted unit rates exhibit near-zero skewness and minimal outliers (0.25%), reflecting consistent menu pricing. Conversely, Revenue and Discount display positive skewness (&gt; 2.0) driven by multi-item orders and targeted loyalty price reductions. All identified records were retained as genuine retail variance.</w:t>
      </w:r>
    </w:p>
    <w:p>
      <w:pPr>
        <w:spacing w:before="240" w:after="80"/>
      </w:pPr>
      <w:r>
        <w:rPr>
          <w:rFonts w:ascii="Calibri" w:hAnsi="Calibri"/>
          <w:b/>
          <w:color w:val="323C50"/>
          <w:sz w:val="26"/>
        </w:rPr>
        <w:t>3.4 Key Visual EDA Discoveries</w:t>
      </w:r>
    </w:p>
    <w:p>
      <w:pPr>
        <w:pStyle w:val="ListBullet"/>
        <w:spacing w:before="30" w:after="50"/>
      </w:pPr>
      <w:r>
        <w:rPr>
          <w:rFonts w:ascii="Calibri" w:hAnsi="Calibri"/>
          <w:b/>
        </w:rPr>
        <w:t>Category Share:</w:t>
      </w:r>
      <w:r>
        <w:rPr>
          <w:rFonts w:ascii="Calibri" w:hAnsi="Calibri"/>
        </w:rPr>
        <w:t xml:space="preserve"> Beverages represent 52.17% of sales volume (15,373 items), followed by Food at 37.28% (9,933 items), Deals at 4.60% (2,571 items), and Merchandizing at 4.22% (1,588 items).</w:t>
      </w:r>
    </w:p>
    <w:p>
      <w:pPr>
        <w:pStyle w:val="ListBullet"/>
        <w:spacing w:before="30" w:after="50"/>
      </w:pPr>
      <w:r>
        <w:rPr>
          <w:rFonts w:ascii="Calibri" w:hAnsi="Calibri"/>
          <w:b/>
        </w:rPr>
        <w:t>Temporal Patterns:</w:t>
      </w:r>
      <w:r>
        <w:rPr>
          <w:rFonts w:ascii="Calibri" w:hAnsi="Calibri"/>
        </w:rPr>
        <w:t xml:space="preserve"> Peak transaction density occurs between 8:00 AM and 10:00 AM (morning coffee rush) and 1:00 PM to 3:00 PM (lunch snack surge). Weekend daily volume surges by +35% over midweek averages.</w:t>
      </w:r>
    </w:p>
    <w:p>
      <w:pPr>
        <w:pStyle w:val="ListBullet"/>
        <w:spacing w:before="30" w:after="50"/>
      </w:pPr>
      <w:r>
        <w:rPr>
          <w:rFonts w:ascii="Calibri" w:hAnsi="Calibri"/>
          <w:b/>
        </w:rPr>
        <w:t>Payment Method Preferences:</w:t>
      </w:r>
      <w:r>
        <w:rPr>
          <w:rFonts w:ascii="Calibri" w:hAnsi="Calibri"/>
        </w:rPr>
        <w:t xml:space="preserve"> VISA (43.1%) and Cash (23.2%) dominate total transactions. Delivery app orders (Uber Eats at 8.3%, PickMe at 3.6%) surge predominantly during late afternoon and evening hours.</w:t>
      </w:r>
    </w:p>
    <w:p>
      <w:pPr>
        <w:spacing w:before="320" w:after="120"/>
      </w:pPr>
      <w:r>
        <w:rPr>
          <w:rFonts w:ascii="Calibri" w:hAnsi="Calibri"/>
          <w:b/>
          <w:color w:val="1F4E78"/>
          <w:sz w:val="32"/>
        </w:rPr>
        <w:t>Task 4: Statistical Inference &amp; Hypothesis Testing</w:t>
      </w:r>
    </w:p>
    <w:p>
      <w:pPr>
        <w:spacing w:before="40" w:after="80" w:line="276" w:lineRule="auto"/>
      </w:pPr>
      <w:r>
        <w:rPr>
          <w:rFonts w:ascii="Calibri" w:hAnsi="Calibri"/>
        </w:rPr>
        <w:t xml:space="preserve">Six formal hypothesis tests were executed in </w:t>
      </w:r>
      <w:r>
        <w:rPr>
          <w:rFonts w:ascii="Consolas" w:hAnsi="Consolas"/>
          <w:color w:val="A0283C"/>
          <w:sz w:val="20"/>
        </w:rPr>
        <w:t>04_statistical_inference.R</w:t>
      </w:r>
      <w:r>
        <w:rPr>
          <w:rFonts w:ascii="Calibri" w:hAnsi="Calibri"/>
        </w:rPr>
        <w:t xml:space="preserve"> using a significance threshold of α = 0.05.</w:t>
      </w:r>
    </w:p>
    <w:p>
      <w:pPr>
        <w:spacing w:before="240" w:after="80"/>
      </w:pPr>
      <w:r>
        <w:rPr>
          <w:rFonts w:ascii="Calibri" w:hAnsi="Calibri"/>
          <w:b/>
          <w:color w:val="323C50"/>
          <w:sz w:val="26"/>
        </w:rPr>
        <w:t>Test 1: Welch's Two-Sample t-Test (Comparison of Means)</w:t>
      </w:r>
    </w:p>
    <w:p>
      <w:pPr>
        <w:pStyle w:val="ListBullet"/>
        <w:spacing w:before="30" w:after="50"/>
      </w:pPr>
      <w:r>
        <w:rPr>
          <w:rFonts w:ascii="Calibri" w:hAnsi="Calibri"/>
          <w:b/>
        </w:rPr>
        <w:t>Question:</w:t>
      </w:r>
      <w:r>
        <w:rPr>
          <w:rFonts w:ascii="Calibri" w:hAnsi="Calibri"/>
        </w:rPr>
        <w:t xml:space="preserve"> Do Foreign tourists spend significantly more per line item than Local customers?</w:t>
      </w:r>
    </w:p>
    <w:p>
      <w:pPr>
        <w:pStyle w:val="ListBullet"/>
        <w:spacing w:before="30" w:after="50"/>
      </w:pPr>
      <w:r>
        <w:rPr>
          <w:rFonts w:ascii="Calibri" w:hAnsi="Calibri"/>
          <w:b/>
        </w:rPr>
        <w:t>Hypotheses:</w:t>
      </w:r>
      <w:r>
        <w:rPr>
          <w:rFonts w:ascii="Calibri" w:hAnsi="Calibri"/>
        </w:rPr>
        <w:t xml:space="preserve"> H₀: μ_Foreign - μ_Local = 0   vs.   H₁: μ_Foreign - μ_Local ≠ 0</w:t>
      </w:r>
    </w:p>
    <w:p>
      <w:pPr>
        <w:pStyle w:val="ListBullet"/>
        <w:spacing w:before="30" w:after="50"/>
      </w:pPr>
      <w:r>
        <w:rPr>
          <w:rFonts w:ascii="Calibri" w:hAnsi="Calibri"/>
          <w:b/>
        </w:rPr>
        <w:t>Justification:</w:t>
      </w:r>
      <w:r>
        <w:rPr>
          <w:rFonts w:ascii="Calibri" w:hAnsi="Calibri"/>
        </w:rPr>
        <w:t xml:space="preserve"> Sample sizes (Foreign: 4,524; Local: 24,941) and variances differ; Welch's test does not assume equal population variances.</w:t>
      </w:r>
    </w:p>
    <w:p>
      <w:pPr>
        <w:pStyle w:val="ListBullet"/>
        <w:spacing w:before="30" w:after="50"/>
      </w:pPr>
      <w:r>
        <w:rPr>
          <w:rFonts w:ascii="Calibri" w:hAnsi="Calibri"/>
          <w:b/>
        </w:rPr>
        <w:t>Results:</w:t>
      </w:r>
      <w:r>
        <w:rPr>
          <w:rFonts w:ascii="Calibri" w:hAnsi="Calibri"/>
        </w:rPr>
        <w:t xml:space="preserve"> x̄_Foreign = LKR 1,039.90, x̄_Local = LKR 1,014.57. Difference = +LKR 14.57 (95% CI: [0.45, 28.69]). t = 2.0266, df = 6,265.9, p = 0.0427. Cohen's d = 0.033.</w:t>
      </w:r>
    </w:p>
    <w:p>
      <w:pPr>
        <w:pStyle w:val="ListBullet"/>
        <w:spacing w:before="30" w:after="50"/>
      </w:pPr>
      <w:r>
        <w:rPr>
          <w:rFonts w:ascii="Calibri" w:hAnsi="Calibri"/>
          <w:b/>
        </w:rPr>
        <w:t>Decision:</w:t>
      </w:r>
      <w:r>
        <w:rPr>
          <w:rFonts w:ascii="Calibri" w:hAnsi="Calibri"/>
        </w:rPr>
        <w:t xml:space="preserve"> </w:t>
      </w:r>
      <w:r>
        <w:rPr>
          <w:rFonts w:ascii="Calibri" w:hAnsi="Calibri"/>
          <w:b/>
        </w:rPr>
        <w:t>Reject H₀.</w:t>
      </w:r>
      <w:r>
        <w:rPr>
          <w:rFonts w:ascii="Calibri" w:hAnsi="Calibri"/>
        </w:rPr>
        <w:t xml:space="preserve"> Foreign visitors generate a statistically significant spend premium. Curate premium Ceylon coffee flights and souvenir bakery gift packs in tourist branches.</w:t>
      </w:r>
    </w:p>
    <w:p>
      <w:pPr>
        <w:spacing w:before="240" w:after="80"/>
      </w:pPr>
      <w:r>
        <w:rPr>
          <w:rFonts w:ascii="Calibri" w:hAnsi="Calibri"/>
          <w:b/>
          <w:color w:val="323C50"/>
          <w:sz w:val="26"/>
        </w:rPr>
        <w:t>Test 2: Fisher's F-Test (Comparison of Variances)</w:t>
      </w:r>
    </w:p>
    <w:p>
      <w:pPr>
        <w:pStyle w:val="ListBullet"/>
        <w:spacing w:before="30" w:after="50"/>
      </w:pPr>
      <w:r>
        <w:rPr>
          <w:rFonts w:ascii="Calibri" w:hAnsi="Calibri"/>
          <w:b/>
        </w:rPr>
        <w:t>Question:</w:t>
      </w:r>
      <w:r>
        <w:rPr>
          <w:rFonts w:ascii="Calibri" w:hAnsi="Calibri"/>
        </w:rPr>
        <w:t xml:space="preserve"> Is spending volatility equal between Dine-In and Takeaway orders?</w:t>
      </w:r>
    </w:p>
    <w:p>
      <w:pPr>
        <w:pStyle w:val="ListBullet"/>
        <w:spacing w:before="30" w:after="50"/>
      </w:pPr>
      <w:r>
        <w:rPr>
          <w:rFonts w:ascii="Calibri" w:hAnsi="Calibri"/>
          <w:b/>
        </w:rPr>
        <w:t>Hypotheses:</w:t>
      </w:r>
      <w:r>
        <w:rPr>
          <w:rFonts w:ascii="Calibri" w:hAnsi="Calibri"/>
        </w:rPr>
        <w:t xml:space="preserve"> H₀: σ²_Dine-In / σ²_Takeaway = 1   vs.   H₁: σ²_Dine-In / σ²_Takeaway ≠ 1</w:t>
      </w:r>
    </w:p>
    <w:p>
      <w:pPr>
        <w:pStyle w:val="ListBullet"/>
        <w:spacing w:before="30" w:after="50"/>
      </w:pPr>
      <w:r>
        <w:rPr>
          <w:rFonts w:ascii="Calibri" w:hAnsi="Calibri"/>
          <w:b/>
        </w:rPr>
        <w:t>Results:</w:t>
      </w:r>
      <w:r>
        <w:rPr>
          <w:rFonts w:ascii="Calibri" w:hAnsi="Calibri"/>
        </w:rPr>
        <w:t xml:space="preserve"> F = 0.9687, df₁ = 17,364, df₂ = 12,099, p = 0.05723. 95% CI for ratio: [0.9374, 1.0010].</w:t>
      </w:r>
    </w:p>
    <w:p>
      <w:pPr>
        <w:pStyle w:val="ListBullet"/>
        <w:spacing w:before="30" w:after="50"/>
      </w:pPr>
      <w:r>
        <w:rPr>
          <w:rFonts w:ascii="Calibri" w:hAnsi="Calibri"/>
          <w:b/>
        </w:rPr>
        <w:t>Decision:</w:t>
      </w:r>
      <w:r>
        <w:rPr>
          <w:rFonts w:ascii="Calibri" w:hAnsi="Calibri"/>
        </w:rPr>
        <w:t xml:space="preserve"> </w:t>
      </w:r>
      <w:r>
        <w:rPr>
          <w:rFonts w:ascii="Calibri" w:hAnsi="Calibri"/>
          <w:b/>
        </w:rPr>
        <w:t>Fail to Reject H₀.</w:t>
      </w:r>
      <w:r>
        <w:rPr>
          <w:rFonts w:ascii="Calibri" w:hAnsi="Calibri"/>
        </w:rPr>
        <w:t xml:space="preserve"> Overall basket variance is statistically homogeneous across ordering channels.</w:t>
      </w:r>
    </w:p>
    <w:p>
      <w:pPr>
        <w:spacing w:before="240" w:after="80"/>
      </w:pPr>
      <w:r>
        <w:rPr>
          <w:rFonts w:ascii="Calibri" w:hAnsi="Calibri"/>
          <w:b/>
          <w:color w:val="323C50"/>
          <w:sz w:val="26"/>
        </w:rPr>
        <w:t>Test 3: One-Way ANOVA (Revenue across Outlets)</w:t>
      </w:r>
    </w:p>
    <w:p>
      <w:pPr>
        <w:pStyle w:val="ListBullet"/>
        <w:spacing w:before="30" w:after="50"/>
      </w:pPr>
      <w:r>
        <w:rPr>
          <w:rFonts w:ascii="Calibri" w:hAnsi="Calibri"/>
          <w:b/>
        </w:rPr>
        <w:t>Question:</w:t>
      </w:r>
      <w:r>
        <w:rPr>
          <w:rFonts w:ascii="Calibri" w:hAnsi="Calibri"/>
        </w:rPr>
        <w:t xml:space="preserve"> Does mean item revenue vary significantly across the top 8 store outlets?</w:t>
      </w:r>
    </w:p>
    <w:p>
      <w:pPr>
        <w:pStyle w:val="ListBullet"/>
        <w:spacing w:before="30" w:after="50"/>
      </w:pPr>
      <w:r>
        <w:rPr>
          <w:rFonts w:ascii="Calibri" w:hAnsi="Calibri"/>
          <w:b/>
        </w:rPr>
        <w:t>Hypotheses:</w:t>
      </w:r>
      <w:r>
        <w:rPr>
          <w:rFonts w:ascii="Calibri" w:hAnsi="Calibri"/>
        </w:rPr>
        <w:t xml:space="preserve"> H₀: μ₁ = μ₂ = ... = μ₈   vs.   H₁: At least one outlet mean differs</w:t>
      </w:r>
    </w:p>
    <w:p>
      <w:pPr>
        <w:pStyle w:val="ListBullet"/>
        <w:spacing w:before="30" w:after="50"/>
      </w:pPr>
      <w:r>
        <w:rPr>
          <w:rFonts w:ascii="Calibri" w:hAnsi="Calibri"/>
          <w:b/>
        </w:rPr>
        <w:t>Results:</w:t>
      </w:r>
      <w:r>
        <w:rPr>
          <w:rFonts w:ascii="Calibri" w:hAnsi="Calibri"/>
        </w:rPr>
        <w:t xml:space="preserve"> F = 1.4044, df = (7, 5745), p = 0.1986, η² = 0.0017.</w:t>
      </w:r>
    </w:p>
    <w:p>
      <w:pPr>
        <w:pStyle w:val="ListBullet"/>
        <w:spacing w:before="30" w:after="50"/>
      </w:pPr>
      <w:r>
        <w:rPr>
          <w:rFonts w:ascii="Calibri" w:hAnsi="Calibri"/>
          <w:b/>
        </w:rPr>
        <w:t>Decision:</w:t>
      </w:r>
      <w:r>
        <w:rPr>
          <w:rFonts w:ascii="Calibri" w:hAnsi="Calibri"/>
        </w:rPr>
        <w:t xml:space="preserve"> </w:t>
      </w:r>
      <w:r>
        <w:rPr>
          <w:rFonts w:ascii="Calibri" w:hAnsi="Calibri"/>
          <w:b/>
        </w:rPr>
        <w:t>Fail to Reject H₀.</w:t>
      </w:r>
      <w:r>
        <w:rPr>
          <w:rFonts w:ascii="Calibri" w:hAnsi="Calibri"/>
        </w:rPr>
        <w:t xml:space="preserve"> With p &gt; 0.05, there is no statistically significant difference in mean item revenue across outlets, indicating chain-wide pricing standardization.</w:t>
      </w:r>
    </w:p>
    <w:p>
      <w:pPr>
        <w:spacing w:before="240" w:after="80"/>
      </w:pPr>
      <w:r>
        <w:rPr>
          <w:rFonts w:ascii="Calibri" w:hAnsi="Calibri"/>
          <w:b/>
          <w:color w:val="323C50"/>
          <w:sz w:val="26"/>
        </w:rPr>
        <w:t>Test 4: Pearson's Chi-Square Test of Independence (Proportions)</w:t>
      </w:r>
    </w:p>
    <w:p>
      <w:pPr>
        <w:pStyle w:val="ListBullet"/>
        <w:spacing w:before="30" w:after="50"/>
      </w:pPr>
      <w:r>
        <w:rPr>
          <w:rFonts w:ascii="Calibri" w:hAnsi="Calibri"/>
          <w:b/>
        </w:rPr>
        <w:t>Question:</w:t>
      </w:r>
      <w:r>
        <w:rPr>
          <w:rFonts w:ascii="Calibri" w:hAnsi="Calibri"/>
        </w:rPr>
        <w:t xml:space="preserve"> Is choice of payment method independent of customer segment (Local vs. Foreign)?</w:t>
      </w:r>
    </w:p>
    <w:p>
      <w:pPr>
        <w:pStyle w:val="ListBullet"/>
        <w:spacing w:before="30" w:after="50"/>
      </w:pPr>
      <w:r>
        <w:rPr>
          <w:rFonts w:ascii="Calibri" w:hAnsi="Calibri"/>
          <w:b/>
        </w:rPr>
        <w:t>Hypotheses:</w:t>
      </w:r>
      <w:r>
        <w:rPr>
          <w:rFonts w:ascii="Calibri" w:hAnsi="Calibri"/>
        </w:rPr>
        <w:t xml:space="preserve"> H₀: Payment Method ⊥ Customer Type   vs.   H₁: Statistically Dependent</w:t>
      </w:r>
    </w:p>
    <w:p>
      <w:pPr>
        <w:pStyle w:val="ListBullet"/>
        <w:spacing w:before="30" w:after="50"/>
      </w:pPr>
      <w:r>
        <w:rPr>
          <w:rFonts w:ascii="Calibri" w:hAnsi="Calibri"/>
          <w:b/>
        </w:rPr>
        <w:t>Results:</w:t>
      </w:r>
      <w:r>
        <w:rPr>
          <w:rFonts w:ascii="Calibri" w:hAnsi="Calibri"/>
        </w:rPr>
        <w:t xml:space="preserve"> χ² = 4,270.2, df = 6, p &lt; 0.0001. Cramér's V = 0.3807 (moderate-to-strong association).</w:t>
      </w:r>
    </w:p>
    <w:p>
      <w:pPr>
        <w:pStyle w:val="ListBullet"/>
        <w:spacing w:before="30" w:after="50"/>
      </w:pPr>
      <w:r>
        <w:rPr>
          <w:rFonts w:ascii="Calibri" w:hAnsi="Calibri"/>
          <w:b/>
        </w:rPr>
        <w:t>Decision:</w:t>
      </w:r>
      <w:r>
        <w:rPr>
          <w:rFonts w:ascii="Calibri" w:hAnsi="Calibri"/>
        </w:rPr>
        <w:t xml:space="preserve"> </w:t>
      </w:r>
      <w:r>
        <w:rPr>
          <w:rFonts w:ascii="Calibri" w:hAnsi="Calibri"/>
          <w:b/>
        </w:rPr>
        <w:t>Reject H₀.</w:t>
      </w:r>
      <w:r>
        <w:rPr>
          <w:rFonts w:ascii="Calibri" w:hAnsi="Calibri"/>
        </w:rPr>
        <w:t xml:space="preserve"> Foreign tourists rely almost exclusively on VISA/MasterCard/AMEX credit cards, whereas Locals utilize cash, Uber Eats wallets, and local QR platforms.</w:t>
      </w:r>
    </w:p>
    <w:p>
      <w:pPr>
        <w:spacing w:before="240" w:after="80"/>
      </w:pPr>
      <w:r>
        <w:rPr>
          <w:rFonts w:ascii="Calibri" w:hAnsi="Calibri"/>
          <w:b/>
          <w:color w:val="323C50"/>
          <w:sz w:val="26"/>
        </w:rPr>
        <w:t>Test 5: Kruskal-Wallis Non-Parametric Test</w:t>
      </w:r>
    </w:p>
    <w:p>
      <w:pPr>
        <w:pStyle w:val="ListBullet"/>
        <w:spacing w:before="30" w:after="50"/>
      </w:pPr>
      <w:r>
        <w:rPr>
          <w:rFonts w:ascii="Calibri" w:hAnsi="Calibri"/>
          <w:b/>
        </w:rPr>
        <w:t>Question:</w:t>
      </w:r>
      <w:r>
        <w:rPr>
          <w:rFonts w:ascii="Calibri" w:hAnsi="Calibri"/>
        </w:rPr>
        <w:t xml:space="preserve"> Does median item quantity ordered (</w:t>
      </w:r>
      <w:r>
        <w:rPr>
          <w:rFonts w:ascii="Consolas" w:hAnsi="Consolas"/>
          <w:color w:val="A0283C"/>
          <w:sz w:val="20"/>
        </w:rPr>
        <w:t>Qty1</w:t>
      </w:r>
      <w:r>
        <w:rPr>
          <w:rFonts w:ascii="Calibri" w:hAnsi="Calibri"/>
        </w:rPr>
        <w:t>) vary across times of day?</w:t>
      </w:r>
    </w:p>
    <w:p>
      <w:pPr>
        <w:pStyle w:val="ListBullet"/>
        <w:spacing w:before="30" w:after="50"/>
      </w:pPr>
      <w:r>
        <w:rPr>
          <w:rFonts w:ascii="Calibri" w:hAnsi="Calibri"/>
          <w:b/>
        </w:rPr>
        <w:t>Hypotheses:</w:t>
      </w:r>
      <w:r>
        <w:rPr>
          <w:rFonts w:ascii="Calibri" w:hAnsi="Calibri"/>
        </w:rPr>
        <w:t xml:space="preserve"> H₀: Medians across Morning, Afternoon, Evening, Night identical</w:t>
      </w:r>
    </w:p>
    <w:p>
      <w:pPr>
        <w:pStyle w:val="ListBullet"/>
        <w:spacing w:before="30" w:after="50"/>
      </w:pPr>
      <w:r>
        <w:rPr>
          <w:rFonts w:ascii="Calibri" w:hAnsi="Calibri"/>
          <w:b/>
        </w:rPr>
        <w:t>Results:</w:t>
      </w:r>
      <w:r>
        <w:rPr>
          <w:rFonts w:ascii="Calibri" w:hAnsi="Calibri"/>
        </w:rPr>
        <w:t xml:space="preserve"> Kruskal-Wallis χ² = 0.7777, df = 3, p = 0.8548.</w:t>
      </w:r>
    </w:p>
    <w:p>
      <w:pPr>
        <w:pStyle w:val="ListBullet"/>
        <w:spacing w:before="30" w:after="50"/>
      </w:pPr>
      <w:r>
        <w:rPr>
          <w:rFonts w:ascii="Calibri" w:hAnsi="Calibri"/>
          <w:b/>
        </w:rPr>
        <w:t>Decision:</w:t>
      </w:r>
      <w:r>
        <w:rPr>
          <w:rFonts w:ascii="Calibri" w:hAnsi="Calibri"/>
        </w:rPr>
        <w:t xml:space="preserve"> </w:t>
      </w:r>
      <w:r>
        <w:rPr>
          <w:rFonts w:ascii="Calibri" w:hAnsi="Calibri"/>
          <w:b/>
        </w:rPr>
        <w:t>Fail to Reject H₀.</w:t>
      </w:r>
      <w:r>
        <w:rPr>
          <w:rFonts w:ascii="Calibri" w:hAnsi="Calibri"/>
        </w:rPr>
        <w:t xml:space="preserve"> Line-item counts per order are uniform throughout the operating day.</w:t>
      </w:r>
    </w:p>
    <w:p>
      <w:pPr>
        <w:spacing w:before="240" w:after="80"/>
      </w:pPr>
      <w:r>
        <w:rPr>
          <w:rFonts w:ascii="Calibri" w:hAnsi="Calibri"/>
          <w:b/>
          <w:color w:val="323C50"/>
          <w:sz w:val="26"/>
        </w:rPr>
        <w:t>Test 6: Pearson &amp; Spearman Correlation Analysis</w:t>
      </w:r>
    </w:p>
    <w:p>
      <w:pPr>
        <w:pStyle w:val="ListBullet"/>
        <w:spacing w:before="30" w:after="50"/>
      </w:pPr>
      <w:r>
        <w:rPr>
          <w:rFonts w:ascii="Calibri" w:hAnsi="Calibri"/>
          <w:b/>
        </w:rPr>
        <w:t>Question:</w:t>
      </w:r>
      <w:r>
        <w:rPr>
          <w:rFonts w:ascii="Calibri" w:hAnsi="Calibri"/>
        </w:rPr>
        <w:t xml:space="preserve"> Does promotional discounting correlate with total customer item spend?</w:t>
      </w:r>
    </w:p>
    <w:p>
      <w:pPr>
        <w:pStyle w:val="ListBullet"/>
        <w:spacing w:before="30" w:after="50"/>
      </w:pPr>
      <w:r>
        <w:rPr>
          <w:rFonts w:ascii="Calibri" w:hAnsi="Calibri"/>
          <w:b/>
        </w:rPr>
        <w:t>Hypotheses:</w:t>
      </w:r>
      <w:r>
        <w:rPr>
          <w:rFonts w:ascii="Calibri" w:hAnsi="Calibri"/>
        </w:rPr>
        <w:t xml:space="preserve"> H₀: ρ = 0   vs.   H₁: ρ ≠ 0</w:t>
      </w:r>
    </w:p>
    <w:p>
      <w:pPr>
        <w:pStyle w:val="ListBullet"/>
        <w:spacing w:before="30" w:after="50"/>
      </w:pPr>
      <w:r>
        <w:rPr>
          <w:rFonts w:ascii="Calibri" w:hAnsi="Calibri"/>
          <w:b/>
        </w:rPr>
        <w:t>Results:</w:t>
      </w:r>
      <w:r>
        <w:rPr>
          <w:rFonts w:ascii="Calibri" w:hAnsi="Calibri"/>
        </w:rPr>
        <w:t xml:space="preserve"> Pearson r = +0.0336, t = 5.7624, df = 29,463, p &lt; 0.0001. Spearman ρ = +0.0335, p &lt; 0.0001.</w:t>
      </w:r>
    </w:p>
    <w:p>
      <w:pPr>
        <w:pStyle w:val="ListBullet"/>
        <w:spacing w:before="30" w:after="50"/>
      </w:pPr>
      <w:r>
        <w:rPr>
          <w:rFonts w:ascii="Calibri" w:hAnsi="Calibri"/>
          <w:b/>
        </w:rPr>
        <w:t>Decision:</w:t>
      </w:r>
      <w:r>
        <w:rPr>
          <w:rFonts w:ascii="Calibri" w:hAnsi="Calibri"/>
        </w:rPr>
        <w:t xml:space="preserve"> </w:t>
      </w:r>
      <w:r>
        <w:rPr>
          <w:rFonts w:ascii="Calibri" w:hAnsi="Calibri"/>
          <w:b/>
        </w:rPr>
        <w:t>Reject H₀.</w:t>
      </w:r>
      <w:r>
        <w:rPr>
          <w:rFonts w:ascii="Calibri" w:hAnsi="Calibri"/>
        </w:rPr>
        <w:t xml:space="preserve"> Modest positive correlation indicates that discount promotions encourage basket expansion rather than revenue cannibalization.</w:t>
      </w:r>
    </w:p>
    <w:p>
      <w:pPr>
        <w:spacing w:before="320" w:after="120"/>
      </w:pPr>
      <w:r>
        <w:rPr>
          <w:rFonts w:ascii="Calibri" w:hAnsi="Calibri"/>
          <w:b/>
          <w:color w:val="1F4E78"/>
          <w:sz w:val="32"/>
        </w:rPr>
        <w:t>Task 5: Predictive Statistical Modelling (4-Member Leaderboard)</w:t>
      </w:r>
    </w:p>
    <w:p>
      <w:pPr>
        <w:spacing w:before="240" w:after="80"/>
      </w:pPr>
      <w:r>
        <w:rPr>
          <w:rFonts w:ascii="Calibri" w:hAnsi="Calibri"/>
          <w:b/>
          <w:color w:val="323C50"/>
          <w:sz w:val="26"/>
        </w:rPr>
        <w:t>5.1 Progression from Baseline Heuristics to Multi-Model Predictive Tournament</w:t>
      </w:r>
    </w:p>
    <w:p>
      <w:pPr>
        <w:spacing w:before="40" w:after="80" w:line="276" w:lineRule="auto"/>
      </w:pPr>
      <w:r>
        <w:rPr>
          <w:rFonts w:ascii="Calibri" w:hAnsi="Calibri"/>
        </w:rPr>
        <w:t xml:space="preserve">In initial exploratory modeling, single-label baseline heuristics (such as simply guessing the majority Beverage category) achieved hit rates of ~52.2% with severe class collapse (Macro-Recall ~25%, completely failing to predict Deals and Merchandizing). To establish a rigorous statistical predictive engine, our consultancy deployed a feature-engineering pipeline extracting </w:t>
      </w:r>
      <w:r>
        <w:rPr>
          <w:rFonts w:ascii="Consolas" w:hAnsi="Consolas"/>
          <w:color w:val="A0283C"/>
          <w:sz w:val="20"/>
        </w:rPr>
        <w:t>Discount</w:t>
      </w:r>
      <w:r>
        <w:rPr>
          <w:rFonts w:ascii="Calibri" w:hAnsi="Calibri"/>
        </w:rPr>
        <w:t xml:space="preserve">, </w:t>
      </w:r>
      <w:r>
        <w:rPr>
          <w:rFonts w:ascii="Consolas" w:hAnsi="Consolas"/>
          <w:color w:val="A0283C"/>
          <w:sz w:val="20"/>
        </w:rPr>
        <w:t>ServiceCharge</w:t>
      </w:r>
      <w:r>
        <w:rPr>
          <w:rFonts w:ascii="Calibri" w:hAnsi="Calibri"/>
        </w:rPr>
        <w:t xml:space="preserve">, </w:t>
      </w:r>
      <w:r>
        <w:rPr>
          <w:rFonts w:ascii="Consolas" w:hAnsi="Consolas"/>
          <w:color w:val="A0283C"/>
          <w:sz w:val="20"/>
        </w:rPr>
        <w:t>BasketItems</w:t>
      </w:r>
      <w:r>
        <w:rPr>
          <w:rFonts w:ascii="Calibri" w:hAnsi="Calibri"/>
        </w:rPr>
        <w:t xml:space="preserve">, and </w:t>
      </w:r>
      <w:r>
        <w:rPr>
          <w:rFonts w:ascii="Consolas" w:hAnsi="Consolas"/>
          <w:color w:val="A0283C"/>
          <w:sz w:val="20"/>
        </w:rPr>
        <w:t>IsWeekend</w:t>
      </w:r>
      <w:r>
        <w:rPr>
          <w:rFonts w:ascii="Calibri" w:hAnsi="Calibri"/>
        </w:rPr>
        <w:t xml:space="preserve">, followed by a multi-architecture tournament in </w:t>
      </w:r>
      <w:r>
        <w:rPr>
          <w:rFonts w:ascii="Consolas" w:hAnsi="Consolas"/>
          <w:color w:val="A0283C"/>
          <w:sz w:val="20"/>
        </w:rPr>
        <w:t>05_modelling.R</w:t>
      </w:r>
      <w:r>
        <w:rPr>
          <w:rFonts w:ascii="Calibri" w:hAnsi="Calibri"/>
        </w:rPr>
        <w:t xml:space="preserve"> evaluating </w:t>
      </w:r>
      <w:r>
        <w:rPr>
          <w:rFonts w:ascii="Calibri" w:hAnsi="Calibri"/>
          <w:b/>
        </w:rPr>
        <w:t>Classification Accuracy</w:t>
      </w:r>
      <w:r>
        <w:rPr>
          <w:rFonts w:ascii="Calibri" w:hAnsi="Calibri"/>
        </w:rPr>
        <w:t xml:space="preserve">, </w:t>
      </w:r>
      <w:r>
        <w:rPr>
          <w:rFonts w:ascii="Calibri" w:hAnsi="Calibri"/>
          <w:b/>
        </w:rPr>
        <w:t>Macro F1</w:t>
      </w:r>
      <w:r>
        <w:rPr>
          <w:rFonts w:ascii="Calibri" w:hAnsi="Calibri"/>
        </w:rPr>
        <w:t xml:space="preserve">, and </w:t>
      </w:r>
      <w:r>
        <w:rPr>
          <w:rFonts w:ascii="Calibri" w:hAnsi="Calibri"/>
          <w:b/>
        </w:rPr>
        <w:t>Multi-Class ROC-AUC</w:t>
      </w:r>
      <w:r>
        <w:rPr>
          <w:rFonts w:ascii="Calibri" w:hAnsi="Calibri"/>
        </w:rPr>
        <w:t xml:space="preserve"> across four syllabus-aligned architectures on an 80/20 train/test partition (23,574 train / 5,891 test observations):</w:t>
      </w:r>
    </w:p>
    <w:p>
      <w:pPr>
        <w:spacing w:before="240" w:after="80"/>
      </w:pPr>
      <w:r>
        <w:rPr>
          <w:rFonts w:ascii="Calibri" w:hAnsi="Calibri"/>
          <w:b/>
          <w:color w:val="323C50"/>
          <w:sz w:val="26"/>
        </w:rPr>
        <w:t>5.2 Leaderboard &amp; Evaluation Metrics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Mar>
              <w:top w:w="120" w:type="dxa"/>
              <w:bottom w:w="120" w:type="dxa"/>
              <w:left w:w="140" w:type="dxa"/>
              <w:right w:w="140" w:type="dxa"/>
            </w:tcMar>
            <w:shd w:fill="1F4E78"/>
          </w:tcPr>
          <w:p>
            <w:pPr>
              <w:spacing w:before="60" w:after="60"/>
            </w:pPr>
            <w:r>
              <w:rPr>
                <w:b/>
                <w:color w:val="FFFFFF"/>
                <w:sz w:val="20"/>
              </w:rPr>
              <w:t>Member</w:t>
            </w:r>
          </w:p>
        </w:tc>
        <w:tc>
          <w:tcPr>
            <w:tcW w:type="dxa" w:w="1040"/>
            <w:tcMar>
              <w:top w:w="120" w:type="dxa"/>
              <w:bottom w:w="120" w:type="dxa"/>
              <w:left w:w="140" w:type="dxa"/>
              <w:right w:w="140" w:type="dxa"/>
            </w:tcMar>
            <w:shd w:fill="1F4E78"/>
          </w:tcPr>
          <w:p>
            <w:pPr>
              <w:spacing w:before="60" w:after="60"/>
            </w:pPr>
            <w:r>
              <w:rPr>
                <w:b/>
                <w:color w:val="FFFFFF"/>
                <w:sz w:val="20"/>
              </w:rPr>
              <w:t>Algorithm Architecture</w:t>
            </w:r>
          </w:p>
        </w:tc>
        <w:tc>
          <w:tcPr>
            <w:tcW w:type="dxa" w:w="1040"/>
            <w:tcMar>
              <w:top w:w="120" w:type="dxa"/>
              <w:bottom w:w="120" w:type="dxa"/>
              <w:left w:w="140" w:type="dxa"/>
              <w:right w:w="140" w:type="dxa"/>
            </w:tcMar>
            <w:shd w:fill="1F4E78"/>
          </w:tcPr>
          <w:p>
            <w:pPr>
              <w:spacing w:before="60" w:after="60"/>
            </w:pPr>
            <w:r>
              <w:rPr>
                <w:b/>
                <w:color w:val="FFFFFF"/>
                <w:sz w:val="20"/>
              </w:rPr>
              <w:t>Classification Accuracy</w:t>
            </w:r>
          </w:p>
        </w:tc>
        <w:tc>
          <w:tcPr>
            <w:tcW w:type="dxa" w:w="1040"/>
            <w:tcMar>
              <w:top w:w="120" w:type="dxa"/>
              <w:bottom w:w="120" w:type="dxa"/>
              <w:left w:w="140" w:type="dxa"/>
              <w:right w:w="140" w:type="dxa"/>
            </w:tcMar>
            <w:shd w:fill="1F4E78"/>
          </w:tcPr>
          <w:p>
            <w:pPr>
              <w:spacing w:before="60" w:after="60"/>
            </w:pPr>
            <w:r>
              <w:rPr>
                <w:b/>
                <w:color w:val="FFFFFF"/>
                <w:sz w:val="20"/>
              </w:rPr>
              <w:t>Multi-Class ROC-AUC</w:t>
            </w:r>
          </w:p>
        </w:tc>
        <w:tc>
          <w:tcPr>
            <w:tcW w:type="dxa" w:w="1040"/>
            <w:tcMar>
              <w:top w:w="120" w:type="dxa"/>
              <w:bottom w:w="120" w:type="dxa"/>
              <w:left w:w="140" w:type="dxa"/>
              <w:right w:w="140" w:type="dxa"/>
            </w:tcMar>
            <w:shd w:fill="1F4E78"/>
          </w:tcPr>
          <w:p>
            <w:pPr>
              <w:spacing w:before="60" w:after="60"/>
            </w:pPr>
            <w:r>
              <w:rPr>
                <w:b/>
                <w:color w:val="FFFFFF"/>
                <w:sz w:val="20"/>
              </w:rPr>
              <w:t>Macro Precision</w:t>
            </w:r>
          </w:p>
        </w:tc>
        <w:tc>
          <w:tcPr>
            <w:tcW w:type="dxa" w:w="1040"/>
            <w:tcMar>
              <w:top w:w="120" w:type="dxa"/>
              <w:bottom w:w="120" w:type="dxa"/>
              <w:left w:w="140" w:type="dxa"/>
              <w:right w:w="140" w:type="dxa"/>
            </w:tcMar>
            <w:shd w:fill="1F4E78"/>
          </w:tcPr>
          <w:p>
            <w:pPr>
              <w:spacing w:before="60" w:after="60"/>
            </w:pPr>
            <w:r>
              <w:rPr>
                <w:b/>
                <w:color w:val="FFFFFF"/>
                <w:sz w:val="20"/>
              </w:rPr>
              <w:t>Macro Recall</w:t>
            </w:r>
          </w:p>
        </w:tc>
        <w:tc>
          <w:tcPr>
            <w:tcW w:type="dxa" w:w="1040"/>
            <w:tcMar>
              <w:top w:w="120" w:type="dxa"/>
              <w:bottom w:w="120" w:type="dxa"/>
              <w:left w:w="140" w:type="dxa"/>
              <w:right w:w="140" w:type="dxa"/>
            </w:tcMar>
            <w:shd w:fill="1F4E78"/>
          </w:tcPr>
          <w:p>
            <w:pPr>
              <w:spacing w:before="60" w:after="60"/>
            </w:pPr>
            <w:r>
              <w:rPr>
                <w:b/>
                <w:color w:val="FFFFFF"/>
                <w:sz w:val="20"/>
              </w:rPr>
              <w:t>Macro F1</w:t>
            </w:r>
          </w:p>
        </w:tc>
        <w:tc>
          <w:tcPr>
            <w:tcW w:type="dxa" w:w="1040"/>
            <w:tcMar>
              <w:top w:w="120" w:type="dxa"/>
              <w:bottom w:w="120" w:type="dxa"/>
              <w:left w:w="140" w:type="dxa"/>
              <w:right w:w="140" w:type="dxa"/>
            </w:tcMar>
            <w:shd w:fill="1F4E78"/>
          </w:tcPr>
          <w:p>
            <w:pPr>
              <w:spacing w:before="60" w:after="60"/>
            </w:pPr>
            <w:r>
              <w:rPr>
                <w:b/>
                <w:color w:val="FFFFFF"/>
                <w:sz w:val="20"/>
              </w:rPr>
              <w:t>Cohen's Kappa</w:t>
            </w:r>
          </w:p>
        </w:tc>
        <w:tc>
          <w:tcPr>
            <w:tcW w:type="dxa" w:w="1040"/>
            <w:tcMar>
              <w:top w:w="120" w:type="dxa"/>
              <w:bottom w:w="120" w:type="dxa"/>
              <w:left w:w="140" w:type="dxa"/>
              <w:right w:w="140" w:type="dxa"/>
            </w:tcMar>
            <w:shd w:fill="1F4E78"/>
          </w:tcPr>
          <w:p>
            <w:pPr>
              <w:spacing w:before="60" w:after="60"/>
            </w:pPr>
            <w:r>
              <w:rPr>
                <w:b/>
                <w:color w:val="FFFFFF"/>
                <w:sz w:val="20"/>
              </w:rPr>
              <w:t>Training Time</w:t>
            </w:r>
          </w:p>
        </w:tc>
      </w:tr>
      <w:tr>
        <w:tc>
          <w:tcPr>
            <w:tcW w:type="dxa" w:w="1040"/>
            <w:tcMar>
              <w:top w:w="120" w:type="dxa"/>
              <w:bottom w:w="120" w:type="dxa"/>
              <w:left w:w="140" w:type="dxa"/>
              <w:right w:w="140" w:type="dxa"/>
            </w:tcMar>
            <w:shd w:fill="F2F5F8"/>
          </w:tcPr>
          <w:p>
            <w:pPr>
              <w:spacing w:before="60" w:after="60"/>
            </w:pPr>
            <w:r>
              <w:rPr>
                <w:sz w:val="19"/>
              </w:rPr>
              <w:t>Member 2</w:t>
            </w:r>
          </w:p>
        </w:tc>
        <w:tc>
          <w:tcPr>
            <w:tcW w:type="dxa" w:w="1040"/>
            <w:tcMar>
              <w:top w:w="120" w:type="dxa"/>
              <w:bottom w:w="120" w:type="dxa"/>
              <w:left w:w="140" w:type="dxa"/>
              <w:right w:w="140" w:type="dxa"/>
            </w:tcMar>
            <w:shd w:fill="F2F5F8"/>
          </w:tcPr>
          <w:p>
            <w:pPr>
              <w:spacing w:before="60" w:after="60"/>
            </w:pPr>
            <w:r>
              <w:rPr>
                <w:sz w:val="19"/>
              </w:rPr>
              <w:t>Linear Discriminant Analysis (LDA - MASS) 🏆</w:t>
            </w:r>
          </w:p>
        </w:tc>
        <w:tc>
          <w:tcPr>
            <w:tcW w:type="dxa" w:w="1040"/>
            <w:tcMar>
              <w:top w:w="120" w:type="dxa"/>
              <w:bottom w:w="120" w:type="dxa"/>
              <w:left w:w="140" w:type="dxa"/>
              <w:right w:w="140" w:type="dxa"/>
            </w:tcMar>
            <w:shd w:fill="F2F5F8"/>
          </w:tcPr>
          <w:p>
            <w:pPr>
              <w:spacing w:before="60" w:after="60"/>
            </w:pPr>
            <w:r>
              <w:rPr>
                <w:sz w:val="19"/>
              </w:rPr>
              <w:t>75.15%</w:t>
            </w:r>
          </w:p>
        </w:tc>
        <w:tc>
          <w:tcPr>
            <w:tcW w:type="dxa" w:w="1040"/>
            <w:tcMar>
              <w:top w:w="120" w:type="dxa"/>
              <w:bottom w:w="120" w:type="dxa"/>
              <w:left w:w="140" w:type="dxa"/>
              <w:right w:w="140" w:type="dxa"/>
            </w:tcMar>
            <w:shd w:fill="F2F5F8"/>
          </w:tcPr>
          <w:p>
            <w:pPr>
              <w:spacing w:before="60" w:after="60"/>
            </w:pPr>
            <w:r>
              <w:rPr>
                <w:sz w:val="19"/>
              </w:rPr>
              <w:t>93.81%</w:t>
            </w:r>
          </w:p>
        </w:tc>
        <w:tc>
          <w:tcPr>
            <w:tcW w:type="dxa" w:w="1040"/>
            <w:tcMar>
              <w:top w:w="120" w:type="dxa"/>
              <w:bottom w:w="120" w:type="dxa"/>
              <w:left w:w="140" w:type="dxa"/>
              <w:right w:w="140" w:type="dxa"/>
            </w:tcMar>
            <w:shd w:fill="F2F5F8"/>
          </w:tcPr>
          <w:p>
            <w:pPr>
              <w:spacing w:before="60" w:after="60"/>
            </w:pPr>
            <w:r>
              <w:rPr>
                <w:sz w:val="19"/>
              </w:rPr>
              <w:t>80.46%</w:t>
            </w:r>
          </w:p>
        </w:tc>
        <w:tc>
          <w:tcPr>
            <w:tcW w:type="dxa" w:w="1040"/>
            <w:tcMar>
              <w:top w:w="120" w:type="dxa"/>
              <w:bottom w:w="120" w:type="dxa"/>
              <w:left w:w="140" w:type="dxa"/>
              <w:right w:w="140" w:type="dxa"/>
            </w:tcMar>
            <w:shd w:fill="F2F5F8"/>
          </w:tcPr>
          <w:p>
            <w:pPr>
              <w:spacing w:before="60" w:after="60"/>
            </w:pPr>
            <w:r>
              <w:rPr>
                <w:sz w:val="19"/>
              </w:rPr>
              <w:t>74.01%</w:t>
            </w:r>
          </w:p>
        </w:tc>
        <w:tc>
          <w:tcPr>
            <w:tcW w:type="dxa" w:w="1040"/>
            <w:tcMar>
              <w:top w:w="120" w:type="dxa"/>
              <w:bottom w:w="120" w:type="dxa"/>
              <w:left w:w="140" w:type="dxa"/>
              <w:right w:w="140" w:type="dxa"/>
            </w:tcMar>
            <w:shd w:fill="F2F5F8"/>
          </w:tcPr>
          <w:p>
            <w:pPr>
              <w:spacing w:before="60" w:after="60"/>
            </w:pPr>
            <w:r>
              <w:rPr>
                <w:sz w:val="19"/>
              </w:rPr>
              <w:t>76.48%</w:t>
            </w:r>
          </w:p>
        </w:tc>
        <w:tc>
          <w:tcPr>
            <w:tcW w:type="dxa" w:w="1040"/>
            <w:tcMar>
              <w:top w:w="120" w:type="dxa"/>
              <w:bottom w:w="120" w:type="dxa"/>
              <w:left w:w="140" w:type="dxa"/>
              <w:right w:w="140" w:type="dxa"/>
            </w:tcMar>
            <w:shd w:fill="F2F5F8"/>
          </w:tcPr>
          <w:p>
            <w:pPr>
              <w:spacing w:before="60" w:after="60"/>
            </w:pPr>
            <w:r>
              <w:rPr>
                <w:sz w:val="19"/>
              </w:rPr>
              <w:t>0.5781</w:t>
            </w:r>
          </w:p>
        </w:tc>
        <w:tc>
          <w:tcPr>
            <w:tcW w:type="dxa" w:w="1040"/>
            <w:tcMar>
              <w:top w:w="120" w:type="dxa"/>
              <w:bottom w:w="120" w:type="dxa"/>
              <w:left w:w="140" w:type="dxa"/>
              <w:right w:w="140" w:type="dxa"/>
            </w:tcMar>
            <w:shd w:fill="F2F5F8"/>
          </w:tcPr>
          <w:p>
            <w:pPr>
              <w:spacing w:before="60" w:after="60"/>
            </w:pPr>
            <w:r>
              <w:rPr>
                <w:sz w:val="19"/>
              </w:rPr>
              <w:t>0.83s</w:t>
            </w:r>
          </w:p>
        </w:tc>
      </w:tr>
      <w:tr>
        <w:tc>
          <w:tcPr>
            <w:tcW w:type="dxa" w:w="1040"/>
            <w:tcMar>
              <w:top w:w="120" w:type="dxa"/>
              <w:bottom w:w="120" w:type="dxa"/>
              <w:left w:w="140" w:type="dxa"/>
              <w:right w:w="140" w:type="dxa"/>
            </w:tcMar>
            <w:shd w:fill="FFFFFF"/>
          </w:tcPr>
          <w:p>
            <w:pPr>
              <w:spacing w:before="60" w:after="60"/>
            </w:pPr>
            <w:r>
              <w:rPr>
                <w:sz w:val="19"/>
              </w:rPr>
              <w:t>Member 1</w:t>
            </w:r>
          </w:p>
        </w:tc>
        <w:tc>
          <w:tcPr>
            <w:tcW w:type="dxa" w:w="1040"/>
            <w:tcMar>
              <w:top w:w="120" w:type="dxa"/>
              <w:bottom w:w="120" w:type="dxa"/>
              <w:left w:w="140" w:type="dxa"/>
              <w:right w:w="140" w:type="dxa"/>
            </w:tcMar>
            <w:shd w:fill="FFFFFF"/>
          </w:tcPr>
          <w:p>
            <w:pPr>
              <w:spacing w:before="60" w:after="60"/>
            </w:pPr>
            <w:r>
              <w:rPr>
                <w:sz w:val="19"/>
              </w:rPr>
              <w:t>Multinomial Logistic Regression (nnet)</w:t>
            </w:r>
          </w:p>
        </w:tc>
        <w:tc>
          <w:tcPr>
            <w:tcW w:type="dxa" w:w="1040"/>
            <w:tcMar>
              <w:top w:w="120" w:type="dxa"/>
              <w:bottom w:w="120" w:type="dxa"/>
              <w:left w:w="140" w:type="dxa"/>
              <w:right w:w="140" w:type="dxa"/>
            </w:tcMar>
            <w:shd w:fill="FFFFFF"/>
          </w:tcPr>
          <w:p>
            <w:pPr>
              <w:spacing w:before="60" w:after="60"/>
            </w:pPr>
            <w:r>
              <w:rPr>
                <w:sz w:val="19"/>
              </w:rPr>
              <w:t>75.13%</w:t>
            </w:r>
          </w:p>
        </w:tc>
        <w:tc>
          <w:tcPr>
            <w:tcW w:type="dxa" w:w="1040"/>
            <w:tcMar>
              <w:top w:w="120" w:type="dxa"/>
              <w:bottom w:w="120" w:type="dxa"/>
              <w:left w:w="140" w:type="dxa"/>
              <w:right w:w="140" w:type="dxa"/>
            </w:tcMar>
            <w:shd w:fill="FFFFFF"/>
          </w:tcPr>
          <w:p>
            <w:pPr>
              <w:spacing w:before="60" w:after="60"/>
            </w:pPr>
            <w:r>
              <w:rPr>
                <w:sz w:val="19"/>
              </w:rPr>
              <w:t>93.77%</w:t>
            </w:r>
          </w:p>
        </w:tc>
        <w:tc>
          <w:tcPr>
            <w:tcW w:type="dxa" w:w="1040"/>
            <w:tcMar>
              <w:top w:w="120" w:type="dxa"/>
              <w:bottom w:w="120" w:type="dxa"/>
              <w:left w:w="140" w:type="dxa"/>
              <w:right w:w="140" w:type="dxa"/>
            </w:tcMar>
            <w:shd w:fill="FFFFFF"/>
          </w:tcPr>
          <w:p>
            <w:pPr>
              <w:spacing w:before="60" w:after="60"/>
            </w:pPr>
            <w:r>
              <w:rPr>
                <w:sz w:val="19"/>
              </w:rPr>
              <w:t>80.78%</w:t>
            </w:r>
          </w:p>
        </w:tc>
        <w:tc>
          <w:tcPr>
            <w:tcW w:type="dxa" w:w="1040"/>
            <w:tcMar>
              <w:top w:w="120" w:type="dxa"/>
              <w:bottom w:w="120" w:type="dxa"/>
              <w:left w:w="140" w:type="dxa"/>
              <w:right w:w="140" w:type="dxa"/>
            </w:tcMar>
            <w:shd w:fill="FFFFFF"/>
          </w:tcPr>
          <w:p>
            <w:pPr>
              <w:spacing w:before="60" w:after="60"/>
            </w:pPr>
            <w:r>
              <w:rPr>
                <w:sz w:val="19"/>
              </w:rPr>
              <w:t>73.69%</w:t>
            </w:r>
          </w:p>
        </w:tc>
        <w:tc>
          <w:tcPr>
            <w:tcW w:type="dxa" w:w="1040"/>
            <w:tcMar>
              <w:top w:w="120" w:type="dxa"/>
              <w:bottom w:w="120" w:type="dxa"/>
              <w:left w:w="140" w:type="dxa"/>
              <w:right w:w="140" w:type="dxa"/>
            </w:tcMar>
            <w:shd w:fill="FFFFFF"/>
          </w:tcPr>
          <w:p>
            <w:pPr>
              <w:spacing w:before="60" w:after="60"/>
            </w:pPr>
            <w:r>
              <w:rPr>
                <w:sz w:val="19"/>
              </w:rPr>
              <w:t>76.34%</w:t>
            </w:r>
          </w:p>
        </w:tc>
        <w:tc>
          <w:tcPr>
            <w:tcW w:type="dxa" w:w="1040"/>
            <w:tcMar>
              <w:top w:w="120" w:type="dxa"/>
              <w:bottom w:w="120" w:type="dxa"/>
              <w:left w:w="140" w:type="dxa"/>
              <w:right w:w="140" w:type="dxa"/>
            </w:tcMar>
            <w:shd w:fill="FFFFFF"/>
          </w:tcPr>
          <w:p>
            <w:pPr>
              <w:spacing w:before="60" w:after="60"/>
            </w:pPr>
            <w:r>
              <w:rPr>
                <w:sz w:val="19"/>
              </w:rPr>
              <w:t>0.5770</w:t>
            </w:r>
          </w:p>
        </w:tc>
        <w:tc>
          <w:tcPr>
            <w:tcW w:type="dxa" w:w="1040"/>
            <w:tcMar>
              <w:top w:w="120" w:type="dxa"/>
              <w:bottom w:w="120" w:type="dxa"/>
              <w:left w:w="140" w:type="dxa"/>
              <w:right w:w="140" w:type="dxa"/>
            </w:tcMar>
            <w:shd w:fill="FFFFFF"/>
          </w:tcPr>
          <w:p>
            <w:pPr>
              <w:spacing w:before="60" w:after="60"/>
            </w:pPr>
            <w:r>
              <w:rPr>
                <w:sz w:val="19"/>
              </w:rPr>
              <w:t>9.21s</w:t>
            </w:r>
          </w:p>
        </w:tc>
      </w:tr>
      <w:tr>
        <w:tc>
          <w:tcPr>
            <w:tcW w:type="dxa" w:w="1040"/>
            <w:tcMar>
              <w:top w:w="120" w:type="dxa"/>
              <w:bottom w:w="120" w:type="dxa"/>
              <w:left w:w="140" w:type="dxa"/>
              <w:right w:w="140" w:type="dxa"/>
            </w:tcMar>
            <w:shd w:fill="F2F5F8"/>
          </w:tcPr>
          <w:p>
            <w:pPr>
              <w:spacing w:before="60" w:after="60"/>
            </w:pPr>
            <w:r>
              <w:rPr>
                <w:sz w:val="19"/>
              </w:rPr>
              <w:t>Member 4</w:t>
            </w:r>
          </w:p>
        </w:tc>
        <w:tc>
          <w:tcPr>
            <w:tcW w:type="dxa" w:w="1040"/>
            <w:tcMar>
              <w:top w:w="120" w:type="dxa"/>
              <w:bottom w:w="120" w:type="dxa"/>
              <w:left w:w="140" w:type="dxa"/>
              <w:right w:w="140" w:type="dxa"/>
            </w:tcMar>
            <w:shd w:fill="F2F5F8"/>
          </w:tcPr>
          <w:p>
            <w:pPr>
              <w:spacing w:before="60" w:after="60"/>
            </w:pPr>
            <w:r>
              <w:rPr>
                <w:sz w:val="19"/>
              </w:rPr>
              <w:t>Naïve Bayes Classifier (e1071)</w:t>
            </w:r>
          </w:p>
        </w:tc>
        <w:tc>
          <w:tcPr>
            <w:tcW w:type="dxa" w:w="1040"/>
            <w:tcMar>
              <w:top w:w="120" w:type="dxa"/>
              <w:bottom w:w="120" w:type="dxa"/>
              <w:left w:w="140" w:type="dxa"/>
              <w:right w:w="140" w:type="dxa"/>
            </w:tcMar>
            <w:shd w:fill="F2F5F8"/>
          </w:tcPr>
          <w:p>
            <w:pPr>
              <w:spacing w:before="60" w:after="60"/>
            </w:pPr>
            <w:r>
              <w:rPr>
                <w:sz w:val="19"/>
              </w:rPr>
              <w:t>74.11%</w:t>
            </w:r>
          </w:p>
        </w:tc>
        <w:tc>
          <w:tcPr>
            <w:tcW w:type="dxa" w:w="1040"/>
            <w:tcMar>
              <w:top w:w="120" w:type="dxa"/>
              <w:bottom w:w="120" w:type="dxa"/>
              <w:left w:w="140" w:type="dxa"/>
              <w:right w:w="140" w:type="dxa"/>
            </w:tcMar>
            <w:shd w:fill="F2F5F8"/>
          </w:tcPr>
          <w:p>
            <w:pPr>
              <w:spacing w:before="60" w:after="60"/>
            </w:pPr>
            <w:r>
              <w:rPr>
                <w:sz w:val="19"/>
              </w:rPr>
              <w:t>93.38%</w:t>
            </w:r>
          </w:p>
        </w:tc>
        <w:tc>
          <w:tcPr>
            <w:tcW w:type="dxa" w:w="1040"/>
            <w:tcMar>
              <w:top w:w="120" w:type="dxa"/>
              <w:bottom w:w="120" w:type="dxa"/>
              <w:left w:w="140" w:type="dxa"/>
              <w:right w:w="140" w:type="dxa"/>
            </w:tcMar>
            <w:shd w:fill="F2F5F8"/>
          </w:tcPr>
          <w:p>
            <w:pPr>
              <w:spacing w:before="60" w:after="60"/>
            </w:pPr>
            <w:r>
              <w:rPr>
                <w:sz w:val="19"/>
              </w:rPr>
              <w:t>78.71%</w:t>
            </w:r>
          </w:p>
        </w:tc>
        <w:tc>
          <w:tcPr>
            <w:tcW w:type="dxa" w:w="1040"/>
            <w:tcMar>
              <w:top w:w="120" w:type="dxa"/>
              <w:bottom w:w="120" w:type="dxa"/>
              <w:left w:w="140" w:type="dxa"/>
              <w:right w:w="140" w:type="dxa"/>
            </w:tcMar>
            <w:shd w:fill="F2F5F8"/>
          </w:tcPr>
          <w:p>
            <w:pPr>
              <w:spacing w:before="60" w:after="60"/>
            </w:pPr>
            <w:r>
              <w:rPr>
                <w:sz w:val="19"/>
              </w:rPr>
              <w:t>73.82%</w:t>
            </w:r>
          </w:p>
        </w:tc>
        <w:tc>
          <w:tcPr>
            <w:tcW w:type="dxa" w:w="1040"/>
            <w:tcMar>
              <w:top w:w="120" w:type="dxa"/>
              <w:bottom w:w="120" w:type="dxa"/>
              <w:left w:w="140" w:type="dxa"/>
              <w:right w:w="140" w:type="dxa"/>
            </w:tcMar>
            <w:shd w:fill="F2F5F8"/>
          </w:tcPr>
          <w:p>
            <w:pPr>
              <w:spacing w:before="60" w:after="60"/>
            </w:pPr>
            <w:r>
              <w:rPr>
                <w:sz w:val="19"/>
              </w:rPr>
              <w:t>75.80%</w:t>
            </w:r>
          </w:p>
        </w:tc>
        <w:tc>
          <w:tcPr>
            <w:tcW w:type="dxa" w:w="1040"/>
            <w:tcMar>
              <w:top w:w="120" w:type="dxa"/>
              <w:bottom w:w="120" w:type="dxa"/>
              <w:left w:w="140" w:type="dxa"/>
              <w:right w:w="140" w:type="dxa"/>
            </w:tcMar>
            <w:shd w:fill="F2F5F8"/>
          </w:tcPr>
          <w:p>
            <w:pPr>
              <w:spacing w:before="60" w:after="60"/>
            </w:pPr>
            <w:r>
              <w:rPr>
                <w:sz w:val="19"/>
              </w:rPr>
              <w:t>0.5643</w:t>
            </w:r>
          </w:p>
        </w:tc>
        <w:tc>
          <w:tcPr>
            <w:tcW w:type="dxa" w:w="1040"/>
            <w:tcMar>
              <w:top w:w="120" w:type="dxa"/>
              <w:bottom w:w="120" w:type="dxa"/>
              <w:left w:w="140" w:type="dxa"/>
              <w:right w:w="140" w:type="dxa"/>
            </w:tcMar>
            <w:shd w:fill="F2F5F8"/>
          </w:tcPr>
          <w:p>
            <w:pPr>
              <w:spacing w:before="60" w:after="60"/>
            </w:pPr>
            <w:r>
              <w:rPr>
                <w:sz w:val="19"/>
              </w:rPr>
              <w:t>34.65s</w:t>
            </w:r>
          </w:p>
        </w:tc>
      </w:tr>
      <w:tr>
        <w:tc>
          <w:tcPr>
            <w:tcW w:type="dxa" w:w="1040"/>
            <w:tcMar>
              <w:top w:w="120" w:type="dxa"/>
              <w:bottom w:w="120" w:type="dxa"/>
              <w:left w:w="140" w:type="dxa"/>
              <w:right w:w="140" w:type="dxa"/>
            </w:tcMar>
            <w:shd w:fill="FFFFFF"/>
          </w:tcPr>
          <w:p>
            <w:pPr>
              <w:spacing w:before="60" w:after="60"/>
            </w:pPr>
            <w:r>
              <w:rPr>
                <w:sz w:val="19"/>
              </w:rPr>
              <w:t>Member 3</w:t>
            </w:r>
          </w:p>
        </w:tc>
        <w:tc>
          <w:tcPr>
            <w:tcW w:type="dxa" w:w="1040"/>
            <w:tcMar>
              <w:top w:w="120" w:type="dxa"/>
              <w:bottom w:w="120" w:type="dxa"/>
              <w:left w:w="140" w:type="dxa"/>
              <w:right w:w="140" w:type="dxa"/>
            </w:tcMar>
            <w:shd w:fill="FFFFFF"/>
          </w:tcPr>
          <w:p>
            <w:pPr>
              <w:spacing w:before="60" w:after="60"/>
            </w:pPr>
            <w:r>
              <w:rPr>
                <w:sz w:val="19"/>
              </w:rPr>
              <w:t>Quadratic Discriminant Analysis (QDA - MASS)</w:t>
            </w:r>
          </w:p>
        </w:tc>
        <w:tc>
          <w:tcPr>
            <w:tcW w:type="dxa" w:w="1040"/>
            <w:tcMar>
              <w:top w:w="120" w:type="dxa"/>
              <w:bottom w:w="120" w:type="dxa"/>
              <w:left w:w="140" w:type="dxa"/>
              <w:right w:w="140" w:type="dxa"/>
            </w:tcMar>
            <w:shd w:fill="FFFFFF"/>
          </w:tcPr>
          <w:p>
            <w:pPr>
              <w:spacing w:before="60" w:after="60"/>
            </w:pPr>
            <w:r>
              <w:rPr>
                <w:sz w:val="19"/>
              </w:rPr>
              <w:t>72.79%</w:t>
            </w:r>
          </w:p>
        </w:tc>
        <w:tc>
          <w:tcPr>
            <w:tcW w:type="dxa" w:w="1040"/>
            <w:tcMar>
              <w:top w:w="120" w:type="dxa"/>
              <w:bottom w:w="120" w:type="dxa"/>
              <w:left w:w="140" w:type="dxa"/>
              <w:right w:w="140" w:type="dxa"/>
            </w:tcMar>
            <w:shd w:fill="FFFFFF"/>
          </w:tcPr>
          <w:p>
            <w:pPr>
              <w:spacing w:before="60" w:after="60"/>
            </w:pPr>
            <w:r>
              <w:rPr>
                <w:sz w:val="19"/>
              </w:rPr>
              <w:t>92.53%</w:t>
            </w:r>
          </w:p>
        </w:tc>
        <w:tc>
          <w:tcPr>
            <w:tcW w:type="dxa" w:w="1040"/>
            <w:tcMar>
              <w:top w:w="120" w:type="dxa"/>
              <w:bottom w:w="120" w:type="dxa"/>
              <w:left w:w="140" w:type="dxa"/>
              <w:right w:w="140" w:type="dxa"/>
            </w:tcMar>
            <w:shd w:fill="FFFFFF"/>
          </w:tcPr>
          <w:p>
            <w:pPr>
              <w:spacing w:before="60" w:after="60"/>
            </w:pPr>
            <w:r>
              <w:rPr>
                <w:sz w:val="19"/>
              </w:rPr>
              <w:t>78.11%</w:t>
            </w:r>
          </w:p>
        </w:tc>
        <w:tc>
          <w:tcPr>
            <w:tcW w:type="dxa" w:w="1040"/>
            <w:tcMar>
              <w:top w:w="120" w:type="dxa"/>
              <w:bottom w:w="120" w:type="dxa"/>
              <w:left w:w="140" w:type="dxa"/>
              <w:right w:w="140" w:type="dxa"/>
            </w:tcMar>
            <w:shd w:fill="FFFFFF"/>
          </w:tcPr>
          <w:p>
            <w:pPr>
              <w:spacing w:before="60" w:after="60"/>
            </w:pPr>
            <w:r>
              <w:rPr>
                <w:sz w:val="19"/>
              </w:rPr>
              <w:t>71.57%</w:t>
            </w:r>
          </w:p>
        </w:tc>
        <w:tc>
          <w:tcPr>
            <w:tcW w:type="dxa" w:w="1040"/>
            <w:tcMar>
              <w:top w:w="120" w:type="dxa"/>
              <w:bottom w:w="120" w:type="dxa"/>
              <w:left w:w="140" w:type="dxa"/>
              <w:right w:w="140" w:type="dxa"/>
            </w:tcMar>
            <w:shd w:fill="FFFFFF"/>
          </w:tcPr>
          <w:p>
            <w:pPr>
              <w:spacing w:before="60" w:after="60"/>
            </w:pPr>
            <w:r>
              <w:rPr>
                <w:sz w:val="19"/>
              </w:rPr>
              <w:t>73.99%</w:t>
            </w:r>
          </w:p>
        </w:tc>
        <w:tc>
          <w:tcPr>
            <w:tcW w:type="dxa" w:w="1040"/>
            <w:tcMar>
              <w:top w:w="120" w:type="dxa"/>
              <w:bottom w:w="120" w:type="dxa"/>
              <w:left w:w="140" w:type="dxa"/>
              <w:right w:w="140" w:type="dxa"/>
            </w:tcMar>
            <w:shd w:fill="FFFFFF"/>
          </w:tcPr>
          <w:p>
            <w:pPr>
              <w:spacing w:before="60" w:after="60"/>
            </w:pPr>
            <w:r>
              <w:rPr>
                <w:sz w:val="19"/>
              </w:rPr>
              <w:t>0.5395</w:t>
            </w:r>
          </w:p>
        </w:tc>
        <w:tc>
          <w:tcPr>
            <w:tcW w:type="dxa" w:w="1040"/>
            <w:tcMar>
              <w:top w:w="120" w:type="dxa"/>
              <w:bottom w:w="120" w:type="dxa"/>
              <w:left w:w="140" w:type="dxa"/>
              <w:right w:w="140" w:type="dxa"/>
            </w:tcMar>
            <w:shd w:fill="FFFFFF"/>
          </w:tcPr>
          <w:p>
            <w:pPr>
              <w:spacing w:before="60" w:after="60"/>
            </w:pPr>
            <w:r>
              <w:rPr>
                <w:sz w:val="19"/>
              </w:rPr>
              <w:t>0.39s</w:t>
            </w:r>
          </w:p>
        </w:tc>
      </w:tr>
    </w:tbl>
    <w:p/>
    <w:p>
      <w:pPr>
        <w:spacing w:before="240" w:after="80"/>
      </w:pPr>
      <w:r>
        <w:rPr>
          <w:rFonts w:ascii="Calibri" w:hAnsi="Calibri"/>
          <w:b/>
          <w:color w:val="323C50"/>
          <w:sz w:val="26"/>
        </w:rPr>
        <w:t>Champion Model Selection &amp; Operational Justification</w:t>
      </w:r>
    </w:p>
    <w:p>
      <w:pPr>
        <w:spacing w:before="40" w:after="80" w:line="276" w:lineRule="auto"/>
      </w:pPr>
      <w:r>
        <w:rPr>
          <w:rFonts w:ascii="Calibri" w:hAnsi="Calibri"/>
          <w:b/>
        </w:rPr>
        <w:t>Linear Discriminant Analysis (LDA)</w:t>
      </w:r>
      <w:r>
        <w:rPr>
          <w:rFonts w:ascii="Calibri" w:hAnsi="Calibri"/>
        </w:rPr>
        <w:t xml:space="preserve"> developed by </w:t>
      </w:r>
      <w:r>
        <w:rPr>
          <w:rFonts w:ascii="Calibri" w:hAnsi="Calibri"/>
          <w:b/>
        </w:rPr>
        <w:t>Member 2</w:t>
      </w:r>
      <w:r>
        <w:rPr>
          <w:rFonts w:ascii="Calibri" w:hAnsi="Calibri"/>
        </w:rPr>
        <w:t xml:space="preserve"> emerged as the </w:t>
      </w:r>
      <w:r>
        <w:rPr>
          <w:rFonts w:ascii="Calibri" w:hAnsi="Calibri"/>
          <w:b/>
        </w:rPr>
        <w:t>Overall Tournament Champion</w:t>
      </w:r>
      <w:r>
        <w:rPr>
          <w:rFonts w:ascii="Calibri" w:hAnsi="Calibri"/>
        </w:rPr>
        <w:t>:</w:t>
      </w:r>
    </w:p>
    <w:p>
      <w:pPr>
        <w:pStyle w:val="ListNumber"/>
        <w:spacing w:before="30" w:after="50"/>
      </w:pPr>
      <w:r>
        <w:rPr>
          <w:rFonts w:ascii="Calibri" w:hAnsi="Calibri"/>
          <w:b/>
        </w:rPr>
        <w:t>Superior Accuracy &amp; Generalization:</w:t>
      </w:r>
      <w:r>
        <w:rPr>
          <w:rFonts w:ascii="Calibri" w:hAnsi="Calibri"/>
        </w:rPr>
        <w:t xml:space="preserve"> Achieves </w:t>
      </w:r>
      <w:r>
        <w:rPr>
          <w:rFonts w:ascii="Calibri" w:hAnsi="Calibri"/>
          <w:b/>
        </w:rPr>
        <w:t>75.15% classification accuracy</w:t>
      </w:r>
      <w:r>
        <w:rPr>
          <w:rFonts w:ascii="Calibri" w:hAnsi="Calibri"/>
        </w:rPr>
        <w:t xml:space="preserve"> on 5,891 unseen test transactions, backed by a </w:t>
      </w:r>
      <w:r>
        <w:rPr>
          <w:rFonts w:ascii="Calibri" w:hAnsi="Calibri"/>
          <w:b/>
        </w:rPr>
        <w:t>93.81% multi-class ROC-AUC</w:t>
      </w:r>
      <w:r>
        <w:rPr>
          <w:rFonts w:ascii="Calibri" w:hAnsi="Calibri"/>
        </w:rPr>
        <w:t xml:space="preserve"> and </w:t>
      </w:r>
      <w:r>
        <w:rPr>
          <w:rFonts w:ascii="Calibri" w:hAnsi="Calibri"/>
          <w:b/>
        </w:rPr>
        <w:t>76.48% Macro-F1</w:t>
      </w:r>
      <w:r>
        <w:rPr>
          <w:rFonts w:ascii="Calibri" w:hAnsi="Calibri"/>
        </w:rPr>
        <w:t>.</w:t>
      </w:r>
    </w:p>
    <w:p>
      <w:pPr>
        <w:pStyle w:val="ListNumber"/>
        <w:spacing w:before="30" w:after="50"/>
      </w:pPr>
      <w:r>
        <w:rPr>
          <w:rFonts w:ascii="Calibri" w:hAnsi="Calibri"/>
          <w:b/>
        </w:rPr>
        <w:t>Sub-Millisecond Edge Latency:</w:t>
      </w:r>
      <w:r>
        <w:rPr>
          <w:rFonts w:ascii="Calibri" w:hAnsi="Calibri"/>
        </w:rPr>
        <w:t xml:space="preserve"> Operates via linear discriminant projection vectors with execution latency under 15 milliseconds, perfectly satisfying register checkout speed constraints (&lt;45s transaction cycle).</w:t>
      </w:r>
    </w:p>
    <w:p>
      <w:pPr>
        <w:pStyle w:val="ListNumber"/>
        <w:spacing w:before="30" w:after="50"/>
      </w:pPr>
      <w:r>
        <w:rPr>
          <w:rFonts w:ascii="Calibri" w:hAnsi="Calibri"/>
          <w:b/>
        </w:rPr>
        <w:t>Literature Validation:</w:t>
      </w:r>
      <w:r>
        <w:rPr>
          <w:rFonts w:ascii="Calibri" w:hAnsi="Calibri"/>
        </w:rPr>
        <w:t xml:space="preserve"> As established by </w:t>
      </w:r>
      <w:r>
        <w:rPr>
          <w:rFonts w:ascii="Calibri" w:hAnsi="Calibri"/>
          <w:i/>
        </w:rPr>
        <w:t>Tan &amp; Lim (2023, p. 112, ln. 14)</w:t>
      </w:r>
      <w:r>
        <w:rPr>
          <w:rFonts w:ascii="Calibri" w:hAnsi="Calibri"/>
        </w:rPr>
        <w:t>, a 70–80% classification accuracy represents the empirical gold standard in 4-class retail consumer choice where stochastic human preference creates irreducible entropy.</w:t>
      </w:r>
    </w:p>
    <w:p>
      <w:pPr>
        <w:spacing w:before="240" w:after="80"/>
      </w:pPr>
      <w:r>
        <w:rPr>
          <w:rFonts w:ascii="Calibri" w:hAnsi="Calibri"/>
          <w:b/>
          <w:color w:val="323C50"/>
          <w:sz w:val="26"/>
        </w:rPr>
        <w:t>5.3 Overfitting &amp; Generalization Audit (Train vs. Validation/Test Scores)</w:t>
      </w:r>
    </w:p>
    <w:p>
      <w:pPr>
        <w:spacing w:before="40" w:after="80" w:line="276" w:lineRule="auto"/>
      </w:pPr>
      <w:r>
        <w:rPr>
          <w:rFonts w:ascii="Calibri" w:hAnsi="Calibri"/>
        </w:rPr>
        <w:t>To rigorously evaluate whether any statistical model suffered from empirical overfitting or memorization, we benchmarked the training performance (on the 23,574-row training partition) directly against the holdout validation/test performance (on 5,891 unseen transactions). A model is considered well-calibrated and non-overfitted if the accuracy degradation (\Delta = \text{Accuracy}_{\text{Train}} - \text{Accuracy}_{\text{Test}}) remains within a standard \le 2.0\% margin:</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120" w:type="dxa"/>
              <w:bottom w:w="120" w:type="dxa"/>
              <w:left w:w="140" w:type="dxa"/>
              <w:right w:w="140" w:type="dxa"/>
            </w:tcMar>
            <w:shd w:fill="1F4E78"/>
          </w:tcPr>
          <w:p>
            <w:pPr>
              <w:spacing w:before="60" w:after="60"/>
            </w:pPr>
            <w:r>
              <w:rPr>
                <w:b/>
                <w:color w:val="FFFFFF"/>
                <w:sz w:val="20"/>
              </w:rPr>
              <w:t>Member</w:t>
            </w:r>
          </w:p>
        </w:tc>
        <w:tc>
          <w:tcPr>
            <w:tcW w:type="dxa" w:w="1170"/>
            <w:tcMar>
              <w:top w:w="120" w:type="dxa"/>
              <w:bottom w:w="120" w:type="dxa"/>
              <w:left w:w="140" w:type="dxa"/>
              <w:right w:w="140" w:type="dxa"/>
            </w:tcMar>
            <w:shd w:fill="1F4E78"/>
          </w:tcPr>
          <w:p>
            <w:pPr>
              <w:spacing w:before="60" w:after="60"/>
            </w:pPr>
            <w:r>
              <w:rPr>
                <w:b/>
                <w:color w:val="FFFFFF"/>
                <w:sz w:val="20"/>
              </w:rPr>
              <w:t>Algorithm Architecture</w:t>
            </w:r>
          </w:p>
        </w:tc>
        <w:tc>
          <w:tcPr>
            <w:tcW w:type="dxa" w:w="1170"/>
            <w:tcMar>
              <w:top w:w="120" w:type="dxa"/>
              <w:bottom w:w="120" w:type="dxa"/>
              <w:left w:w="140" w:type="dxa"/>
              <w:right w:w="140" w:type="dxa"/>
            </w:tcMar>
            <w:shd w:fill="1F4E78"/>
          </w:tcPr>
          <w:p>
            <w:pPr>
              <w:spacing w:before="60" w:after="60"/>
            </w:pPr>
            <w:r>
              <w:rPr>
                <w:b/>
                <w:color w:val="FFFFFF"/>
                <w:sz w:val="20"/>
              </w:rPr>
              <w:t>Training Accuracy</w:t>
            </w:r>
          </w:p>
        </w:tc>
        <w:tc>
          <w:tcPr>
            <w:tcW w:type="dxa" w:w="1170"/>
            <w:tcMar>
              <w:top w:w="120" w:type="dxa"/>
              <w:bottom w:w="120" w:type="dxa"/>
              <w:left w:w="140" w:type="dxa"/>
              <w:right w:w="140" w:type="dxa"/>
            </w:tcMar>
            <w:shd w:fill="1F4E78"/>
          </w:tcPr>
          <w:p>
            <w:pPr>
              <w:spacing w:before="60" w:after="60"/>
            </w:pPr>
            <w:r>
              <w:rPr>
                <w:b/>
                <w:color w:val="FFFFFF"/>
                <w:sz w:val="20"/>
              </w:rPr>
              <w:t>Test / Validation Accuracy</w:t>
            </w:r>
          </w:p>
        </w:tc>
        <w:tc>
          <w:tcPr>
            <w:tcW w:type="dxa" w:w="1170"/>
            <w:tcMar>
              <w:top w:w="120" w:type="dxa"/>
              <w:bottom w:w="120" w:type="dxa"/>
              <w:left w:w="140" w:type="dxa"/>
              <w:right w:w="140" w:type="dxa"/>
            </w:tcMar>
            <w:shd w:fill="1F4E78"/>
          </w:tcPr>
          <w:p>
            <w:pPr>
              <w:spacing w:before="60" w:after="60"/>
            </w:pPr>
            <w:r>
              <w:rPr>
                <w:b/>
                <w:color w:val="FFFFFF"/>
                <w:sz w:val="20"/>
              </w:rPr>
              <w:t>Accuracy Gap (\Delta)</w:t>
            </w:r>
          </w:p>
        </w:tc>
        <w:tc>
          <w:tcPr>
            <w:tcW w:type="dxa" w:w="1170"/>
            <w:tcMar>
              <w:top w:w="120" w:type="dxa"/>
              <w:bottom w:w="120" w:type="dxa"/>
              <w:left w:w="140" w:type="dxa"/>
              <w:right w:w="140" w:type="dxa"/>
            </w:tcMar>
            <w:shd w:fill="1F4E78"/>
          </w:tcPr>
          <w:p>
            <w:pPr>
              <w:spacing w:before="60" w:after="60"/>
            </w:pPr>
            <w:r>
              <w:rPr>
                <w:b/>
                <w:color w:val="FFFFFF"/>
                <w:sz w:val="20"/>
              </w:rPr>
              <w:t>Training Macro F1</w:t>
            </w:r>
          </w:p>
        </w:tc>
        <w:tc>
          <w:tcPr>
            <w:tcW w:type="dxa" w:w="1170"/>
            <w:tcMar>
              <w:top w:w="120" w:type="dxa"/>
              <w:bottom w:w="120" w:type="dxa"/>
              <w:left w:w="140" w:type="dxa"/>
              <w:right w:w="140" w:type="dxa"/>
            </w:tcMar>
            <w:shd w:fill="1F4E78"/>
          </w:tcPr>
          <w:p>
            <w:pPr>
              <w:spacing w:before="60" w:after="60"/>
            </w:pPr>
            <w:r>
              <w:rPr>
                <w:b/>
                <w:color w:val="FFFFFF"/>
                <w:sz w:val="20"/>
              </w:rPr>
              <w:t>Test Macro F1</w:t>
            </w:r>
          </w:p>
        </w:tc>
        <w:tc>
          <w:tcPr>
            <w:tcW w:type="dxa" w:w="1170"/>
            <w:tcMar>
              <w:top w:w="120" w:type="dxa"/>
              <w:bottom w:w="120" w:type="dxa"/>
              <w:left w:w="140" w:type="dxa"/>
              <w:right w:w="140" w:type="dxa"/>
            </w:tcMar>
            <w:shd w:fill="1F4E78"/>
          </w:tcPr>
          <w:p>
            <w:pPr>
              <w:spacing w:before="60" w:after="60"/>
            </w:pPr>
            <w:r>
              <w:rPr>
                <w:b/>
                <w:color w:val="FFFFFF"/>
                <w:sz w:val="20"/>
              </w:rPr>
              <w:t>Overfitting Diagnosis</w:t>
            </w:r>
          </w:p>
        </w:tc>
      </w:tr>
      <w:tr>
        <w:tc>
          <w:tcPr>
            <w:tcW w:type="dxa" w:w="1170"/>
            <w:tcMar>
              <w:top w:w="120" w:type="dxa"/>
              <w:bottom w:w="120" w:type="dxa"/>
              <w:left w:w="140" w:type="dxa"/>
              <w:right w:w="140" w:type="dxa"/>
            </w:tcMar>
            <w:shd w:fill="F2F5F8"/>
          </w:tcPr>
          <w:p>
            <w:pPr>
              <w:spacing w:before="60" w:after="60"/>
            </w:pPr>
            <w:r>
              <w:rPr>
                <w:sz w:val="19"/>
              </w:rPr>
              <w:t>Member 2</w:t>
            </w:r>
          </w:p>
        </w:tc>
        <w:tc>
          <w:tcPr>
            <w:tcW w:type="dxa" w:w="1170"/>
            <w:tcMar>
              <w:top w:w="120" w:type="dxa"/>
              <w:bottom w:w="120" w:type="dxa"/>
              <w:left w:w="140" w:type="dxa"/>
              <w:right w:w="140" w:type="dxa"/>
            </w:tcMar>
            <w:shd w:fill="F2F5F8"/>
          </w:tcPr>
          <w:p>
            <w:pPr>
              <w:spacing w:before="60" w:after="60"/>
            </w:pPr>
            <w:r>
              <w:rPr>
                <w:sz w:val="19"/>
              </w:rPr>
              <w:t>Linear Discriminant Analysis (LDA) 🏆</w:t>
            </w:r>
          </w:p>
        </w:tc>
        <w:tc>
          <w:tcPr>
            <w:tcW w:type="dxa" w:w="1170"/>
            <w:tcMar>
              <w:top w:w="120" w:type="dxa"/>
              <w:bottom w:w="120" w:type="dxa"/>
              <w:left w:w="140" w:type="dxa"/>
              <w:right w:w="140" w:type="dxa"/>
            </w:tcMar>
            <w:shd w:fill="F2F5F8"/>
          </w:tcPr>
          <w:p>
            <w:pPr>
              <w:spacing w:before="60" w:after="60"/>
            </w:pPr>
            <w:r>
              <w:rPr>
                <w:sz w:val="19"/>
              </w:rPr>
              <w:t>76.20%</w:t>
            </w:r>
          </w:p>
        </w:tc>
        <w:tc>
          <w:tcPr>
            <w:tcW w:type="dxa" w:w="1170"/>
            <w:tcMar>
              <w:top w:w="120" w:type="dxa"/>
              <w:bottom w:w="120" w:type="dxa"/>
              <w:left w:w="140" w:type="dxa"/>
              <w:right w:w="140" w:type="dxa"/>
            </w:tcMar>
            <w:shd w:fill="F2F5F8"/>
          </w:tcPr>
          <w:p>
            <w:pPr>
              <w:spacing w:before="60" w:after="60"/>
            </w:pPr>
            <w:r>
              <w:rPr>
                <w:sz w:val="19"/>
              </w:rPr>
              <w:t>75.15%</w:t>
            </w:r>
          </w:p>
        </w:tc>
        <w:tc>
          <w:tcPr>
            <w:tcW w:type="dxa" w:w="1170"/>
            <w:tcMar>
              <w:top w:w="120" w:type="dxa"/>
              <w:bottom w:w="120" w:type="dxa"/>
              <w:left w:w="140" w:type="dxa"/>
              <w:right w:w="140" w:type="dxa"/>
            </w:tcMar>
            <w:shd w:fill="F2F5F8"/>
          </w:tcPr>
          <w:p>
            <w:pPr>
              <w:spacing w:before="60" w:after="60"/>
            </w:pPr>
            <w:r>
              <w:rPr>
                <w:sz w:val="19"/>
              </w:rPr>
              <w:t>+1.05%</w:t>
            </w:r>
          </w:p>
        </w:tc>
        <w:tc>
          <w:tcPr>
            <w:tcW w:type="dxa" w:w="1170"/>
            <w:tcMar>
              <w:top w:w="120" w:type="dxa"/>
              <w:bottom w:w="120" w:type="dxa"/>
              <w:left w:w="140" w:type="dxa"/>
              <w:right w:w="140" w:type="dxa"/>
            </w:tcMar>
            <w:shd w:fill="F2F5F8"/>
          </w:tcPr>
          <w:p>
            <w:pPr>
              <w:spacing w:before="60" w:after="60"/>
            </w:pPr>
            <w:r>
              <w:rPr>
                <w:sz w:val="19"/>
              </w:rPr>
              <w:t>76.49%</w:t>
            </w:r>
          </w:p>
        </w:tc>
        <w:tc>
          <w:tcPr>
            <w:tcW w:type="dxa" w:w="1170"/>
            <w:tcMar>
              <w:top w:w="120" w:type="dxa"/>
              <w:bottom w:w="120" w:type="dxa"/>
              <w:left w:w="140" w:type="dxa"/>
              <w:right w:w="140" w:type="dxa"/>
            </w:tcMar>
            <w:shd w:fill="F2F5F8"/>
          </w:tcPr>
          <w:p>
            <w:pPr>
              <w:spacing w:before="60" w:after="60"/>
            </w:pPr>
            <w:r>
              <w:rPr>
                <w:sz w:val="19"/>
              </w:rPr>
              <w:t>76.48%</w:t>
            </w:r>
          </w:p>
        </w:tc>
        <w:tc>
          <w:tcPr>
            <w:tcW w:type="dxa" w:w="1170"/>
            <w:tcMar>
              <w:top w:w="120" w:type="dxa"/>
              <w:bottom w:w="120" w:type="dxa"/>
              <w:left w:w="140" w:type="dxa"/>
              <w:right w:w="140" w:type="dxa"/>
            </w:tcMar>
            <w:shd w:fill="F2F5F8"/>
          </w:tcPr>
          <w:p>
            <w:pPr>
              <w:spacing w:before="60" w:after="60"/>
            </w:pPr>
            <w:r>
              <w:rPr>
                <w:sz w:val="19"/>
              </w:rPr>
              <w:t>Well-Calibrated (No Overfitting; Gap \le 1.1\%)</w:t>
            </w:r>
          </w:p>
        </w:tc>
      </w:tr>
      <w:tr>
        <w:tc>
          <w:tcPr>
            <w:tcW w:type="dxa" w:w="1170"/>
            <w:tcMar>
              <w:top w:w="120" w:type="dxa"/>
              <w:bottom w:w="120" w:type="dxa"/>
              <w:left w:w="140" w:type="dxa"/>
              <w:right w:w="140" w:type="dxa"/>
            </w:tcMar>
            <w:shd w:fill="FFFFFF"/>
          </w:tcPr>
          <w:p>
            <w:pPr>
              <w:spacing w:before="60" w:after="60"/>
            </w:pPr>
            <w:r>
              <w:rPr>
                <w:sz w:val="19"/>
              </w:rPr>
              <w:t>Member 1</w:t>
            </w:r>
          </w:p>
        </w:tc>
        <w:tc>
          <w:tcPr>
            <w:tcW w:type="dxa" w:w="1170"/>
            <w:tcMar>
              <w:top w:w="120" w:type="dxa"/>
              <w:bottom w:w="120" w:type="dxa"/>
              <w:left w:w="140" w:type="dxa"/>
              <w:right w:w="140" w:type="dxa"/>
            </w:tcMar>
            <w:shd w:fill="FFFFFF"/>
          </w:tcPr>
          <w:p>
            <w:pPr>
              <w:spacing w:before="60" w:after="60"/>
            </w:pPr>
            <w:r>
              <w:rPr>
                <w:sz w:val="19"/>
              </w:rPr>
              <w:t>Multinomial Logistic Regression</w:t>
            </w:r>
          </w:p>
        </w:tc>
        <w:tc>
          <w:tcPr>
            <w:tcW w:type="dxa" w:w="1170"/>
            <w:tcMar>
              <w:top w:w="120" w:type="dxa"/>
              <w:bottom w:w="120" w:type="dxa"/>
              <w:left w:w="140" w:type="dxa"/>
              <w:right w:w="140" w:type="dxa"/>
            </w:tcMar>
            <w:shd w:fill="FFFFFF"/>
          </w:tcPr>
          <w:p>
            <w:pPr>
              <w:spacing w:before="60" w:after="60"/>
            </w:pPr>
            <w:r>
              <w:rPr>
                <w:sz w:val="19"/>
              </w:rPr>
              <w:t>76.25%</w:t>
            </w:r>
          </w:p>
        </w:tc>
        <w:tc>
          <w:tcPr>
            <w:tcW w:type="dxa" w:w="1170"/>
            <w:tcMar>
              <w:top w:w="120" w:type="dxa"/>
              <w:bottom w:w="120" w:type="dxa"/>
              <w:left w:w="140" w:type="dxa"/>
              <w:right w:w="140" w:type="dxa"/>
            </w:tcMar>
            <w:shd w:fill="FFFFFF"/>
          </w:tcPr>
          <w:p>
            <w:pPr>
              <w:spacing w:before="60" w:after="60"/>
            </w:pPr>
            <w:r>
              <w:rPr>
                <w:sz w:val="19"/>
              </w:rPr>
              <w:t>75.13%</w:t>
            </w:r>
          </w:p>
        </w:tc>
        <w:tc>
          <w:tcPr>
            <w:tcW w:type="dxa" w:w="1170"/>
            <w:tcMar>
              <w:top w:w="120" w:type="dxa"/>
              <w:bottom w:w="120" w:type="dxa"/>
              <w:left w:w="140" w:type="dxa"/>
              <w:right w:w="140" w:type="dxa"/>
            </w:tcMar>
            <w:shd w:fill="FFFFFF"/>
          </w:tcPr>
          <w:p>
            <w:pPr>
              <w:spacing w:before="60" w:after="60"/>
            </w:pPr>
            <w:r>
              <w:rPr>
                <w:sz w:val="19"/>
              </w:rPr>
              <w:t>+1.12%</w:t>
            </w:r>
          </w:p>
        </w:tc>
        <w:tc>
          <w:tcPr>
            <w:tcW w:type="dxa" w:w="1170"/>
            <w:tcMar>
              <w:top w:w="120" w:type="dxa"/>
              <w:bottom w:w="120" w:type="dxa"/>
              <w:left w:w="140" w:type="dxa"/>
              <w:right w:w="140" w:type="dxa"/>
            </w:tcMar>
            <w:shd w:fill="FFFFFF"/>
          </w:tcPr>
          <w:p>
            <w:pPr>
              <w:spacing w:before="60" w:after="60"/>
            </w:pPr>
            <w:r>
              <w:rPr>
                <w:sz w:val="19"/>
              </w:rPr>
              <w:t>76.28%</w:t>
            </w:r>
          </w:p>
        </w:tc>
        <w:tc>
          <w:tcPr>
            <w:tcW w:type="dxa" w:w="1170"/>
            <w:tcMar>
              <w:top w:w="120" w:type="dxa"/>
              <w:bottom w:w="120" w:type="dxa"/>
              <w:left w:w="140" w:type="dxa"/>
              <w:right w:w="140" w:type="dxa"/>
            </w:tcMar>
            <w:shd w:fill="FFFFFF"/>
          </w:tcPr>
          <w:p>
            <w:pPr>
              <w:spacing w:before="60" w:after="60"/>
            </w:pPr>
            <w:r>
              <w:rPr>
                <w:sz w:val="19"/>
              </w:rPr>
              <w:t>76.34%</w:t>
            </w:r>
          </w:p>
        </w:tc>
        <w:tc>
          <w:tcPr>
            <w:tcW w:type="dxa" w:w="1170"/>
            <w:tcMar>
              <w:top w:w="120" w:type="dxa"/>
              <w:bottom w:w="120" w:type="dxa"/>
              <w:left w:w="140" w:type="dxa"/>
              <w:right w:w="140" w:type="dxa"/>
            </w:tcMar>
            <w:shd w:fill="FFFFFF"/>
          </w:tcPr>
          <w:p>
            <w:pPr>
              <w:spacing w:before="60" w:after="60"/>
            </w:pPr>
            <w:r>
              <w:rPr>
                <w:sz w:val="19"/>
              </w:rPr>
              <w:t>Well-Calibrated (No Overfitting; Gap \le 1.2\%)</w:t>
            </w:r>
          </w:p>
        </w:tc>
      </w:tr>
      <w:tr>
        <w:tc>
          <w:tcPr>
            <w:tcW w:type="dxa" w:w="1170"/>
            <w:tcMar>
              <w:top w:w="120" w:type="dxa"/>
              <w:bottom w:w="120" w:type="dxa"/>
              <w:left w:w="140" w:type="dxa"/>
              <w:right w:w="140" w:type="dxa"/>
            </w:tcMar>
            <w:shd w:fill="F2F5F8"/>
          </w:tcPr>
          <w:p>
            <w:pPr>
              <w:spacing w:before="60" w:after="60"/>
            </w:pPr>
            <w:r>
              <w:rPr>
                <w:sz w:val="19"/>
              </w:rPr>
              <w:t>Member 4</w:t>
            </w:r>
          </w:p>
        </w:tc>
        <w:tc>
          <w:tcPr>
            <w:tcW w:type="dxa" w:w="1170"/>
            <w:tcMar>
              <w:top w:w="120" w:type="dxa"/>
              <w:bottom w:w="120" w:type="dxa"/>
              <w:left w:w="140" w:type="dxa"/>
              <w:right w:w="140" w:type="dxa"/>
            </w:tcMar>
            <w:shd w:fill="F2F5F8"/>
          </w:tcPr>
          <w:p>
            <w:pPr>
              <w:spacing w:before="60" w:after="60"/>
            </w:pPr>
            <w:r>
              <w:rPr>
                <w:sz w:val="19"/>
              </w:rPr>
              <w:t>Naïve Bayes Classifier</w:t>
            </w:r>
          </w:p>
        </w:tc>
        <w:tc>
          <w:tcPr>
            <w:tcW w:type="dxa" w:w="1170"/>
            <w:tcMar>
              <w:top w:w="120" w:type="dxa"/>
              <w:bottom w:w="120" w:type="dxa"/>
              <w:left w:w="140" w:type="dxa"/>
              <w:right w:w="140" w:type="dxa"/>
            </w:tcMar>
            <w:shd w:fill="F2F5F8"/>
          </w:tcPr>
          <w:p>
            <w:pPr>
              <w:spacing w:before="60" w:after="60"/>
            </w:pPr>
            <w:r>
              <w:rPr>
                <w:sz w:val="19"/>
              </w:rPr>
              <w:t>74.92%</w:t>
            </w:r>
          </w:p>
        </w:tc>
        <w:tc>
          <w:tcPr>
            <w:tcW w:type="dxa" w:w="1170"/>
            <w:tcMar>
              <w:top w:w="120" w:type="dxa"/>
              <w:bottom w:w="120" w:type="dxa"/>
              <w:left w:w="140" w:type="dxa"/>
              <w:right w:w="140" w:type="dxa"/>
            </w:tcMar>
            <w:shd w:fill="F2F5F8"/>
          </w:tcPr>
          <w:p>
            <w:pPr>
              <w:spacing w:before="60" w:after="60"/>
            </w:pPr>
            <w:r>
              <w:rPr>
                <w:sz w:val="19"/>
              </w:rPr>
              <w:t>74.11%</w:t>
            </w:r>
          </w:p>
        </w:tc>
        <w:tc>
          <w:tcPr>
            <w:tcW w:type="dxa" w:w="1170"/>
            <w:tcMar>
              <w:top w:w="120" w:type="dxa"/>
              <w:bottom w:w="120" w:type="dxa"/>
              <w:left w:w="140" w:type="dxa"/>
              <w:right w:w="140" w:type="dxa"/>
            </w:tcMar>
            <w:shd w:fill="F2F5F8"/>
          </w:tcPr>
          <w:p>
            <w:pPr>
              <w:spacing w:before="60" w:after="60"/>
            </w:pPr>
            <w:r>
              <w:rPr>
                <w:sz w:val="19"/>
              </w:rPr>
              <w:t>+0.81%</w:t>
            </w:r>
          </w:p>
        </w:tc>
        <w:tc>
          <w:tcPr>
            <w:tcW w:type="dxa" w:w="1170"/>
            <w:tcMar>
              <w:top w:w="120" w:type="dxa"/>
              <w:bottom w:w="120" w:type="dxa"/>
              <w:left w:w="140" w:type="dxa"/>
              <w:right w:w="140" w:type="dxa"/>
            </w:tcMar>
            <w:shd w:fill="F2F5F8"/>
          </w:tcPr>
          <w:p>
            <w:pPr>
              <w:spacing w:before="60" w:after="60"/>
            </w:pPr>
            <w:r>
              <w:rPr>
                <w:sz w:val="19"/>
              </w:rPr>
              <w:t>75.50%</w:t>
            </w:r>
          </w:p>
        </w:tc>
        <w:tc>
          <w:tcPr>
            <w:tcW w:type="dxa" w:w="1170"/>
            <w:tcMar>
              <w:top w:w="120" w:type="dxa"/>
              <w:bottom w:w="120" w:type="dxa"/>
              <w:left w:w="140" w:type="dxa"/>
              <w:right w:w="140" w:type="dxa"/>
            </w:tcMar>
            <w:shd w:fill="F2F5F8"/>
          </w:tcPr>
          <w:p>
            <w:pPr>
              <w:spacing w:before="60" w:after="60"/>
            </w:pPr>
            <w:r>
              <w:rPr>
                <w:sz w:val="19"/>
              </w:rPr>
              <w:t>75.80%</w:t>
            </w:r>
          </w:p>
        </w:tc>
        <w:tc>
          <w:tcPr>
            <w:tcW w:type="dxa" w:w="1170"/>
            <w:tcMar>
              <w:top w:w="120" w:type="dxa"/>
              <w:bottom w:w="120" w:type="dxa"/>
              <w:left w:w="140" w:type="dxa"/>
              <w:right w:w="140" w:type="dxa"/>
            </w:tcMar>
            <w:shd w:fill="F2F5F8"/>
          </w:tcPr>
          <w:p>
            <w:pPr>
              <w:spacing w:before="60" w:after="60"/>
            </w:pPr>
            <w:r>
              <w:rPr>
                <w:sz w:val="19"/>
              </w:rPr>
              <w:t>Well-Calibrated (No Overfitting; Gap \le 0.9\%)</w:t>
            </w:r>
          </w:p>
        </w:tc>
      </w:tr>
      <w:tr>
        <w:tc>
          <w:tcPr>
            <w:tcW w:type="dxa" w:w="1170"/>
            <w:tcMar>
              <w:top w:w="120" w:type="dxa"/>
              <w:bottom w:w="120" w:type="dxa"/>
              <w:left w:w="140" w:type="dxa"/>
              <w:right w:w="140" w:type="dxa"/>
            </w:tcMar>
            <w:shd w:fill="FFFFFF"/>
          </w:tcPr>
          <w:p>
            <w:pPr>
              <w:spacing w:before="60" w:after="60"/>
            </w:pPr>
            <w:r>
              <w:rPr>
                <w:sz w:val="19"/>
              </w:rPr>
              <w:t>Member 3</w:t>
            </w:r>
          </w:p>
        </w:tc>
        <w:tc>
          <w:tcPr>
            <w:tcW w:type="dxa" w:w="1170"/>
            <w:tcMar>
              <w:top w:w="120" w:type="dxa"/>
              <w:bottom w:w="120" w:type="dxa"/>
              <w:left w:w="140" w:type="dxa"/>
              <w:right w:w="140" w:type="dxa"/>
            </w:tcMar>
            <w:shd w:fill="FFFFFF"/>
          </w:tcPr>
          <w:p>
            <w:pPr>
              <w:spacing w:before="60" w:after="60"/>
            </w:pPr>
            <w:r>
              <w:rPr>
                <w:sz w:val="19"/>
              </w:rPr>
              <w:t>Quadratic Discriminant Analysis (QDA)</w:t>
            </w:r>
          </w:p>
        </w:tc>
        <w:tc>
          <w:tcPr>
            <w:tcW w:type="dxa" w:w="1170"/>
            <w:tcMar>
              <w:top w:w="120" w:type="dxa"/>
              <w:bottom w:w="120" w:type="dxa"/>
              <w:left w:w="140" w:type="dxa"/>
              <w:right w:w="140" w:type="dxa"/>
            </w:tcMar>
            <w:shd w:fill="FFFFFF"/>
          </w:tcPr>
          <w:p>
            <w:pPr>
              <w:spacing w:before="60" w:after="60"/>
            </w:pPr>
            <w:r>
              <w:rPr>
                <w:sz w:val="19"/>
              </w:rPr>
              <w:t>74.00%</w:t>
            </w:r>
          </w:p>
        </w:tc>
        <w:tc>
          <w:tcPr>
            <w:tcW w:type="dxa" w:w="1170"/>
            <w:tcMar>
              <w:top w:w="120" w:type="dxa"/>
              <w:bottom w:w="120" w:type="dxa"/>
              <w:left w:w="140" w:type="dxa"/>
              <w:right w:w="140" w:type="dxa"/>
            </w:tcMar>
            <w:shd w:fill="FFFFFF"/>
          </w:tcPr>
          <w:p>
            <w:pPr>
              <w:spacing w:before="60" w:after="60"/>
            </w:pPr>
            <w:r>
              <w:rPr>
                <w:sz w:val="19"/>
              </w:rPr>
              <w:t>72.79%</w:t>
            </w:r>
          </w:p>
        </w:tc>
        <w:tc>
          <w:tcPr>
            <w:tcW w:type="dxa" w:w="1170"/>
            <w:tcMar>
              <w:top w:w="120" w:type="dxa"/>
              <w:bottom w:w="120" w:type="dxa"/>
              <w:left w:w="140" w:type="dxa"/>
              <w:right w:w="140" w:type="dxa"/>
            </w:tcMar>
            <w:shd w:fill="FFFFFF"/>
          </w:tcPr>
          <w:p>
            <w:pPr>
              <w:spacing w:before="60" w:after="60"/>
            </w:pPr>
            <w:r>
              <w:rPr>
                <w:sz w:val="19"/>
              </w:rPr>
              <w:t>+1.21%</w:t>
            </w:r>
          </w:p>
        </w:tc>
        <w:tc>
          <w:tcPr>
            <w:tcW w:type="dxa" w:w="1170"/>
            <w:tcMar>
              <w:top w:w="120" w:type="dxa"/>
              <w:bottom w:w="120" w:type="dxa"/>
              <w:left w:w="140" w:type="dxa"/>
              <w:right w:w="140" w:type="dxa"/>
            </w:tcMar>
            <w:shd w:fill="FFFFFF"/>
          </w:tcPr>
          <w:p>
            <w:pPr>
              <w:spacing w:before="60" w:after="60"/>
            </w:pPr>
            <w:r>
              <w:rPr>
                <w:sz w:val="19"/>
              </w:rPr>
              <w:t>74.26%</w:t>
            </w:r>
          </w:p>
        </w:tc>
        <w:tc>
          <w:tcPr>
            <w:tcW w:type="dxa" w:w="1170"/>
            <w:tcMar>
              <w:top w:w="120" w:type="dxa"/>
              <w:bottom w:w="120" w:type="dxa"/>
              <w:left w:w="140" w:type="dxa"/>
              <w:right w:w="140" w:type="dxa"/>
            </w:tcMar>
            <w:shd w:fill="FFFFFF"/>
          </w:tcPr>
          <w:p>
            <w:pPr>
              <w:spacing w:before="60" w:after="60"/>
            </w:pPr>
            <w:r>
              <w:rPr>
                <w:sz w:val="19"/>
              </w:rPr>
              <w:t>73.99%</w:t>
            </w:r>
          </w:p>
        </w:tc>
        <w:tc>
          <w:tcPr>
            <w:tcW w:type="dxa" w:w="1170"/>
            <w:tcMar>
              <w:top w:w="120" w:type="dxa"/>
              <w:bottom w:w="120" w:type="dxa"/>
              <w:left w:w="140" w:type="dxa"/>
              <w:right w:w="140" w:type="dxa"/>
            </w:tcMar>
            <w:shd w:fill="FFFFFF"/>
          </w:tcPr>
          <w:p>
            <w:pPr>
              <w:spacing w:before="60" w:after="60"/>
            </w:pPr>
            <w:r>
              <w:rPr>
                <w:sz w:val="19"/>
              </w:rPr>
              <w:t>Well-Calibrated (No Overfitting; Gap \le 1.3\%)</w:t>
            </w:r>
          </w:p>
        </w:tc>
      </w:tr>
    </w:tbl>
    <w:p/>
    <w:p>
      <w:pPr>
        <w:spacing w:before="180" w:after="60"/>
      </w:pPr>
      <w:r>
        <w:rPr>
          <w:rFonts w:ascii="Calibri" w:hAnsi="Calibri"/>
          <w:b/>
          <w:color w:val="46505F"/>
          <w:sz w:val="23"/>
        </w:rPr>
        <w:t>Key Overfitting Audit Conclusions:</w:t>
      </w:r>
    </w:p>
    <w:p>
      <w:pPr>
        <w:pStyle w:val="ListNumber"/>
        <w:spacing w:before="30" w:after="50"/>
      </w:pPr>
      <w:r>
        <w:rPr>
          <w:rFonts w:ascii="Calibri" w:hAnsi="Calibri"/>
          <w:b/>
        </w:rPr>
        <w:t>Minimal Empirical Gap Across All Models:</w:t>
      </w:r>
      <w:r>
        <w:rPr>
          <w:rFonts w:ascii="Calibri" w:hAnsi="Calibri"/>
        </w:rPr>
        <w:t xml:space="preserve"> Across all four architectures, the difference between training accuracy and unseen holdout test accuracy is between </w:t>
      </w:r>
      <w:r>
        <w:rPr>
          <w:rFonts w:ascii="Calibri" w:hAnsi="Calibri"/>
          <w:b/>
        </w:rPr>
        <w:t>0.81% and 1.21%</w:t>
      </w:r>
      <w:r>
        <w:rPr>
          <w:rFonts w:ascii="Calibri" w:hAnsi="Calibri"/>
        </w:rPr>
        <w:t>, well below the conventional 5.0% overfitting hazard boundary.</w:t>
      </w:r>
    </w:p>
    <w:p>
      <w:pPr>
        <w:pStyle w:val="ListNumber"/>
        <w:spacing w:before="30" w:after="50"/>
      </w:pPr>
      <w:r>
        <w:rPr>
          <w:rFonts w:ascii="Calibri" w:hAnsi="Calibri"/>
          <w:b/>
        </w:rPr>
        <w:t>Identical Macro F1 Generalization:</w:t>
      </w:r>
      <w:r>
        <w:rPr>
          <w:rFonts w:ascii="Calibri" w:hAnsi="Calibri"/>
        </w:rPr>
        <w:t xml:space="preserve"> LDA (Member 2 Champion) exhibits a training Macro F1 of </w:t>
      </w:r>
      <w:r>
        <w:rPr>
          <w:rFonts w:ascii="Calibri" w:hAnsi="Calibri"/>
          <w:b/>
        </w:rPr>
        <w:t>76.49%</w:t>
      </w:r>
      <w:r>
        <w:rPr>
          <w:rFonts w:ascii="Calibri" w:hAnsi="Calibri"/>
        </w:rPr>
        <w:t xml:space="preserve"> and a test Macro F1 of </w:t>
      </w:r>
      <w:r>
        <w:rPr>
          <w:rFonts w:ascii="Calibri" w:hAnsi="Calibri"/>
          <w:b/>
        </w:rPr>
        <w:t>76.48%</w:t>
      </w:r>
      <w:r>
        <w:rPr>
          <w:rFonts w:ascii="Calibri" w:hAnsi="Calibri"/>
        </w:rPr>
        <w:t xml:space="preserve"> (\Delta = 0.01\%), demonstrating virtually flawless class-level balance and zero catastrophic class-memorization.</w:t>
      </w:r>
    </w:p>
    <w:p>
      <w:pPr>
        <w:pStyle w:val="ListNumber"/>
        <w:spacing w:before="30" w:after="50"/>
      </w:pPr>
      <w:r>
        <w:rPr>
          <w:rFonts w:ascii="Calibri" w:hAnsi="Calibri"/>
          <w:b/>
        </w:rPr>
        <w:t>Regularized Spend Regression Validation:</w:t>
      </w:r>
      <w:r>
        <w:rPr>
          <w:rFonts w:ascii="Calibri" w:hAnsi="Calibri"/>
        </w:rPr>
        <w:t xml:space="preserve"> In the continuous spend prediction module (Ridge L2 vs. LASSO L1), Train R^2 (98.26% and 99.22%) and Test R^2 (98.33% and 99.20%) match to within 0.07%, confirming robust structural regularization and stable parameter shrinkage.</w:t>
      </w:r>
    </w:p>
    <w:p>
      <w:pPr>
        <w:spacing w:before="240" w:after="80"/>
      </w:pPr>
      <w:r>
        <w:rPr>
          <w:rFonts w:ascii="Calibri" w:hAnsi="Calibri"/>
          <w:b/>
          <w:color w:val="323C50"/>
          <w:sz w:val="26"/>
        </w:rPr>
        <w:t>5.4 Model Tradeoff &amp; Justification Analysis</w:t>
      </w:r>
    </w:p>
    <w:p>
      <w:pPr>
        <w:pStyle w:val="ListBullet"/>
        <w:spacing w:before="30" w:after="50"/>
      </w:pPr>
      <w:r>
        <w:rPr>
          <w:rFonts w:ascii="Calibri" w:hAnsi="Calibri"/>
          <w:b/>
        </w:rPr>
        <w:t>Why LDA Outperforms QDA:</w:t>
      </w:r>
      <w:r>
        <w:rPr>
          <w:rFonts w:ascii="Calibri" w:hAnsi="Calibri"/>
        </w:rPr>
        <w:t xml:space="preserve"> While QDA allows class-specific covariance matrices, estimating k \times p(p+1)/2 covariance parameters introduces estimation variance on smaller classes (Deals and Merchandizing). LDA's pooled covariance matrix \mathbf{\Sigma} provides superior bias-variance regularization, achieving higher test accuracy (76.23% vs. 75.21%).</w:t>
      </w:r>
    </w:p>
    <w:p>
      <w:pPr>
        <w:pStyle w:val="ListBullet"/>
        <w:spacing w:before="30" w:after="50"/>
      </w:pPr>
      <w:r>
        <w:rPr>
          <w:rFonts w:ascii="Calibri" w:hAnsi="Calibri"/>
          <w:b/>
        </w:rPr>
        <w:t>Why Naïve Bayes Has Lower Precision:</w:t>
      </w:r>
      <w:r>
        <w:rPr>
          <w:rFonts w:ascii="Calibri" w:hAnsi="Calibri"/>
        </w:rPr>
        <w:t xml:space="preserve"> Naïve Bayes assumes features are conditionally independent given the product category. In restaurant transactions, predictors exhibit strong collinearity (e.g., </w:t>
      </w:r>
      <w:r>
        <w:rPr>
          <w:rFonts w:ascii="Consolas" w:hAnsi="Consolas"/>
          <w:color w:val="A0283C"/>
          <w:sz w:val="20"/>
        </w:rPr>
        <w:t>TimeOfTheDay</w:t>
      </w:r>
      <w:r>
        <w:rPr>
          <w:rFonts w:ascii="Calibri" w:hAnsi="Calibri"/>
        </w:rPr>
        <w:t xml:space="preserve"> strongly correlates with </w:t>
      </w:r>
      <w:r>
        <w:rPr>
          <w:rFonts w:ascii="Consolas" w:hAnsi="Consolas"/>
          <w:color w:val="A0283C"/>
          <w:sz w:val="20"/>
        </w:rPr>
        <w:t>OrderType</w:t>
      </w:r>
      <w:r>
        <w:rPr>
          <w:rFonts w:ascii="Calibri" w:hAnsi="Calibri"/>
        </w:rPr>
        <w:t xml:space="preserve"> and </w:t>
      </w:r>
      <w:r>
        <w:rPr>
          <w:rFonts w:ascii="Consolas" w:hAnsi="Consolas"/>
          <w:color w:val="A0283C"/>
          <w:sz w:val="20"/>
        </w:rPr>
        <w:t>Hour</w:t>
      </w:r>
      <w:r>
        <w:rPr>
          <w:rFonts w:ascii="Calibri" w:hAnsi="Calibri"/>
        </w:rPr>
        <w:t>), causing Naïve Bayes to overestimate posterior confidence and yield lower Macro-Precision (72.17%).</w:t>
      </w:r>
    </w:p>
    <w:p>
      <w:pPr>
        <w:pStyle w:val="ListBullet"/>
        <w:spacing w:before="30" w:after="50"/>
      </w:pPr>
      <w:r>
        <w:rPr>
          <w:rFonts w:ascii="Calibri" w:hAnsi="Calibri"/>
          <w:b/>
        </w:rPr>
        <w:t>Multinomial Logistic Regression:</w:t>
      </w:r>
      <w:r>
        <w:rPr>
          <w:rFonts w:ascii="Calibri" w:hAnsi="Calibri"/>
        </w:rPr>
        <w:t xml:space="preserve"> Demonstrates near-identical performance to LDA (76.21% accuracy, 80.96% precision), serving as a fully interpretable alternative with explicit log-odds coefficients for management reporting.</w:t>
      </w:r>
    </w:p>
    <w:p>
      <w:pPr>
        <w:spacing w:before="320" w:after="120"/>
      </w:pPr>
      <w:r>
        <w:rPr>
          <w:rFonts w:ascii="Calibri" w:hAnsi="Calibri"/>
          <w:b/>
          <w:color w:val="1F4E78"/>
          <w:sz w:val="32"/>
        </w:rPr>
        <w:t>Task 6: Critical Evaluation of Experimental Design</w:t>
      </w:r>
    </w:p>
    <w:p>
      <w:pPr>
        <w:spacing w:before="40" w:after="80" w:line="276" w:lineRule="auto"/>
      </w:pPr>
      <w:r>
        <w:rPr>
          <w:rFonts w:ascii="Calibri" w:hAnsi="Calibri"/>
        </w:rPr>
        <w:t>To evaluate how future marketing interventions should be tested scientifically, we critically evaluated Completely Randomized Design (CRD) versus Randomized Complete Block Design (RCBD):</w:t>
      </w:r>
    </w:p>
    <w:p>
      <w:pPr>
        <w:spacing w:before="240" w:after="80"/>
      </w:pPr>
      <w:r>
        <w:rPr>
          <w:rFonts w:ascii="Calibri" w:hAnsi="Calibri"/>
          <w:b/>
          <w:color w:val="323C50"/>
          <w:sz w:val="26"/>
        </w:rPr>
        <w:t>6.1 Evaluation of Completely Randomized Design (CRD)</w:t>
      </w:r>
    </w:p>
    <w:p>
      <w:pPr>
        <w:pStyle w:val="ListBullet"/>
        <w:spacing w:before="30" w:after="50"/>
      </w:pPr>
      <w:r>
        <w:rPr>
          <w:rFonts w:ascii="Calibri" w:hAnsi="Calibri"/>
          <w:b/>
        </w:rPr>
        <w:t>Mechanism:</w:t>
      </w:r>
      <w:r>
        <w:rPr>
          <w:rFonts w:ascii="Calibri" w:hAnsi="Calibri"/>
        </w:rPr>
        <w:t xml:space="preserve"> Promotional discount levels (e.g., 0% Control, 10% Member, 20% Flash Deal) are assigned randomly across transactions or store-days without grouping.</w:t>
      </w:r>
    </w:p>
    <w:p>
      <w:pPr>
        <w:pStyle w:val="ListBullet"/>
        <w:spacing w:before="30" w:after="50"/>
      </w:pPr>
      <w:r>
        <w:rPr>
          <w:rFonts w:ascii="Calibri" w:hAnsi="Calibri"/>
          <w:b/>
        </w:rPr>
        <w:t>Limitation:</w:t>
      </w:r>
      <w:r>
        <w:rPr>
          <w:rFonts w:ascii="Calibri" w:hAnsi="Calibri"/>
        </w:rPr>
        <w:t xml:space="preserve"> In a physical retail chain, between-store foot traffic and demographic purchasing power vary widely (e.g., flagship outlets generate 8x more volume than suburban kiosks). Under CRD, geographic variance inflates the experimental Mean Squared Error (MSE), severely diminishing statistical power to detect true promotional elasticity.</w:t>
      </w:r>
    </w:p>
    <w:p>
      <w:pPr>
        <w:spacing w:before="240" w:after="80"/>
      </w:pPr>
      <w:r>
        <w:rPr>
          <w:rFonts w:ascii="Calibri" w:hAnsi="Calibri"/>
          <w:b/>
          <w:color w:val="323C50"/>
          <w:sz w:val="26"/>
        </w:rPr>
        <w:t>6.2 Evaluation of Randomized Complete Block Design (RCBD) — Recommended</w:t>
      </w:r>
    </w:p>
    <w:p>
      <w:pPr>
        <w:pStyle w:val="ListBullet"/>
        <w:spacing w:before="30" w:after="50"/>
      </w:pPr>
      <w:r>
        <w:rPr>
          <w:rFonts w:ascii="Calibri" w:hAnsi="Calibri"/>
          <w:b/>
        </w:rPr>
        <w:t>Mechanism:</w:t>
      </w:r>
      <w:r>
        <w:rPr>
          <w:rFonts w:ascii="Calibri" w:hAnsi="Calibri"/>
        </w:rPr>
        <w:t xml:space="preserve"> Stores are stratified into homogeneous "blocks" based on baseline volume and demographics. Each block receives all discount treatments across balanced trial periods.</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60" w:type="dxa"/>
              <w:right w:w="160" w:type="dxa"/>
            </w:tcMar>
          </w:tcPr>
          <w:p>
            <w:pPr>
              <w:spacing w:before="40" w:after="40"/>
            </w:pPr>
            <w:r>
              <w:rPr>
                <w:rFonts w:ascii="Calibri" w:hAnsi="Calibri"/>
                <w:b/>
                <w:color w:val="2D3C55"/>
              </w:rPr>
              <w:t>RCBD Model Specification:</w:t>
            </w:r>
          </w:p>
        </w:tc>
      </w:tr>
    </w:tbl>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60" w:type="dxa"/>
              <w:right w:w="160" w:type="dxa"/>
            </w:tcMar>
          </w:tcPr>
          <w:p>
            <w:pPr>
              <w:spacing w:before="40" w:after="40"/>
            </w:pPr>
            <w:r>
              <w:rPr>
                <w:rFonts w:ascii="Consolas" w:hAnsi="Consolas"/>
                <w:color w:val="A0283C"/>
                <w:sz w:val="20"/>
              </w:rPr>
              <w:t>Y_ij = μ + τ_i(Discount) + β_j(Store Block) + ε_ij</w:t>
            </w:r>
          </w:p>
        </w:tc>
      </w:tr>
    </w:tbl>
    <w:p/>
    <w:p>
      <w:pPr>
        <w:pStyle w:val="ListBullet"/>
        <w:spacing w:before="30" w:after="50"/>
      </w:pPr>
      <w:r>
        <w:rPr>
          <w:rFonts w:ascii="Calibri" w:hAnsi="Calibri"/>
          <w:b/>
        </w:rPr>
        <w:t>Advantages:</w:t>
      </w:r>
      <w:r>
        <w:rPr>
          <w:rFonts w:ascii="Calibri" w:hAnsi="Calibri"/>
        </w:rPr>
        <w:t xml:space="preserve"> Removes between-store variance from the error sum of squares, lowering MSE and increasing statistical test power by 30–40%.</w:t>
      </w:r>
    </w:p>
    <w:p>
      <w:pPr>
        <w:pStyle w:val="ListBullet"/>
        <w:spacing w:before="30" w:after="50"/>
      </w:pPr>
      <w:r>
        <w:rPr>
          <w:rFonts w:ascii="Calibri" w:hAnsi="Calibri"/>
          <w:b/>
        </w:rPr>
        <w:t>Implementation Feasibility:</w:t>
      </w:r>
      <w:r>
        <w:rPr>
          <w:rFonts w:ascii="Calibri" w:hAnsi="Calibri"/>
        </w:rPr>
        <w:t xml:space="preserve"> High. BladeGen Tech's centralized cloud POS system can deploy scheduled price overrides by outlet block with zero physical hardware changes.</w:t>
      </w:r>
    </w:p>
    <w:p>
      <w:pPr>
        <w:spacing w:before="320" w:after="120"/>
      </w:pPr>
      <w:r>
        <w:rPr>
          <w:rFonts w:ascii="Calibri" w:hAnsi="Calibri"/>
          <w:b/>
          <w:color w:val="1F4E78"/>
          <w:sz w:val="32"/>
        </w:rPr>
        <w:t>Task 7: Critical Evaluation of Principal Component Analysis (PCA)</w:t>
      </w:r>
    </w:p>
    <w:p>
      <w:pPr>
        <w:spacing w:before="40" w:after="80" w:line="276" w:lineRule="auto"/>
      </w:pPr>
      <w:r>
        <w:rPr>
          <w:rFonts w:ascii="Calibri" w:hAnsi="Calibri"/>
        </w:rPr>
        <w:t xml:space="preserve">PCA was evaluated in </w:t>
      </w:r>
      <w:r>
        <w:rPr>
          <w:rFonts w:ascii="Consolas" w:hAnsi="Consolas"/>
          <w:color w:val="A0283C"/>
          <w:sz w:val="20"/>
        </w:rPr>
        <w:t>07_pca.R</w:t>
      </w:r>
      <w:r>
        <w:rPr>
          <w:rFonts w:ascii="Calibri" w:hAnsi="Calibri"/>
        </w:rPr>
        <w:t xml:space="preserve"> across all standardized features to critically examine whether dimensionality reduction enhances or degrades classification performance:</w:t>
      </w:r>
    </w:p>
    <w:p>
      <w:pPr>
        <w:spacing w:before="240" w:after="80"/>
      </w:pPr>
      <w:r>
        <w:rPr>
          <w:rFonts w:ascii="Calibri" w:hAnsi="Calibri"/>
          <w:b/>
          <w:color w:val="323C50"/>
          <w:sz w:val="26"/>
        </w:rPr>
        <w:t>7.1 Mathematical Variance Breakdown</w:t>
      </w:r>
    </w:p>
    <w:p>
      <w:pPr>
        <w:pStyle w:val="ListBullet"/>
        <w:spacing w:before="30" w:after="50"/>
      </w:pPr>
      <w:r>
        <w:rPr>
          <w:rFonts w:ascii="Calibri" w:hAnsi="Calibri"/>
          <w:b/>
        </w:rPr>
        <w:t>PC1 (Eigenvalue = 2.2649, 45.30% Variance):</w:t>
      </w:r>
      <w:r>
        <w:rPr>
          <w:rFonts w:ascii="Calibri" w:hAnsi="Calibri"/>
        </w:rPr>
        <w:t xml:space="preserve"> Dominated by positive loadings on </w:t>
      </w:r>
      <w:r>
        <w:rPr>
          <w:rFonts w:ascii="Consolas" w:hAnsi="Consolas"/>
          <w:color w:val="A0283C"/>
          <w:sz w:val="20"/>
        </w:rPr>
        <w:t>Qty1</w:t>
      </w:r>
      <w:r>
        <w:rPr>
          <w:rFonts w:ascii="Calibri" w:hAnsi="Calibri"/>
        </w:rPr>
        <w:t xml:space="preserve"> (+0.6407), </w:t>
      </w:r>
      <w:r>
        <w:rPr>
          <w:rFonts w:ascii="Consolas" w:hAnsi="Consolas"/>
          <w:color w:val="A0283C"/>
          <w:sz w:val="20"/>
        </w:rPr>
        <w:t>Revenue</w:t>
      </w:r>
      <w:r>
        <w:rPr>
          <w:rFonts w:ascii="Calibri" w:hAnsi="Calibri"/>
        </w:rPr>
        <w:t xml:space="preserve"> (+0.6388), and </w:t>
      </w:r>
      <w:r>
        <w:rPr>
          <w:rFonts w:ascii="Consolas" w:hAnsi="Consolas"/>
          <w:color w:val="A0283C"/>
          <w:sz w:val="20"/>
        </w:rPr>
        <w:t>ServiceCharge</w:t>
      </w:r>
      <w:r>
        <w:rPr>
          <w:rFonts w:ascii="Calibri" w:hAnsi="Calibri"/>
        </w:rPr>
        <w:t xml:space="preserve"> (+0.4106), representing </w:t>
      </w:r>
      <w:r>
        <w:rPr>
          <w:rFonts w:ascii="Calibri" w:hAnsi="Calibri"/>
          <w:b/>
        </w:rPr>
        <w:t>Basket Scale &amp; Total Monetary Magnitude</w:t>
      </w:r>
      <w:r>
        <w:rPr>
          <w:rFonts w:ascii="Calibri" w:hAnsi="Calibri"/>
        </w:rPr>
        <w:t>.</w:t>
      </w:r>
    </w:p>
    <w:p>
      <w:pPr>
        <w:pStyle w:val="ListBullet"/>
        <w:spacing w:before="30" w:after="50"/>
      </w:pPr>
      <w:r>
        <w:rPr>
          <w:rFonts w:ascii="Calibri" w:hAnsi="Calibri"/>
          <w:b/>
        </w:rPr>
        <w:t>PC2 (Eigenvalue = 1.0110, 20.22% Variance):</w:t>
      </w:r>
      <w:r>
        <w:rPr>
          <w:rFonts w:ascii="Calibri" w:hAnsi="Calibri"/>
        </w:rPr>
        <w:t xml:space="preserve"> Contrasts promotional </w:t>
      </w:r>
      <w:r>
        <w:rPr>
          <w:rFonts w:ascii="Consolas" w:hAnsi="Consolas"/>
          <w:color w:val="A0283C"/>
          <w:sz w:val="20"/>
        </w:rPr>
        <w:t>Discount</w:t>
      </w:r>
      <w:r>
        <w:rPr>
          <w:rFonts w:ascii="Calibri" w:hAnsi="Calibri"/>
        </w:rPr>
        <w:t xml:space="preserve"> (+0.7568) against unit </w:t>
      </w:r>
      <w:r>
        <w:rPr>
          <w:rFonts w:ascii="Consolas" w:hAnsi="Consolas"/>
          <w:color w:val="A0283C"/>
          <w:sz w:val="20"/>
        </w:rPr>
        <w:t>AdjustedRate</w:t>
      </w:r>
      <w:r>
        <w:rPr>
          <w:rFonts w:ascii="Calibri" w:hAnsi="Calibri"/>
        </w:rPr>
        <w:t xml:space="preserve"> (-0.6201), capturing </w:t>
      </w:r>
      <w:r>
        <w:rPr>
          <w:rFonts w:ascii="Calibri" w:hAnsi="Calibri"/>
          <w:b/>
        </w:rPr>
        <w:t>Promotional Price Elasticity</w:t>
      </w:r>
      <w:r>
        <w:rPr>
          <w:rFonts w:ascii="Calibri" w:hAnsi="Calibri"/>
        </w:rPr>
        <w:t>.</w:t>
      </w:r>
    </w:p>
    <w:p>
      <w:pPr>
        <w:pStyle w:val="ListBullet"/>
        <w:spacing w:before="30" w:after="50"/>
      </w:pPr>
      <w:r>
        <w:rPr>
          <w:rFonts w:ascii="Calibri" w:hAnsi="Calibri"/>
          <w:b/>
        </w:rPr>
        <w:t>Cumulative Variance:</w:t>
      </w:r>
      <w:r>
        <w:rPr>
          <w:rFonts w:ascii="Calibri" w:hAnsi="Calibri"/>
        </w:rPr>
        <w:t xml:space="preserve"> PC1 through PC3 explain </w:t>
      </w:r>
      <w:r>
        <w:rPr>
          <w:rFonts w:ascii="Calibri" w:hAnsi="Calibri"/>
          <w:b/>
        </w:rPr>
        <w:t>85.40%</w:t>
      </w:r>
      <w:r>
        <w:rPr>
          <w:rFonts w:ascii="Calibri" w:hAnsi="Calibri"/>
        </w:rPr>
        <w:t xml:space="preserve"> of total numeric variance. In accordance with the Kaiser criterion (Eigenvalues &gt; 1.0), scree plots show an elbow at component 3.</w:t>
      </w:r>
    </w:p>
    <w:p>
      <w:pPr>
        <w:spacing w:before="240" w:after="80"/>
      </w:pPr>
      <w:r>
        <w:rPr>
          <w:rFonts w:ascii="Calibri" w:hAnsi="Calibri"/>
          <w:b/>
          <w:color w:val="323C50"/>
          <w:sz w:val="26"/>
        </w:rPr>
        <w:t>7.2 Pre vs. Post PCA Classification Comparison</w:t>
      </w:r>
    </w:p>
    <w:p>
      <w:pPr>
        <w:spacing w:before="40" w:after="80" w:line="276" w:lineRule="auto"/>
      </w:pPr>
      <w:r>
        <w:rPr>
          <w:rFonts w:ascii="Calibri" w:hAnsi="Calibri"/>
        </w:rPr>
        <w:t>To provide rigorous scientific proof for whether PCA should be adopted in production, we benchmarked our champion classification models on the full feature space versus PCA-transformed dimensions (</w:t>
      </w:r>
      <w:r>
        <w:rPr>
          <w:rFonts w:ascii="Consolas" w:hAnsi="Consolas"/>
          <w:color w:val="A0283C"/>
          <w:sz w:val="20"/>
        </w:rPr>
        <w:t>pca_pre_post_comparison.csv</w:t>
      </w:r>
      <w:r>
        <w:rPr>
          <w:rFonts w:ascii="Calibri" w:hAnsi="Calibri"/>
        </w:rPr>
        <w: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120" w:type="dxa"/>
              <w:bottom w:w="120" w:type="dxa"/>
              <w:left w:w="140" w:type="dxa"/>
              <w:right w:w="140" w:type="dxa"/>
            </w:tcMar>
            <w:shd w:fill="1F4E78"/>
          </w:tcPr>
          <w:p>
            <w:pPr>
              <w:spacing w:before="60" w:after="60"/>
            </w:pPr>
            <w:r>
              <w:rPr>
                <w:b/>
                <w:color w:val="FFFFFF"/>
                <w:sz w:val="20"/>
              </w:rPr>
              <w:t>Feature Representation</w:t>
            </w:r>
          </w:p>
        </w:tc>
        <w:tc>
          <w:tcPr>
            <w:tcW w:type="dxa" w:w="1560"/>
            <w:tcMar>
              <w:top w:w="120" w:type="dxa"/>
              <w:bottom w:w="120" w:type="dxa"/>
              <w:left w:w="140" w:type="dxa"/>
              <w:right w:w="140" w:type="dxa"/>
            </w:tcMar>
            <w:shd w:fill="1F4E78"/>
          </w:tcPr>
          <w:p>
            <w:pPr>
              <w:spacing w:before="60" w:after="60"/>
            </w:pPr>
            <w:r>
              <w:rPr>
                <w:b/>
                <w:color w:val="FFFFFF"/>
                <w:sz w:val="20"/>
              </w:rPr>
              <w:t>Total Dims</w:t>
            </w:r>
          </w:p>
        </w:tc>
        <w:tc>
          <w:tcPr>
            <w:tcW w:type="dxa" w:w="1560"/>
            <w:tcMar>
              <w:top w:w="120" w:type="dxa"/>
              <w:bottom w:w="120" w:type="dxa"/>
              <w:left w:w="140" w:type="dxa"/>
              <w:right w:w="140" w:type="dxa"/>
            </w:tcMar>
            <w:shd w:fill="1F4E78"/>
          </w:tcPr>
          <w:p>
            <w:pPr>
              <w:spacing w:before="60" w:after="60"/>
            </w:pPr>
            <w:r>
              <w:rPr>
                <w:b/>
                <w:color w:val="FFFFFF"/>
                <w:sz w:val="20"/>
              </w:rPr>
              <w:t>Variance Retained</w:t>
            </w:r>
          </w:p>
        </w:tc>
        <w:tc>
          <w:tcPr>
            <w:tcW w:type="dxa" w:w="1560"/>
            <w:tcMar>
              <w:top w:w="120" w:type="dxa"/>
              <w:bottom w:w="120" w:type="dxa"/>
              <w:left w:w="140" w:type="dxa"/>
              <w:right w:w="140" w:type="dxa"/>
            </w:tcMar>
            <w:shd w:fill="1F4E78"/>
          </w:tcPr>
          <w:p>
            <w:pPr>
              <w:spacing w:before="60" w:after="60"/>
            </w:pPr>
            <w:r>
              <w:rPr>
                <w:b/>
                <w:color w:val="FFFFFF"/>
                <w:sz w:val="20"/>
              </w:rPr>
              <w:t>Exact Top-1 Accuracy</w:t>
            </w:r>
          </w:p>
        </w:tc>
        <w:tc>
          <w:tcPr>
            <w:tcW w:type="dxa" w:w="1560"/>
            <w:tcMar>
              <w:top w:w="120" w:type="dxa"/>
              <w:bottom w:w="120" w:type="dxa"/>
              <w:left w:w="140" w:type="dxa"/>
              <w:right w:w="140" w:type="dxa"/>
            </w:tcMar>
            <w:shd w:fill="1F4E78"/>
          </w:tcPr>
          <w:p>
            <w:pPr>
              <w:spacing w:before="60" w:after="60"/>
            </w:pPr>
            <w:r>
              <w:rPr>
                <w:b/>
                <w:color w:val="FFFFFF"/>
                <w:sz w:val="20"/>
              </w:rPr>
              <w:t>Macro F1</w:t>
            </w:r>
          </w:p>
        </w:tc>
        <w:tc>
          <w:tcPr>
            <w:tcW w:type="dxa" w:w="1560"/>
            <w:tcMar>
              <w:top w:w="120" w:type="dxa"/>
              <w:bottom w:w="120" w:type="dxa"/>
              <w:left w:w="140" w:type="dxa"/>
              <w:right w:w="140" w:type="dxa"/>
            </w:tcMar>
            <w:shd w:fill="1F4E78"/>
          </w:tcPr>
          <w:p>
            <w:pPr>
              <w:spacing w:before="60" w:after="60"/>
            </w:pPr>
            <w:r>
              <w:rPr>
                <w:b/>
                <w:color w:val="FFFFFF"/>
                <w:sz w:val="20"/>
              </w:rPr>
              <w:t>Recommendation &amp; Decision</w:t>
            </w:r>
          </w:p>
        </w:tc>
      </w:tr>
      <w:tr>
        <w:tc>
          <w:tcPr>
            <w:tcW w:type="dxa" w:w="1560"/>
            <w:tcMar>
              <w:top w:w="120" w:type="dxa"/>
              <w:bottom w:w="120" w:type="dxa"/>
              <w:left w:w="140" w:type="dxa"/>
              <w:right w:w="140" w:type="dxa"/>
            </w:tcMar>
            <w:shd w:fill="F2F5F8"/>
          </w:tcPr>
          <w:p>
            <w:pPr>
              <w:spacing w:before="60" w:after="60"/>
            </w:pPr>
            <w:r>
              <w:rPr>
                <w:sz w:val="19"/>
              </w:rPr>
              <w:t>Original Features (Pre-PCA)</w:t>
            </w:r>
          </w:p>
        </w:tc>
        <w:tc>
          <w:tcPr>
            <w:tcW w:type="dxa" w:w="1560"/>
            <w:tcMar>
              <w:top w:w="120" w:type="dxa"/>
              <w:bottom w:w="120" w:type="dxa"/>
              <w:left w:w="140" w:type="dxa"/>
              <w:right w:w="140" w:type="dxa"/>
            </w:tcMar>
            <w:shd w:fill="F2F5F8"/>
          </w:tcPr>
          <w:p>
            <w:pPr>
              <w:spacing w:before="60" w:after="60"/>
            </w:pPr>
            <w:r>
              <w:rPr>
                <w:sz w:val="19"/>
              </w:rPr>
              <w:t>19</w:t>
            </w:r>
          </w:p>
        </w:tc>
        <w:tc>
          <w:tcPr>
            <w:tcW w:type="dxa" w:w="1560"/>
            <w:tcMar>
              <w:top w:w="120" w:type="dxa"/>
              <w:bottom w:w="120" w:type="dxa"/>
              <w:left w:w="140" w:type="dxa"/>
              <w:right w:w="140" w:type="dxa"/>
            </w:tcMar>
            <w:shd w:fill="F2F5F8"/>
          </w:tcPr>
          <w:p>
            <w:pPr>
              <w:spacing w:before="60" w:after="60"/>
            </w:pPr>
            <w:r>
              <w:rPr>
                <w:sz w:val="19"/>
              </w:rPr>
              <w:t>100.0%</w:t>
            </w:r>
          </w:p>
        </w:tc>
        <w:tc>
          <w:tcPr>
            <w:tcW w:type="dxa" w:w="1560"/>
            <w:tcMar>
              <w:top w:w="120" w:type="dxa"/>
              <w:bottom w:w="120" w:type="dxa"/>
              <w:left w:w="140" w:type="dxa"/>
              <w:right w:w="140" w:type="dxa"/>
            </w:tcMar>
            <w:shd w:fill="F2F5F8"/>
          </w:tcPr>
          <w:p>
            <w:pPr>
              <w:spacing w:before="60" w:after="60"/>
            </w:pPr>
            <w:r>
              <w:rPr>
                <w:sz w:val="19"/>
              </w:rPr>
              <w:t>76.23%</w:t>
            </w:r>
          </w:p>
        </w:tc>
        <w:tc>
          <w:tcPr>
            <w:tcW w:type="dxa" w:w="1560"/>
            <w:tcMar>
              <w:top w:w="120" w:type="dxa"/>
              <w:bottom w:w="120" w:type="dxa"/>
              <w:left w:w="140" w:type="dxa"/>
              <w:right w:w="140" w:type="dxa"/>
            </w:tcMar>
            <w:shd w:fill="F2F5F8"/>
          </w:tcPr>
          <w:p>
            <w:pPr>
              <w:spacing w:before="60" w:after="60"/>
            </w:pPr>
            <w:r>
              <w:rPr>
                <w:sz w:val="19"/>
              </w:rPr>
              <w:t>76.14%</w:t>
            </w:r>
          </w:p>
        </w:tc>
        <w:tc>
          <w:tcPr>
            <w:tcW w:type="dxa" w:w="1560"/>
            <w:tcMar>
              <w:top w:w="120" w:type="dxa"/>
              <w:bottom w:w="120" w:type="dxa"/>
              <w:left w:w="140" w:type="dxa"/>
              <w:right w:w="140" w:type="dxa"/>
            </w:tcMar>
            <w:shd w:fill="F2F5F8"/>
          </w:tcPr>
          <w:p>
            <w:pPr>
              <w:spacing w:before="60" w:after="60"/>
            </w:pPr>
            <w:r>
              <w:rPr>
                <w:sz w:val="19"/>
              </w:rPr>
              <w:t>Champion Deployment for Register Scoring</w:t>
            </w:r>
          </w:p>
        </w:tc>
      </w:tr>
      <w:tr>
        <w:tc>
          <w:tcPr>
            <w:tcW w:type="dxa" w:w="1560"/>
            <w:tcMar>
              <w:top w:w="120" w:type="dxa"/>
              <w:bottom w:w="120" w:type="dxa"/>
              <w:left w:w="140" w:type="dxa"/>
              <w:right w:w="140" w:type="dxa"/>
            </w:tcMar>
            <w:shd w:fill="FFFFFF"/>
          </w:tcPr>
          <w:p>
            <w:pPr>
              <w:spacing w:before="60" w:after="60"/>
            </w:pPr>
            <w:r>
              <w:rPr>
                <w:sz w:val="19"/>
              </w:rPr>
              <w:t>PCA Reduced (k = 10)</w:t>
            </w:r>
          </w:p>
        </w:tc>
        <w:tc>
          <w:tcPr>
            <w:tcW w:type="dxa" w:w="1560"/>
            <w:tcMar>
              <w:top w:w="120" w:type="dxa"/>
              <w:bottom w:w="120" w:type="dxa"/>
              <w:left w:w="140" w:type="dxa"/>
              <w:right w:w="140" w:type="dxa"/>
            </w:tcMar>
            <w:shd w:fill="FFFFFF"/>
          </w:tcPr>
          <w:p>
            <w:pPr>
              <w:spacing w:before="60" w:after="60"/>
            </w:pPr>
            <w:r>
              <w:rPr>
                <w:sz w:val="19"/>
              </w:rPr>
              <w:t>10</w:t>
            </w:r>
          </w:p>
        </w:tc>
        <w:tc>
          <w:tcPr>
            <w:tcW w:type="dxa" w:w="1560"/>
            <w:tcMar>
              <w:top w:w="120" w:type="dxa"/>
              <w:bottom w:w="120" w:type="dxa"/>
              <w:left w:w="140" w:type="dxa"/>
              <w:right w:w="140" w:type="dxa"/>
            </w:tcMar>
            <w:shd w:fill="FFFFFF"/>
          </w:tcPr>
          <w:p>
            <w:pPr>
              <w:spacing w:before="60" w:after="60"/>
            </w:pPr>
            <w:r>
              <w:rPr>
                <w:sz w:val="19"/>
              </w:rPr>
              <w:t>77.0%</w:t>
            </w:r>
          </w:p>
        </w:tc>
        <w:tc>
          <w:tcPr>
            <w:tcW w:type="dxa" w:w="1560"/>
            <w:tcMar>
              <w:top w:w="120" w:type="dxa"/>
              <w:bottom w:w="120" w:type="dxa"/>
              <w:left w:w="140" w:type="dxa"/>
              <w:right w:w="140" w:type="dxa"/>
            </w:tcMar>
            <w:shd w:fill="FFFFFF"/>
          </w:tcPr>
          <w:p>
            <w:pPr>
              <w:spacing w:before="60" w:after="60"/>
            </w:pPr>
            <w:r>
              <w:rPr>
                <w:sz w:val="19"/>
              </w:rPr>
              <w:t>68.18%</w:t>
            </w:r>
          </w:p>
        </w:tc>
        <w:tc>
          <w:tcPr>
            <w:tcW w:type="dxa" w:w="1560"/>
            <w:tcMar>
              <w:top w:w="120" w:type="dxa"/>
              <w:bottom w:w="120" w:type="dxa"/>
              <w:left w:w="140" w:type="dxa"/>
              <w:right w:w="140" w:type="dxa"/>
            </w:tcMar>
            <w:shd w:fill="FFFFFF"/>
          </w:tcPr>
          <w:p>
            <w:pPr>
              <w:spacing w:before="60" w:after="60"/>
            </w:pPr>
            <w:r>
              <w:rPr>
                <w:sz w:val="19"/>
              </w:rPr>
              <w:t>62.65%</w:t>
            </w:r>
          </w:p>
        </w:tc>
        <w:tc>
          <w:tcPr>
            <w:tcW w:type="dxa" w:w="1560"/>
            <w:tcMar>
              <w:top w:w="120" w:type="dxa"/>
              <w:bottom w:w="120" w:type="dxa"/>
              <w:left w:w="140" w:type="dxa"/>
              <w:right w:w="140" w:type="dxa"/>
            </w:tcMar>
            <w:shd w:fill="FFFFFF"/>
          </w:tcPr>
          <w:p>
            <w:pPr>
              <w:spacing w:before="60" w:after="60"/>
            </w:pPr>
            <w:r>
              <w:rPr>
                <w:sz w:val="19"/>
              </w:rPr>
              <w:t>Rejected (-8.05% Accuracy Drop)</w:t>
            </w:r>
          </w:p>
        </w:tc>
      </w:tr>
      <w:tr>
        <w:tc>
          <w:tcPr>
            <w:tcW w:type="dxa" w:w="1560"/>
            <w:tcMar>
              <w:top w:w="120" w:type="dxa"/>
              <w:bottom w:w="120" w:type="dxa"/>
              <w:left w:w="140" w:type="dxa"/>
              <w:right w:w="140" w:type="dxa"/>
            </w:tcMar>
            <w:shd w:fill="F2F5F8"/>
          </w:tcPr>
          <w:p>
            <w:pPr>
              <w:spacing w:before="60" w:after="60"/>
            </w:pPr>
            <w:r>
              <w:rPr>
                <w:sz w:val="19"/>
              </w:rPr>
              <w:t>PCA Reduced (k = 8)</w:t>
            </w:r>
          </w:p>
        </w:tc>
        <w:tc>
          <w:tcPr>
            <w:tcW w:type="dxa" w:w="1560"/>
            <w:tcMar>
              <w:top w:w="120" w:type="dxa"/>
              <w:bottom w:w="120" w:type="dxa"/>
              <w:left w:w="140" w:type="dxa"/>
              <w:right w:w="140" w:type="dxa"/>
            </w:tcMar>
            <w:shd w:fill="F2F5F8"/>
          </w:tcPr>
          <w:p>
            <w:pPr>
              <w:spacing w:before="60" w:after="60"/>
            </w:pPr>
            <w:r>
              <w:rPr>
                <w:sz w:val="19"/>
              </w:rPr>
              <w:t>8</w:t>
            </w:r>
          </w:p>
        </w:tc>
        <w:tc>
          <w:tcPr>
            <w:tcW w:type="dxa" w:w="1560"/>
            <w:tcMar>
              <w:top w:w="120" w:type="dxa"/>
              <w:bottom w:w="120" w:type="dxa"/>
              <w:left w:w="140" w:type="dxa"/>
              <w:right w:w="140" w:type="dxa"/>
            </w:tcMar>
            <w:shd w:fill="F2F5F8"/>
          </w:tcPr>
          <w:p>
            <w:pPr>
              <w:spacing w:before="60" w:after="60"/>
            </w:pPr>
            <w:r>
              <w:rPr>
                <w:sz w:val="19"/>
              </w:rPr>
              <w:t>66.2%</w:t>
            </w:r>
          </w:p>
        </w:tc>
        <w:tc>
          <w:tcPr>
            <w:tcW w:type="dxa" w:w="1560"/>
            <w:tcMar>
              <w:top w:w="120" w:type="dxa"/>
              <w:bottom w:w="120" w:type="dxa"/>
              <w:left w:w="140" w:type="dxa"/>
              <w:right w:w="140" w:type="dxa"/>
            </w:tcMar>
            <w:shd w:fill="F2F5F8"/>
          </w:tcPr>
          <w:p>
            <w:pPr>
              <w:spacing w:before="60" w:after="60"/>
            </w:pPr>
            <w:r>
              <w:rPr>
                <w:sz w:val="19"/>
              </w:rPr>
              <w:t>68.40%</w:t>
            </w:r>
          </w:p>
        </w:tc>
        <w:tc>
          <w:tcPr>
            <w:tcW w:type="dxa" w:w="1560"/>
            <w:tcMar>
              <w:top w:w="120" w:type="dxa"/>
              <w:bottom w:w="120" w:type="dxa"/>
              <w:left w:w="140" w:type="dxa"/>
              <w:right w:w="140" w:type="dxa"/>
            </w:tcMar>
            <w:shd w:fill="F2F5F8"/>
          </w:tcPr>
          <w:p>
            <w:pPr>
              <w:spacing w:before="60" w:after="60"/>
            </w:pPr>
            <w:r>
              <w:rPr>
                <w:sz w:val="19"/>
              </w:rPr>
              <w:t>63.34%</w:t>
            </w:r>
          </w:p>
        </w:tc>
        <w:tc>
          <w:tcPr>
            <w:tcW w:type="dxa" w:w="1560"/>
            <w:tcMar>
              <w:top w:w="120" w:type="dxa"/>
              <w:bottom w:w="120" w:type="dxa"/>
              <w:left w:w="140" w:type="dxa"/>
              <w:right w:w="140" w:type="dxa"/>
            </w:tcMar>
            <w:shd w:fill="F2F5F8"/>
          </w:tcPr>
          <w:p>
            <w:pPr>
              <w:spacing w:before="60" w:after="60"/>
            </w:pPr>
            <w:r>
              <w:rPr>
                <w:sz w:val="19"/>
              </w:rPr>
              <w:t>Rejected (-7.83% Accuracy Drop)</w:t>
            </w:r>
          </w:p>
        </w:tc>
      </w:tr>
      <w:tr>
        <w:tc>
          <w:tcPr>
            <w:tcW w:type="dxa" w:w="1560"/>
            <w:tcMar>
              <w:top w:w="120" w:type="dxa"/>
              <w:bottom w:w="120" w:type="dxa"/>
              <w:left w:w="140" w:type="dxa"/>
              <w:right w:w="140" w:type="dxa"/>
            </w:tcMar>
            <w:shd w:fill="FFFFFF"/>
          </w:tcPr>
          <w:p>
            <w:pPr>
              <w:spacing w:before="60" w:after="60"/>
            </w:pPr>
            <w:r>
              <w:rPr>
                <w:sz w:val="19"/>
              </w:rPr>
              <w:t>PCA Reduced (k = 5)</w:t>
            </w:r>
          </w:p>
        </w:tc>
        <w:tc>
          <w:tcPr>
            <w:tcW w:type="dxa" w:w="1560"/>
            <w:tcMar>
              <w:top w:w="120" w:type="dxa"/>
              <w:bottom w:w="120" w:type="dxa"/>
              <w:left w:w="140" w:type="dxa"/>
              <w:right w:w="140" w:type="dxa"/>
            </w:tcMar>
            <w:shd w:fill="FFFFFF"/>
          </w:tcPr>
          <w:p>
            <w:pPr>
              <w:spacing w:before="60" w:after="60"/>
            </w:pPr>
            <w:r>
              <w:rPr>
                <w:sz w:val="19"/>
              </w:rPr>
              <w:t>5</w:t>
            </w:r>
          </w:p>
        </w:tc>
        <w:tc>
          <w:tcPr>
            <w:tcW w:type="dxa" w:w="1560"/>
            <w:tcMar>
              <w:top w:w="120" w:type="dxa"/>
              <w:bottom w:w="120" w:type="dxa"/>
              <w:left w:w="140" w:type="dxa"/>
              <w:right w:w="140" w:type="dxa"/>
            </w:tcMar>
            <w:shd w:fill="FFFFFF"/>
          </w:tcPr>
          <w:p>
            <w:pPr>
              <w:spacing w:before="60" w:after="60"/>
            </w:pPr>
            <w:r>
              <w:rPr>
                <w:sz w:val="19"/>
              </w:rPr>
              <w:t>48.3%</w:t>
            </w:r>
          </w:p>
        </w:tc>
        <w:tc>
          <w:tcPr>
            <w:tcW w:type="dxa" w:w="1560"/>
            <w:tcMar>
              <w:top w:w="120" w:type="dxa"/>
              <w:bottom w:w="120" w:type="dxa"/>
              <w:left w:w="140" w:type="dxa"/>
              <w:right w:w="140" w:type="dxa"/>
            </w:tcMar>
            <w:shd w:fill="FFFFFF"/>
          </w:tcPr>
          <w:p>
            <w:pPr>
              <w:spacing w:before="60" w:after="60"/>
            </w:pPr>
            <w:r>
              <w:rPr>
                <w:sz w:val="19"/>
              </w:rPr>
              <w:t>67.74%</w:t>
            </w:r>
          </w:p>
        </w:tc>
        <w:tc>
          <w:tcPr>
            <w:tcW w:type="dxa" w:w="1560"/>
            <w:tcMar>
              <w:top w:w="120" w:type="dxa"/>
              <w:bottom w:w="120" w:type="dxa"/>
              <w:left w:w="140" w:type="dxa"/>
              <w:right w:w="140" w:type="dxa"/>
            </w:tcMar>
            <w:shd w:fill="FFFFFF"/>
          </w:tcPr>
          <w:p>
            <w:pPr>
              <w:spacing w:before="60" w:after="60"/>
            </w:pPr>
            <w:r>
              <w:rPr>
                <w:sz w:val="19"/>
              </w:rPr>
              <w:t>61.26%</w:t>
            </w:r>
          </w:p>
        </w:tc>
        <w:tc>
          <w:tcPr>
            <w:tcW w:type="dxa" w:w="1560"/>
            <w:tcMar>
              <w:top w:w="120" w:type="dxa"/>
              <w:bottom w:w="120" w:type="dxa"/>
              <w:left w:w="140" w:type="dxa"/>
              <w:right w:w="140" w:type="dxa"/>
            </w:tcMar>
            <w:shd w:fill="FFFFFF"/>
          </w:tcPr>
          <w:p>
            <w:pPr>
              <w:spacing w:before="60" w:after="60"/>
            </w:pPr>
            <w:r>
              <w:rPr>
                <w:sz w:val="19"/>
              </w:rPr>
              <w:t>Rejected (-8.49% Accuracy Drop)</w:t>
            </w:r>
          </w:p>
        </w:tc>
      </w:tr>
      <w:tr>
        <w:tc>
          <w:tcPr>
            <w:tcW w:type="dxa" w:w="1560"/>
            <w:tcMar>
              <w:top w:w="120" w:type="dxa"/>
              <w:bottom w:w="120" w:type="dxa"/>
              <w:left w:w="140" w:type="dxa"/>
              <w:right w:w="140" w:type="dxa"/>
            </w:tcMar>
            <w:shd w:fill="F2F5F8"/>
          </w:tcPr>
          <w:p>
            <w:pPr>
              <w:spacing w:before="60" w:after="60"/>
            </w:pPr>
            <w:r>
              <w:rPr>
                <w:sz w:val="19"/>
              </w:rPr>
              <w:t>PCA Reduced (k = 3)</w:t>
            </w:r>
          </w:p>
        </w:tc>
        <w:tc>
          <w:tcPr>
            <w:tcW w:type="dxa" w:w="1560"/>
            <w:tcMar>
              <w:top w:w="120" w:type="dxa"/>
              <w:bottom w:w="120" w:type="dxa"/>
              <w:left w:w="140" w:type="dxa"/>
              <w:right w:w="140" w:type="dxa"/>
            </w:tcMar>
            <w:shd w:fill="F2F5F8"/>
          </w:tcPr>
          <w:p>
            <w:pPr>
              <w:spacing w:before="60" w:after="60"/>
            </w:pPr>
            <w:r>
              <w:rPr>
                <w:sz w:val="19"/>
              </w:rPr>
              <w:t>3</w:t>
            </w:r>
          </w:p>
        </w:tc>
        <w:tc>
          <w:tcPr>
            <w:tcW w:type="dxa" w:w="1560"/>
            <w:tcMar>
              <w:top w:w="120" w:type="dxa"/>
              <w:bottom w:w="120" w:type="dxa"/>
              <w:left w:w="140" w:type="dxa"/>
              <w:right w:w="140" w:type="dxa"/>
            </w:tcMar>
            <w:shd w:fill="F2F5F8"/>
          </w:tcPr>
          <w:p>
            <w:pPr>
              <w:spacing w:before="60" w:after="60"/>
            </w:pPr>
            <w:r>
              <w:rPr>
                <w:sz w:val="19"/>
              </w:rPr>
              <w:t>33.0%</w:t>
            </w:r>
          </w:p>
        </w:tc>
        <w:tc>
          <w:tcPr>
            <w:tcW w:type="dxa" w:w="1560"/>
            <w:tcMar>
              <w:top w:w="120" w:type="dxa"/>
              <w:bottom w:w="120" w:type="dxa"/>
              <w:left w:w="140" w:type="dxa"/>
              <w:right w:w="140" w:type="dxa"/>
            </w:tcMar>
            <w:shd w:fill="F2F5F8"/>
          </w:tcPr>
          <w:p>
            <w:pPr>
              <w:spacing w:before="60" w:after="60"/>
            </w:pPr>
            <w:r>
              <w:rPr>
                <w:sz w:val="19"/>
              </w:rPr>
              <w:t>64.11%</w:t>
            </w:r>
          </w:p>
        </w:tc>
        <w:tc>
          <w:tcPr>
            <w:tcW w:type="dxa" w:w="1560"/>
            <w:tcMar>
              <w:top w:w="120" w:type="dxa"/>
              <w:bottom w:w="120" w:type="dxa"/>
              <w:left w:w="140" w:type="dxa"/>
              <w:right w:w="140" w:type="dxa"/>
            </w:tcMar>
            <w:shd w:fill="F2F5F8"/>
          </w:tcPr>
          <w:p>
            <w:pPr>
              <w:spacing w:before="60" w:after="60"/>
            </w:pPr>
            <w:r>
              <w:rPr>
                <w:sz w:val="19"/>
              </w:rPr>
              <w:t>53.06%</w:t>
            </w:r>
          </w:p>
        </w:tc>
        <w:tc>
          <w:tcPr>
            <w:tcW w:type="dxa" w:w="1560"/>
            <w:tcMar>
              <w:top w:w="120" w:type="dxa"/>
              <w:bottom w:w="120" w:type="dxa"/>
              <w:left w:w="140" w:type="dxa"/>
              <w:right w:w="140" w:type="dxa"/>
            </w:tcMar>
            <w:shd w:fill="F2F5F8"/>
          </w:tcPr>
          <w:p>
            <w:pPr>
              <w:spacing w:before="60" w:after="60"/>
            </w:pPr>
            <w:r>
              <w:rPr>
                <w:sz w:val="19"/>
              </w:rPr>
              <w:t>Rejected (-12.12% Accuracy Drop)</w:t>
            </w:r>
          </w:p>
        </w:tc>
      </w:tr>
    </w:tbl>
    <w:p/>
    <w:p>
      <w:pPr>
        <w:spacing w:before="240" w:after="80"/>
      </w:pPr>
      <w:r>
        <w:rPr>
          <w:rFonts w:ascii="Calibri" w:hAnsi="Calibri"/>
          <w:b/>
          <w:color w:val="323C50"/>
          <w:sz w:val="26"/>
        </w:rPr>
        <w:t>7.3 Methodological Justification &amp; Dimensionality Trade-offs</w:t>
      </w:r>
    </w:p>
    <w:p>
      <w:pPr>
        <w:pStyle w:val="ListBullet"/>
        <w:spacing w:before="30" w:after="50"/>
      </w:pPr>
      <w:r>
        <w:rPr>
          <w:rFonts w:ascii="Calibri" w:hAnsi="Calibri"/>
          <w:b/>
        </w:rPr>
        <w:t>Assessment of Dimensionality Reduction Necessity:</w:t>
      </w:r>
      <w:r>
        <w:rPr>
          <w:rFonts w:ascii="Calibri" w:hAnsi="Calibri"/>
        </w:rPr>
        <w:t xml:space="preserve"> With  = 29,465 transactions and  = 18 dummy-encoded features, our sample size vastly exceeds feature dimensionality ( \gg p$). The classical 'curse of dimensionality' is not present. Dimensionality reduction is therefore </w:t>
      </w:r>
      <w:r>
        <w:rPr>
          <w:rFonts w:ascii="Calibri" w:hAnsi="Calibri"/>
          <w:b/>
        </w:rPr>
        <w:t>not computationally mandatory</w:t>
      </w:r>
      <w:r>
        <w:rPr>
          <w:rFonts w:ascii="Calibri" w:hAnsi="Calibri"/>
        </w:rPr>
        <w:t>.</w:t>
      </w:r>
    </w:p>
    <w:p>
      <w:pPr>
        <w:pStyle w:val="ListBullet"/>
        <w:spacing w:before="30" w:after="50"/>
      </w:pPr>
      <w:r>
        <w:rPr>
          <w:rFonts w:ascii="Calibri" w:hAnsi="Calibri"/>
          <w:b/>
        </w:rPr>
        <w:t>When PCA Is Statistically Valuable:</w:t>
      </w:r>
      <w:r>
        <w:rPr>
          <w:rFonts w:ascii="Calibri" w:hAnsi="Calibri"/>
        </w:rPr>
        <w:t xml:space="preserve"> PCA is vital when  &gt; n$, when severe multicollinearity inflates parameter standard errors in unregularized regression, or when compressing continuous multi-metric profiles for macro store clustering.</w:t>
      </w:r>
    </w:p>
    <w:p>
      <w:pPr>
        <w:pStyle w:val="ListBullet"/>
        <w:spacing w:before="30" w:after="50"/>
      </w:pPr>
      <w:r>
        <w:rPr>
          <w:rFonts w:ascii="Calibri" w:hAnsi="Calibri"/>
          <w:b/>
        </w:rPr>
        <w:t>Classification Trade-off:</w:t>
      </w:r>
      <w:r>
        <w:rPr>
          <w:rFonts w:ascii="Calibri" w:hAnsi="Calibri"/>
        </w:rPr>
        <w:t xml:space="preserve"> Standard linear PCA operates on continuous metric features. Applying it to binary categorical indicators creates geometric distortions. Furthermore, PCA maximizes </w:t>
      </w:r>
      <w:r>
        <w:rPr>
          <w:rFonts w:ascii="Calibri" w:hAnsi="Calibri"/>
          <w:i/>
        </w:rPr>
        <w:t>total global variance</w:t>
      </w:r>
      <w:r>
        <w:rPr>
          <w:rFonts w:ascii="Calibri" w:hAnsi="Calibri"/>
        </w:rPr>
        <w:t xml:space="preserve">, not </w:t>
      </w:r>
      <w:r>
        <w:rPr>
          <w:rFonts w:ascii="Calibri" w:hAnsi="Calibri"/>
          <w:i/>
        </w:rPr>
        <w:t>between-class separation</w:t>
      </w:r>
      <w:r>
        <w:rPr>
          <w:rFonts w:ascii="Calibri" w:hAnsi="Calibri"/>
        </w:rPr>
        <w:t>. Replacing original features with principal components dropped downstream classification accuracy from 76.2% to 68.2%. This expected trade-off illustrates information loss from discarded components, confirming that original interpretable features should be retained for register-level scoring.</w:t>
      </w:r>
    </w:p>
    <w:p>
      <w:pPr>
        <w:spacing w:before="320" w:after="120"/>
      </w:pPr>
      <w:r>
        <w:rPr>
          <w:rFonts w:ascii="Calibri" w:hAnsi="Calibri"/>
          <w:b/>
          <w:color w:val="1F4E78"/>
          <w:sz w:val="32"/>
        </w:rPr>
        <w:t>Task 8: Critical Evaluation of Bayesian Statistical Methods</w:t>
      </w:r>
    </w:p>
    <w:p>
      <w:pPr>
        <w:spacing w:before="40" w:after="80" w:line="276" w:lineRule="auto"/>
      </w:pPr>
      <w:r>
        <w:rPr>
          <w:rFonts w:ascii="Calibri" w:hAnsi="Calibri"/>
        </w:rPr>
        <w:t xml:space="preserve">Bayesian methods were empirically assessed in </w:t>
      </w:r>
      <w:r>
        <w:rPr>
          <w:rFonts w:ascii="Consolas" w:hAnsi="Consolas"/>
          <w:color w:val="A0283C"/>
          <w:sz w:val="20"/>
        </w:rPr>
        <w:t>08_bayesian.R</w:t>
      </w:r>
      <w:r>
        <w:rPr>
          <w:rFonts w:ascii="Calibri" w:hAnsi="Calibri"/>
        </w:rPr>
        <w:t>:</w:t>
      </w:r>
    </w:p>
    <w:p>
      <w:pPr>
        <w:spacing w:before="240" w:after="80"/>
      </w:pPr>
      <w:r>
        <w:rPr>
          <w:rFonts w:ascii="Calibri" w:hAnsi="Calibri"/>
          <w:b/>
          <w:color w:val="323C50"/>
          <w:sz w:val="26"/>
        </w:rPr>
        <w:t>8.1 Empirical Findings</w:t>
      </w:r>
    </w:p>
    <w:p>
      <w:pPr>
        <w:pStyle w:val="ListBullet"/>
        <w:spacing w:before="30" w:after="50"/>
      </w:pPr>
      <w:r>
        <w:rPr>
          <w:rFonts w:ascii="Calibri" w:hAnsi="Calibri"/>
          <w:b/>
        </w:rPr>
        <w:t>Prior Probabilities:</w:t>
      </w:r>
      <w:r>
        <w:rPr>
          <w:rFonts w:ascii="Calibri" w:hAnsi="Calibri"/>
        </w:rPr>
        <w:t xml:space="preserve"> Reflect historical baseline category prevalence: P(Beverage) = 53.91%, P(Food) = 37.26%, P(Deals) = 4.60%, P(Merchandizing) = 4.23%.</w:t>
      </w:r>
    </w:p>
    <w:p>
      <w:pPr>
        <w:pStyle w:val="ListBullet"/>
        <w:spacing w:before="30" w:after="50"/>
      </w:pPr>
      <w:r>
        <w:rPr>
          <w:rFonts w:ascii="Calibri" w:hAnsi="Calibri"/>
          <w:b/>
        </w:rPr>
        <w:t>Model Performance:</w:t>
      </w:r>
      <w:r>
        <w:rPr>
          <w:rFonts w:ascii="Calibri" w:hAnsi="Calibri"/>
        </w:rPr>
        <w:t xml:space="preserve"> Naïve Bayes achieved 53.72% test accuracy. Laplace smoothing (α = 1) successfully prevented zero-frequency probability collapse for rare category-outlet combinations.</w:t>
      </w:r>
    </w:p>
    <w:p>
      <w:pPr>
        <w:spacing w:before="240" w:after="80"/>
      </w:pPr>
      <w:r>
        <w:rPr>
          <w:rFonts w:ascii="Calibri" w:hAnsi="Calibri"/>
          <w:b/>
          <w:color w:val="323C50"/>
          <w:sz w:val="26"/>
        </w:rPr>
        <w:t>8.2 Bayesian Decision Theory &amp; Asymmetric Loss Optimization</w:t>
      </w:r>
    </w:p>
    <w:p>
      <w:pPr>
        <w:spacing w:before="40" w:after="80" w:line="276" w:lineRule="auto"/>
      </w:pPr>
      <w:r>
        <w:rPr>
          <w:rFonts w:ascii="Calibri" w:hAnsi="Calibri"/>
        </w:rPr>
        <w:t>In physical cafe operations, symmetric misclassification error does not reflect true business costs. A false negative on Food (failing to prepare breakfast sandwiches) results in an out-of-stock event and customer churn (high loss: ~LKR 450 margin loss). Conversely, a false positive on Coffee results in surplus brewed beans (negligible loss: ~LKR 40 ingredient cost).</w:t>
      </w:r>
    </w:p>
    <w:p>
      <w:pPr>
        <w:spacing w:before="40" w:after="80" w:line="276" w:lineRule="auto"/>
      </w:pPr>
      <w:r>
        <w:rPr>
          <w:rFonts w:ascii="Calibri" w:hAnsi="Calibri"/>
        </w:rPr>
        <w:t>Bayesian decision making incorporates an asymmetric loss matrix L(y, ŷ), adjusting classification thresholds to minimize expected monetary cost rather than raw error rates, substantially improving operational profitability.</w:t>
      </w:r>
    </w:p>
    <w:p>
      <w:pPr>
        <w:spacing w:before="320" w:after="120"/>
      </w:pPr>
      <w:r>
        <w:rPr>
          <w:rFonts w:ascii="Calibri" w:hAnsi="Calibri"/>
          <w:b/>
          <w:color w:val="1F4E78"/>
          <w:sz w:val="32"/>
        </w:rPr>
        <w:t>Task 9: Critical Evaluation of Time Series Analysis &amp; Forecasting Deployment</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60" w:type="dxa"/>
              <w:right w:w="160" w:type="dxa"/>
            </w:tcMar>
          </w:tcPr>
          <w:p>
            <w:pPr>
              <w:spacing w:before="40" w:after="40"/>
            </w:pPr>
            <w:r>
              <w:rPr>
                <w:rFonts w:ascii="Calibri" w:hAnsi="Calibri"/>
                <w:b/>
                <w:color w:val="2D3C55"/>
              </w:rPr>
              <w:t>Compliance Note (Assignment Specification):</w:t>
            </w:r>
          </w:p>
        </w:tc>
      </w:tr>
    </w:tbl>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60" w:type="dxa"/>
              <w:right w:w="160" w:type="dxa"/>
            </w:tcMar>
          </w:tcPr>
          <w:p>
            <w:pPr>
              <w:spacing w:before="40" w:after="40"/>
            </w:pPr>
            <w:r>
              <w:rPr>
                <w:rFonts w:ascii="Calibri" w:hAnsi="Calibri"/>
                <w:color w:val="2D3C55"/>
              </w:rPr>
              <w:t xml:space="preserve">As stipulated in the IT3081 assignment brief: </w:t>
            </w:r>
            <w:r>
              <w:rPr>
                <w:rFonts w:ascii="Calibri" w:hAnsi="Calibri"/>
                <w:i/>
                <w:color w:val="2D3C55"/>
              </w:rPr>
              <w:t>"You are not required to perform time series analysis. Instead, critically discuss how time series analysis could be incorporated if historical time-dependent data were available."</w:t>
            </w:r>
          </w:p>
        </w:tc>
      </w:tr>
    </w:tbl>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60" w:type="dxa"/>
              <w:right w:w="160" w:type="dxa"/>
            </w:tcMar>
          </w:tcPr>
          <w:p>
            <w:pPr>
              <w:spacing w:before="40" w:after="40"/>
            </w:pPr>
            <w:r>
              <w:rPr>
                <w:rFonts w:ascii="Calibri" w:hAnsi="Calibri"/>
                <w:color w:val="2D3C55"/>
              </w:rPr>
              <w:t>Accordingly, this section provides an empirical demonstration of temporal variance from our 90-day POS sequence, critically evaluates the candidate forecasting model architectures, and outlines an end-to-end production deployment framework for BladeGen Tech.</w:t>
            </w:r>
          </w:p>
        </w:tc>
      </w:tr>
    </w:tbl>
    <w:p/>
    <w:p>
      <w:pPr>
        <w:spacing w:before="240" w:after="80"/>
      </w:pPr>
      <w:r>
        <w:rPr>
          <w:rFonts w:ascii="Calibri" w:hAnsi="Calibri"/>
          <w:b/>
          <w:color w:val="323C50"/>
          <w:sz w:val="26"/>
        </w:rPr>
        <w:t>9.1 Empirical Demonstration of Temporal Variance &amp; Seasonality</w:t>
      </w:r>
    </w:p>
    <w:p>
      <w:pPr>
        <w:spacing w:before="40" w:after="80" w:line="276" w:lineRule="auto"/>
      </w:pPr>
      <w:r>
        <w:rPr>
          <w:rFonts w:ascii="Calibri" w:hAnsi="Calibri"/>
        </w:rPr>
        <w:t>To confirm whether historical transaction volume exhibits temporal dependency requiring specialized time series handling, we aggregated daily order volume across the 90-day historical window (</w:t>
      </w:r>
      <w:r>
        <w:rPr>
          <w:rFonts w:ascii="Consolas" w:hAnsi="Consolas"/>
          <w:color w:val="A0283C"/>
          <w:sz w:val="20"/>
        </w:rPr>
        <w:t>09_timeseries.R</w:t>
      </w:r>
      <w:r>
        <w:rPr>
          <w:rFonts w:ascii="Calibri" w:hAnsi="Calibri"/>
        </w:rPr>
        <w:t>):</w:t>
      </w:r>
    </w:p>
    <w:p>
      <w:pPr>
        <w:pStyle w:val="ListBullet"/>
        <w:spacing w:before="30" w:after="50"/>
      </w:pPr>
      <w:r>
        <w:rPr>
          <w:rFonts w:ascii="Calibri" w:hAnsi="Calibri"/>
          <w:b/>
        </w:rPr>
        <w:t>Observed Variance:</w:t>
      </w:r>
      <w:r>
        <w:rPr>
          <w:rFonts w:ascii="Calibri" w:hAnsi="Calibri"/>
        </w:rPr>
        <w:t xml:space="preserve"> Daily order volume fluctuates significantly across time (\mu = 227.5 orders/day, \sigma = 34.2 orders/day), with low-volume weekdays dipping below 170 orders and peak weekends surging beyond 290 orders (+70% swing).</w:t>
      </w:r>
    </w:p>
    <w:p>
      <w:pPr>
        <w:pStyle w:val="ListBullet"/>
        <w:spacing w:before="30" w:after="50"/>
      </w:pPr>
      <w:r>
        <w:rPr>
          <w:rFonts w:ascii="Calibri" w:hAnsi="Calibri"/>
          <w:b/>
        </w:rPr>
        <w:t>Cyclical Day-of-Week Variance:</w:t>
      </w:r>
      <w:r>
        <w:rPr>
          <w:rFonts w:ascii="Calibri" w:hAnsi="Calibri"/>
        </w:rPr>
        <w:t xml:space="preserve"> Autocorrelation analysis (ACF) reveals distinct spikes at lag 7 and lag 14 (p &lt; 0.001), confirming a pronounced 7-day cyclical oscillation. Footfall drops to midweek troughs on Tuesdays/Wednesdays and peaks across Friday through Sunday.</w:t>
      </w:r>
    </w:p>
    <w:p>
      <w:pPr>
        <w:pStyle w:val="ListBullet"/>
        <w:spacing w:before="30" w:after="50"/>
      </w:pPr>
      <w:r>
        <w:rPr>
          <w:rFonts w:ascii="Calibri" w:hAnsi="Calibri"/>
          <w:b/>
        </w:rPr>
        <w:t>Diurnal Intra-Day Variance:</w:t>
      </w:r>
      <w:r>
        <w:rPr>
          <w:rFonts w:ascii="Calibri" w:hAnsi="Calibri"/>
        </w:rPr>
        <w:t xml:space="preserve"> Order timestamps further cluster into dual operational surges: Morning Breakfast (08:00–10:00) and Midday Lunch (12:00–14:00).</w:t>
      </w:r>
    </w:p>
    <w:p>
      <w:pPr>
        <w:spacing w:before="240" w:after="80"/>
      </w:pPr>
      <w:r>
        <w:rPr>
          <w:rFonts w:ascii="Calibri" w:hAnsi="Calibri"/>
          <w:b/>
          <w:color w:val="323C50"/>
          <w:sz w:val="26"/>
        </w:rPr>
        <w:t>9.2 Candidate Time Series Model Architectures</w:t>
      </w:r>
    </w:p>
    <w:p>
      <w:pPr>
        <w:spacing w:before="40" w:after="80" w:line="276" w:lineRule="auto"/>
      </w:pPr>
      <w:r>
        <w:rPr>
          <w:rFonts w:ascii="Calibri" w:hAnsi="Calibri"/>
        </w:rPr>
        <w:t>If extended longitudinal time series data (e.g., 1–3 years) were continuously ingested into BladeGen Tech's cloud data lake, three candidate time series architectures are evaluated for enterprise demand planning:</w:t>
      </w:r>
    </w:p>
    <w:p>
      <w:pPr>
        <w:pStyle w:val="ListNumber"/>
        <w:spacing w:before="30" w:after="50"/>
      </w:pPr>
      <w:r>
        <w:rPr>
          <w:rFonts w:ascii="Calibri" w:hAnsi="Calibri"/>
          <w:b/>
        </w:rPr>
        <w:t>Seasonal ARIMA (SARIMA - Selected Recommendation):</w:t>
      </w:r>
    </w:p>
    <w:p>
      <w:pPr>
        <w:pStyle w:val="ListBullet"/>
        <w:spacing w:before="30" w:after="50"/>
      </w:pPr>
      <w:r>
        <w:rPr>
          <w:rFonts w:ascii="Calibri" w:hAnsi="Calibri"/>
          <w:b/>
        </w:rPr>
        <w:t>Formulation:</w:t>
      </w:r>
      <w:r>
        <w:rPr>
          <w:rFonts w:ascii="Calibri" w:hAnsi="Calibri"/>
        </w:rPr>
        <w:t xml:space="preserve"> \text{ARIMA}(p, d, q) \times (P, D, Q)_s with seasonal period s = 7.</w:t>
      </w:r>
    </w:p>
    <w:p>
      <w:pPr>
        <w:pStyle w:val="ListBullet"/>
        <w:spacing w:before="30" w:after="50"/>
      </w:pPr>
      <w:r>
        <w:rPr>
          <w:rFonts w:ascii="Calibri" w:hAnsi="Calibri"/>
          <w:b/>
        </w:rPr>
        <w:t>Why Suitable:</w:t>
      </w:r>
      <w:r>
        <w:rPr>
          <w:rFonts w:ascii="Calibri" w:hAnsi="Calibri"/>
        </w:rPr>
        <w:t xml:space="preserve"> SARIMA explicitly separates non-seasonal autoregressive dynamics from recurring weekly cycles via seasonal differencing (D=1).</w:t>
      </w:r>
    </w:p>
    <w:p>
      <w:pPr>
        <w:pStyle w:val="ListBullet"/>
        <w:spacing w:before="30" w:after="50"/>
      </w:pPr>
      <w:r>
        <w:rPr>
          <w:rFonts w:ascii="Calibri" w:hAnsi="Calibri"/>
          <w:b/>
        </w:rPr>
        <w:t>Strengths:</w:t>
      </w:r>
      <w:r>
        <w:rPr>
          <w:rFonts w:ascii="Calibri" w:hAnsi="Calibri"/>
        </w:rPr>
        <w:t xml:space="preserve"> High statistical interpretability, mathematically rigorous prediction intervals (\pm 95\% confidence bounds), and zero GPU hardware requirements for scheduled retraining.</w:t>
      </w:r>
    </w:p>
    <w:p>
      <w:pPr>
        <w:pStyle w:val="ListNumber"/>
        <w:spacing w:before="30" w:after="50"/>
      </w:pPr>
      <w:r>
        <w:rPr>
          <w:rFonts w:ascii="Calibri" w:hAnsi="Calibri"/>
          <w:b/>
        </w:rPr>
        <w:t>Holt-Winters Exponential Smoothing (Triple Exponential Smoothing):</w:t>
      </w:r>
    </w:p>
    <w:p>
      <w:pPr>
        <w:pStyle w:val="ListBullet"/>
        <w:spacing w:before="30" w:after="50"/>
      </w:pPr>
      <w:r>
        <w:rPr>
          <w:rFonts w:ascii="Calibri" w:hAnsi="Calibri"/>
          <w:b/>
        </w:rPr>
        <w:t>Suitability:</w:t>
      </w:r>
      <w:r>
        <w:rPr>
          <w:rFonts w:ascii="Calibri" w:hAnsi="Calibri"/>
        </w:rPr>
        <w:t xml:space="preserve"> Suitable as a lightweight edge baseline for individual outlet terminals. Captures level, linear trend, and multiplicative seasonal swings with minimal computational overhead.</w:t>
      </w:r>
    </w:p>
    <w:p>
      <w:pPr>
        <w:pStyle w:val="ListBullet"/>
        <w:spacing w:before="30" w:after="50"/>
      </w:pPr>
      <w:r>
        <w:rPr>
          <w:rFonts w:ascii="Calibri" w:hAnsi="Calibri"/>
          <w:b/>
        </w:rPr>
        <w:t>Limitation:</w:t>
      </w:r>
      <w:r>
        <w:rPr>
          <w:rFonts w:ascii="Calibri" w:hAnsi="Calibri"/>
        </w:rPr>
        <w:t xml:space="preserve"> Less resilient to structural price changes or promotional intervention shocks compared to regression with ARIMA errors.</w:t>
      </w:r>
    </w:p>
    <w:p>
      <w:pPr>
        <w:pStyle w:val="ListNumber"/>
        <w:spacing w:before="30" w:after="50"/>
      </w:pPr>
      <w:r>
        <w:rPr>
          <w:rFonts w:ascii="Calibri" w:hAnsi="Calibri"/>
          <w:b/>
        </w:rPr>
        <w:t>Prophet / Dynamic Linear State Space Models:</w:t>
      </w:r>
    </w:p>
    <w:p>
      <w:pPr>
        <w:pStyle w:val="ListBullet"/>
        <w:spacing w:before="30" w:after="50"/>
      </w:pPr>
      <w:r>
        <w:rPr>
          <w:rFonts w:ascii="Calibri" w:hAnsi="Calibri"/>
          <w:b/>
        </w:rPr>
        <w:t>Suitability:</w:t>
      </w:r>
      <w:r>
        <w:rPr>
          <w:rFonts w:ascii="Calibri" w:hAnsi="Calibri"/>
        </w:rPr>
        <w:t xml:space="preserve"> Recommended if holiday calendars (e.g., Sinhala &amp; Tamil New Year, Eid, Christmas) and promotional price discounts are included as exogenous regressors (ARIMAX).</w:t>
      </w:r>
    </w:p>
    <w:p>
      <w:pPr>
        <w:spacing w:before="240" w:after="80"/>
      </w:pPr>
      <w:r>
        <w:rPr>
          <w:rFonts w:ascii="Calibri" w:hAnsi="Calibri"/>
          <w:b/>
          <w:color w:val="323C50"/>
          <w:sz w:val="26"/>
        </w:rPr>
        <w:t>9.3 Enterprise Deployment &amp; Operational Integration Plan</w:t>
      </w:r>
    </w:p>
    <w:p>
      <w:pPr>
        <w:spacing w:before="40" w:after="80" w:line="276" w:lineRule="auto"/>
      </w:pPr>
      <w:r>
        <w:rPr>
          <w:rFonts w:ascii="Calibri" w:hAnsi="Calibri"/>
        </w:rPr>
        <w:t>To deliver tangible business value to BladeGen Tech and its restaurant partner, the time series system should be deployed according to the following phased enterprise architecture:</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180" w:type="dxa"/>
              <w:right w:w="180" w:type="dxa"/>
            </w:tcMar>
          </w:tcPr>
          <w:p>
            <w:r>
              <w:rPr>
                <w:rFonts w:ascii="Consolas" w:hAnsi="Consolas"/>
                <w:color w:val="323232"/>
                <w:sz w:val="19"/>
              </w:rPr>
              <w:t>┌─────────────────────────┐     ┌─────────────────────────┐     ┌─────────────────────────┐</w:t>
              <w:br/>
              <w:t>│   Phase 1: Ingestion    │     │   Phase 2: Automated    │     │    Phase 3: Automated   │</w:t>
              <w:br/>
              <w:t>│   Automated Nightly ETL │ ──&gt; │     SARIMA Pipeline     │ ──&gt; │   Downstream Actions    │</w:t>
              <w:br/>
              <w:t>│  (Aggregated POS logs)  │     │   (Weekly Refitting)    │     │   (ERP, Staff, Stock)   │</w:t>
              <w:br/>
              <w:t>└─────────────────────────┘     └─────────────────────────┘     └─────────────────────────┘</w:t>
            </w:r>
          </w:p>
        </w:tc>
      </w:tr>
    </w:tbl>
    <w:p/>
    <w:p>
      <w:pPr>
        <w:pStyle w:val="ListNumber"/>
        <w:spacing w:before="30" w:after="50"/>
      </w:pPr>
      <w:r>
        <w:rPr>
          <w:rFonts w:ascii="Calibri" w:hAnsi="Calibri"/>
          <w:b/>
        </w:rPr>
        <w:t>Automated Nightly Ingestion (ETL):</w:t>
      </w:r>
      <w:r>
        <w:rPr>
          <w:rFonts w:ascii="Calibri" w:hAnsi="Calibri"/>
        </w:rPr>
        <w:t xml:space="preserve"> Centralized cloud server aggregates closed POS receipts across all 80 outlets at 23:59 each night, updating the rolling time series database.</w:t>
      </w:r>
    </w:p>
    <w:p>
      <w:pPr>
        <w:pStyle w:val="ListNumber"/>
        <w:spacing w:before="30" w:after="50"/>
      </w:pPr>
      <w:r>
        <w:rPr>
          <w:rFonts w:ascii="Calibri" w:hAnsi="Calibri"/>
          <w:b/>
        </w:rPr>
        <w:t>Weekly Model Refitting &amp; Automated Diagnostics:</w:t>
      </w:r>
    </w:p>
    <w:p>
      <w:pPr>
        <w:pStyle w:val="ListBullet"/>
        <w:spacing w:before="30" w:after="50"/>
      </w:pPr>
      <w:r>
        <w:rPr>
          <w:rFonts w:ascii="Calibri" w:hAnsi="Calibri"/>
        </w:rPr>
        <w:t>Re-fits SARIMA parameters every Sunday midnight to assimilate recent demand trends.</w:t>
      </w:r>
    </w:p>
    <w:p>
      <w:pPr>
        <w:pStyle w:val="ListBullet"/>
        <w:spacing w:before="30" w:after="50"/>
      </w:pPr>
      <w:r>
        <w:rPr>
          <w:rFonts w:ascii="Calibri" w:hAnsi="Calibri"/>
        </w:rPr>
        <w:t>Computes rolling out-of-sample MAPE; if tracking error exceeds 15%, automated alerts notify the operations manager of potential external market shifts.</w:t>
      </w:r>
    </w:p>
    <w:p>
      <w:pPr>
        <w:pStyle w:val="ListNumber"/>
        <w:spacing w:before="30" w:after="50"/>
      </w:pPr>
      <w:r>
        <w:rPr>
          <w:rFonts w:ascii="Calibri" w:hAnsi="Calibri"/>
          <w:b/>
        </w:rPr>
        <w:t>Downstream Operational Integrations:</w:t>
      </w:r>
    </w:p>
    <w:p>
      <w:pPr>
        <w:pStyle w:val="ListBullet"/>
        <w:spacing w:before="30" w:after="50"/>
      </w:pPr>
      <w:r>
        <w:rPr>
          <w:rFonts w:ascii="Calibri" w:hAnsi="Calibri"/>
          <w:b/>
        </w:rPr>
        <w:t>Perishable Inventory Purchasing:</w:t>
      </w:r>
      <w:r>
        <w:rPr>
          <w:rFonts w:ascii="Calibri" w:hAnsi="Calibri"/>
        </w:rPr>
        <w:t xml:space="preserve"> Feeds forward 7-day demand forecasts directly into the ERP procurement portal, establishing dynamic reorder points for perishable dairy, bakery, and produce items. This directly reduces food spoilage while preventing costly stockouts.</w:t>
      </w:r>
    </w:p>
    <w:p>
      <w:pPr>
        <w:pStyle w:val="ListBullet"/>
        <w:spacing w:before="30" w:after="50"/>
      </w:pPr>
      <w:r>
        <w:rPr>
          <w:rFonts w:ascii="Calibri" w:hAnsi="Calibri"/>
          <w:b/>
        </w:rPr>
        <w:t>Dynamic Staff Rostering:</w:t>
      </w:r>
      <w:r>
        <w:rPr>
          <w:rFonts w:ascii="Calibri" w:hAnsi="Calibri"/>
        </w:rPr>
        <w:t xml:space="preserve"> Kitchen and cashier staffing rosters are scheduled dynamically to match forecasted weekend volume peaks (+35%), preventing terminal checkout bottlenecks.</w:t>
      </w:r>
    </w:p>
    <w:p>
      <w:pPr>
        <w:pStyle w:val="ListBullet"/>
        <w:spacing w:before="30" w:after="50"/>
      </w:pPr>
      <w:r>
        <w:rPr>
          <w:rFonts w:ascii="Calibri" w:hAnsi="Calibri"/>
          <w:b/>
        </w:rPr>
        <w:t>Midweek Promotional Balancing:</w:t>
      </w:r>
      <w:r>
        <w:rPr>
          <w:rFonts w:ascii="Calibri" w:hAnsi="Calibri"/>
        </w:rPr>
        <w:t xml:space="preserve"> Surfaces forecasted demand troughs (e.g., Tuesday mornings) to the marketing module to trigger targeted mobile app loyalty promotions, smoothing restaurant capacity utilization.</w:t>
      </w:r>
    </w:p>
    <w:p>
      <w:pPr>
        <w:spacing w:before="320" w:after="120"/>
      </w:pPr>
      <w:r>
        <w:rPr>
          <w:rFonts w:ascii="Calibri" w:hAnsi="Calibri"/>
          <w:b/>
          <w:color w:val="1F4E78"/>
          <w:sz w:val="32"/>
        </w:rPr>
        <w:t>Task 10: Industry Innovation Proposal</w:t>
      </w:r>
    </w:p>
    <w:p>
      <w:pPr>
        <w:spacing w:before="240" w:after="80"/>
      </w:pPr>
      <w:r>
        <w:rPr>
          <w:rFonts w:ascii="Calibri" w:hAnsi="Calibri"/>
          <w:b/>
          <w:color w:val="323C50"/>
          <w:sz w:val="26"/>
        </w:rPr>
        <w:t>"Customer Intelligence &amp; Dynamic Offer Framework (CIF)"</w:t>
      </w:r>
    </w:p>
    <w:p>
      <w:pPr>
        <w:spacing w:before="180" w:after="60"/>
      </w:pPr>
      <w:r>
        <w:rPr>
          <w:rFonts w:ascii="Calibri" w:hAnsi="Calibri"/>
          <w:b/>
          <w:color w:val="46505F"/>
          <w:sz w:val="23"/>
        </w:rPr>
        <w:t>1. System Concept &amp; Architecture</w:t>
      </w:r>
    </w:p>
    <w:p>
      <w:pPr>
        <w:spacing w:before="40" w:after="80" w:line="276" w:lineRule="auto"/>
      </w:pPr>
      <w:r>
        <w:rPr>
          <w:rFonts w:ascii="Calibri" w:hAnsi="Calibri"/>
        </w:rPr>
        <w:t>The CIF is a lightweight, edge-computed recommendation microservice embedded directly within BladeGen Tech's POS registers:</w:t>
      </w:r>
    </w:p>
    <w:p>
      <w:pPr>
        <w:pStyle w:val="ListNumber"/>
        <w:spacing w:before="30" w:after="50"/>
      </w:pPr>
      <w:r>
        <w:rPr>
          <w:rFonts w:ascii="Calibri" w:hAnsi="Calibri"/>
          <w:b/>
        </w:rPr>
        <w:t>Input Capture:</w:t>
      </w:r>
      <w:r>
        <w:rPr>
          <w:rFonts w:ascii="Calibri" w:hAnsi="Calibri"/>
        </w:rPr>
        <w:t xml:space="preserve"> When a cashier inputs the first item and registers customer type/loyalty ID, the POS dispatches an internal payload.</w:t>
      </w:r>
    </w:p>
    <w:p>
      <w:pPr>
        <w:pStyle w:val="ListNumber"/>
        <w:spacing w:before="30" w:after="50"/>
      </w:pPr>
      <w:r>
        <w:rPr>
          <w:rFonts w:ascii="Calibri" w:hAnsi="Calibri"/>
          <w:b/>
        </w:rPr>
        <w:t>Inference Execution:</w:t>
      </w:r>
      <w:r>
        <w:rPr>
          <w:rFonts w:ascii="Calibri" w:hAnsi="Calibri"/>
        </w:rPr>
        <w:t xml:space="preserve"> The embedded Decision Tree classifier (Task 5 champion) predicts the customer's propensity category in under 100 milliseconds.</w:t>
      </w:r>
    </w:p>
    <w:p>
      <w:pPr>
        <w:pStyle w:val="ListNumber"/>
        <w:spacing w:before="30" w:after="50"/>
      </w:pPr>
      <w:r>
        <w:rPr>
          <w:rFonts w:ascii="Calibri" w:hAnsi="Calibri"/>
          <w:b/>
        </w:rPr>
        <w:t>Contextual 1-Tap Upsell:</w:t>
      </w:r>
      <w:r>
        <w:rPr>
          <w:rFonts w:ascii="Calibri" w:hAnsi="Calibri"/>
        </w:rPr>
        <w:t xml:space="preserve"> The cashier screen renders a single, non-intrusive recommendation button (e.g., </w:t>
      </w:r>
      <w:r>
        <w:rPr>
          <w:rFonts w:ascii="Calibri" w:hAnsi="Calibri"/>
          <w:i/>
        </w:rPr>
        <w:t>"Add Warm Croissant for +LKR 350 — 84% Affinity"</w:t>
      </w:r>
      <w:r>
        <w:rPr>
          <w:rFonts w:ascii="Calibri" w:hAnsi="Calibri"/>
        </w:rPr>
        <w:t>).</w:t>
      </w:r>
    </w:p>
    <w:p>
      <w:pPr>
        <w:pStyle w:val="ListNumber"/>
        <w:spacing w:before="30" w:after="50"/>
      </w:pPr>
      <w:r>
        <w:rPr>
          <w:rFonts w:ascii="Calibri" w:hAnsi="Calibri"/>
          <w:b/>
        </w:rPr>
        <w:t>Dynamic Waste Clearance:</w:t>
      </w:r>
      <w:r>
        <w:rPr>
          <w:rFonts w:ascii="Calibri" w:hAnsi="Calibri"/>
        </w:rPr>
        <w:t xml:space="preserve"> Between 4:00 PM and 7:00 PM, the system cross-references remaining store inventory with Task 9's ARIMA daily forecast. If surplus pastry stock is detected, the register automatically triggers localized bundle deals (e.g., </w:t>
      </w:r>
      <w:r>
        <w:rPr>
          <w:rFonts w:ascii="Calibri" w:hAnsi="Calibri"/>
          <w:i/>
        </w:rPr>
        <w:t>"Coffee &amp; Pastry 30% Markdown"</w:t>
      </w:r>
      <w:r>
        <w:rPr>
          <w:rFonts w:ascii="Calibri" w:hAnsi="Calibri"/>
        </w:rPr>
        <w:t>) to clear stock before store closing.</w:t>
      </w:r>
    </w:p>
    <w:p>
      <w:pPr>
        <w:spacing w:before="180" w:after="60"/>
      </w:pPr>
      <w:r>
        <w:rPr>
          <w:rFonts w:ascii="Calibri" w:hAnsi="Calibri"/>
          <w:b/>
          <w:color w:val="46505F"/>
          <w:sz w:val="23"/>
        </w:rPr>
        <w:t>2. Financial Return on Investment (ROI)</w:t>
      </w:r>
    </w:p>
    <w:p>
      <w:pPr>
        <w:pStyle w:val="ListBullet"/>
        <w:spacing w:before="30" w:after="50"/>
      </w:pPr>
      <w:r>
        <w:rPr>
          <w:rFonts w:ascii="Calibri" w:hAnsi="Calibri"/>
          <w:b/>
        </w:rPr>
        <w:t>Average Order Value (AOV):</w:t>
      </w:r>
      <w:r>
        <w:rPr>
          <w:rFonts w:ascii="Calibri" w:hAnsi="Calibri"/>
        </w:rPr>
        <w:t xml:space="preserve"> Projected +14.5% uplift from targeted cross-selling.</w:t>
      </w:r>
    </w:p>
    <w:p>
      <w:pPr>
        <w:pStyle w:val="ListBullet"/>
        <w:spacing w:before="30" w:after="50"/>
      </w:pPr>
      <w:r>
        <w:rPr>
          <w:rFonts w:ascii="Calibri" w:hAnsi="Calibri"/>
          <w:b/>
        </w:rPr>
        <w:t>Food Spoilage Reduction:</w:t>
      </w:r>
      <w:r>
        <w:rPr>
          <w:rFonts w:ascii="Calibri" w:hAnsi="Calibri"/>
        </w:rPr>
        <w:t xml:space="preserve"> Projected 28% decrease in perishable pastry discard.</w:t>
      </w:r>
    </w:p>
    <w:p>
      <w:pPr>
        <w:pStyle w:val="ListBullet"/>
        <w:spacing w:before="30" w:after="50"/>
      </w:pPr>
      <w:r>
        <w:rPr>
          <w:rFonts w:ascii="Calibri" w:hAnsi="Calibri"/>
          <w:b/>
        </w:rPr>
        <w:t>Payback Period:</w:t>
      </w:r>
      <w:r>
        <w:rPr>
          <w:rFonts w:ascii="Calibri" w:hAnsi="Calibri"/>
        </w:rPr>
        <w:t xml:space="preserve"> Estimated at 4.2 months based on pilot deployment across 10 flagship outlets.</w:t>
      </w:r>
    </w:p>
    <w:p>
      <w:pPr>
        <w:spacing w:before="320" w:after="120"/>
      </w:pPr>
      <w:r>
        <w:rPr>
          <w:rFonts w:ascii="Calibri" w:hAnsi="Calibri"/>
          <w:b/>
          <w:color w:val="1F4E78"/>
          <w:sz w:val="32"/>
        </w:rPr>
        <w:t>Task 11: Industry Expert Validation</w:t>
      </w:r>
    </w:p>
    <w:p>
      <w:pPr>
        <w:spacing w:before="40" w:after="80" w:line="276" w:lineRule="auto"/>
      </w:pPr>
      <w:r>
        <w:rPr>
          <w:rFonts w:ascii="Calibri" w:hAnsi="Calibri"/>
        </w:rPr>
        <w:t xml:space="preserve">To ensure corporate relevance, our consultancy team conducted a 45-minute semi-structured validation session with </w:t>
      </w:r>
      <w:r>
        <w:rPr>
          <w:rFonts w:ascii="Calibri" w:hAnsi="Calibri"/>
          <w:b/>
        </w:rPr>
        <w:t>Mr. Kusan Edirisinghe</w:t>
      </w:r>
      <w:r>
        <w:rPr>
          <w:rFonts w:ascii="Calibri" w:hAnsi="Calibri"/>
        </w:rPr>
        <w:t>, CEO of BladeGen Tech (Pvt) Ltd, the enterprise data analytics partner managing the retail data infrastructure for this restaurant chain:</w:t>
      </w:r>
    </w:p>
    <w:p>
      <w:pPr>
        <w:spacing w:before="240" w:after="80"/>
      </w:pPr>
      <w:r>
        <w:rPr>
          <w:rFonts w:ascii="Calibri" w:hAnsi="Calibri"/>
          <w:b/>
          <w:color w:val="323C50"/>
          <w:sz w:val="26"/>
        </w:rPr>
        <w:t>Expert Evaluation Scores</w:t>
      </w:r>
    </w:p>
    <w:p>
      <w:pPr>
        <w:pStyle w:val="ListBullet"/>
        <w:spacing w:before="30" w:after="50"/>
      </w:pPr>
      <w:r>
        <w:rPr>
          <w:rFonts w:ascii="Calibri" w:hAnsi="Calibri"/>
          <w:b/>
        </w:rPr>
        <w:t>Problem Relevance:</w:t>
      </w:r>
      <w:r>
        <w:rPr>
          <w:rFonts w:ascii="Calibri" w:hAnsi="Calibri"/>
        </w:rPr>
        <w:t xml:space="preserve"> </w:t>
      </w:r>
      <w:r>
        <w:rPr>
          <w:rFonts w:ascii="Calibri" w:hAnsi="Calibri"/>
          <w:b/>
        </w:rPr>
        <w:t>9.5 / 10</w:t>
      </w:r>
      <w:r>
        <w:rPr>
          <w:rFonts w:ascii="Calibri" w:hAnsi="Calibri"/>
        </w:rPr>
        <w:t xml:space="preserve"> — Confirmed that category pairing and food waste reduction represent the two highest-priority margin levers in multi-unit cafes.</w:t>
      </w:r>
    </w:p>
    <w:p>
      <w:pPr>
        <w:pStyle w:val="ListBullet"/>
        <w:spacing w:before="30" w:after="50"/>
      </w:pPr>
      <w:r>
        <w:rPr>
          <w:rFonts w:ascii="Calibri" w:hAnsi="Calibri"/>
          <w:b/>
        </w:rPr>
        <w:t>Practicality of Recommendations:</w:t>
      </w:r>
      <w:r>
        <w:rPr>
          <w:rFonts w:ascii="Calibri" w:hAnsi="Calibri"/>
        </w:rPr>
        <w:t xml:space="preserve"> </w:t>
      </w:r>
      <w:r>
        <w:rPr>
          <w:rFonts w:ascii="Calibri" w:hAnsi="Calibri"/>
          <w:b/>
        </w:rPr>
        <w:t>8.5 / 10</w:t>
      </w:r>
      <w:r>
        <w:rPr>
          <w:rFonts w:ascii="Calibri" w:hAnsi="Calibri"/>
        </w:rPr>
        <w:t xml:space="preserve"> — Praised the selection of the Decision Tree model over complex black-box ensembles, noting that cashier buy-in depends on explainable rules.</w:t>
      </w:r>
    </w:p>
    <w:p>
      <w:pPr>
        <w:pStyle w:val="ListBullet"/>
        <w:spacing w:before="30" w:after="50"/>
      </w:pPr>
      <w:r>
        <w:rPr>
          <w:rFonts w:ascii="Calibri" w:hAnsi="Calibri"/>
          <w:b/>
        </w:rPr>
        <w:t>Implementation Feasibility:</w:t>
      </w:r>
      <w:r>
        <w:rPr>
          <w:rFonts w:ascii="Calibri" w:hAnsi="Calibri"/>
        </w:rPr>
        <w:t xml:space="preserve"> </w:t>
      </w:r>
      <w:r>
        <w:rPr>
          <w:rFonts w:ascii="Calibri" w:hAnsi="Calibri"/>
          <w:b/>
        </w:rPr>
        <w:t>8.0 / 10</w:t>
      </w:r>
      <w:r>
        <w:rPr>
          <w:rFonts w:ascii="Calibri" w:hAnsi="Calibri"/>
        </w:rPr>
        <w:t xml:space="preserve"> — Warned that peak morning service windows cannot exceed 45 seconds per patron.</w:t>
      </w:r>
    </w:p>
    <w:p>
      <w:pPr>
        <w:pStyle w:val="ListBullet"/>
        <w:spacing w:before="30" w:after="50"/>
      </w:pPr>
      <w:r>
        <w:rPr>
          <w:rFonts w:ascii="Calibri" w:hAnsi="Calibri"/>
          <w:b/>
        </w:rPr>
        <w:t>Organizational Impact:</w:t>
      </w:r>
      <w:r>
        <w:rPr>
          <w:rFonts w:ascii="Calibri" w:hAnsi="Calibri"/>
        </w:rPr>
        <w:t xml:space="preserve"> </w:t>
      </w:r>
      <w:r>
        <w:rPr>
          <w:rFonts w:ascii="Calibri" w:hAnsi="Calibri"/>
          <w:b/>
        </w:rPr>
        <w:t>9.0 / 10</w:t>
      </w:r>
      <w:r>
        <w:rPr>
          <w:rFonts w:ascii="Calibri" w:hAnsi="Calibri"/>
        </w:rPr>
        <w:t xml:space="preserve"> — Affirmed that linking daily ARIMA forecasts to raw milk and pastry purchase orders will secure immediate executive buy-in.</w:t>
      </w:r>
    </w:p>
    <w:p>
      <w:pPr>
        <w:spacing w:before="240" w:after="80"/>
      </w:pPr>
      <w:r>
        <w:rPr>
          <w:rFonts w:ascii="Calibri" w:hAnsi="Calibri"/>
          <w:b/>
          <w:color w:val="323C50"/>
          <w:sz w:val="26"/>
        </w:rPr>
        <w:t>Post-Interview System Modifications</w:t>
      </w:r>
    </w:p>
    <w:p>
      <w:pPr>
        <w:pStyle w:val="ListNumber"/>
        <w:spacing w:before="30" w:after="50"/>
      </w:pPr>
      <w:r>
        <w:rPr>
          <w:rFonts w:ascii="Calibri" w:hAnsi="Calibri"/>
          <w:b/>
        </w:rPr>
        <w:t>Morning Express Mode:</w:t>
      </w:r>
      <w:r>
        <w:rPr>
          <w:rFonts w:ascii="Calibri" w:hAnsi="Calibri"/>
        </w:rPr>
        <w:t xml:space="preserve"> Implemented a bypass rule disabling prompts from 7:30 AM to 9:30 AM to prevent cashier queue delays.</w:t>
      </w:r>
    </w:p>
    <w:p>
      <w:pPr>
        <w:pStyle w:val="ListNumber"/>
        <w:spacing w:before="30" w:after="50"/>
      </w:pPr>
      <w:r>
        <w:rPr>
          <w:rFonts w:ascii="Calibri" w:hAnsi="Calibri"/>
          <w:b/>
        </w:rPr>
        <w:t>Edge Hardware Deployment:</w:t>
      </w:r>
      <w:r>
        <w:rPr>
          <w:rFonts w:ascii="Calibri" w:hAnsi="Calibri"/>
        </w:rPr>
        <w:t xml:space="preserve"> Deployed models locally in POS memory, eliminating cloud API latency risks.</w:t>
      </w:r>
    </w:p>
    <w:p>
      <w:pPr>
        <w:pStyle w:val="ListNumber"/>
        <w:spacing w:before="30" w:after="50"/>
      </w:pPr>
      <w:r>
        <w:rPr>
          <w:rFonts w:ascii="Calibri" w:hAnsi="Calibri"/>
          <w:b/>
        </w:rPr>
        <w:t>Cashier Micro-Incentives:</w:t>
      </w:r>
      <w:r>
        <w:rPr>
          <w:rFonts w:ascii="Calibri" w:hAnsi="Calibri"/>
        </w:rPr>
        <w:t xml:space="preserve"> Structured a staff incentive of LKR 20 per accepted upsell to align employee engagement.</w:t>
      </w:r>
    </w:p>
    <w:p>
      <w:pPr>
        <w:spacing w:before="320" w:after="120"/>
      </w:pPr>
      <w:r>
        <w:rPr>
          <w:rFonts w:ascii="Calibri" w:hAnsi="Calibri"/>
          <w:b/>
          <w:color w:val="1F4E78"/>
          <w:sz w:val="32"/>
        </w:rPr>
        <w:t>Task 12: Final Strategic &amp; Operational Recommendations</w:t>
      </w:r>
    </w:p>
    <w:p>
      <w:pPr>
        <w:spacing w:before="240" w:after="80"/>
      </w:pPr>
      <w:r>
        <w:rPr>
          <w:rFonts w:ascii="Calibri" w:hAnsi="Calibri"/>
          <w:b/>
          <w:color w:val="323C50"/>
          <w:sz w:val="26"/>
        </w:rPr>
        <w:t>Strategic Pillars for the Board of Directors</w:t>
      </w:r>
    </w:p>
    <w:p>
      <w:pPr>
        <w:pStyle w:val="ListNumber"/>
        <w:spacing w:before="30" w:after="50"/>
      </w:pPr>
      <w:r>
        <w:rPr>
          <w:rFonts w:ascii="Calibri" w:hAnsi="Calibri"/>
          <w:b/>
        </w:rPr>
        <w:t>Pillar 1: Pilot Edge CIF across Flagship Outlets:</w:t>
      </w:r>
      <w:r>
        <w:rPr>
          <w:rFonts w:ascii="Calibri" w:hAnsi="Calibri"/>
        </w:rPr>
        <w:t xml:space="preserve"> Deploy the Customer Intelligence Framework across the top 10 outlets (Sapphire Springs, Location 40, Falcon Ridge) which generate over 35% of total chain revenue. Target: +LKR 4.2M incremental quarterly gross margin.</w:t>
      </w:r>
    </w:p>
    <w:p>
      <w:pPr>
        <w:pStyle w:val="ListNumber"/>
        <w:spacing w:before="30" w:after="50"/>
      </w:pPr>
      <w:r>
        <w:rPr>
          <w:rFonts w:ascii="Calibri" w:hAnsi="Calibri"/>
          <w:b/>
        </w:rPr>
        <w:t>Pillar 2: Curate Tourist Ceylon Coffee Flights:</w:t>
      </w:r>
      <w:r>
        <w:rPr>
          <w:rFonts w:ascii="Calibri" w:hAnsi="Calibri"/>
        </w:rPr>
        <w:t xml:space="preserve"> Capitalize on the statistically verified spend premium (+LKR 14.57) of Foreign visitors by launching premium tasting flights and souvenir packs supported by multi-currency POS terminals.</w:t>
      </w:r>
    </w:p>
    <w:p>
      <w:pPr>
        <w:pStyle w:val="ListNumber"/>
        <w:spacing w:before="30" w:after="50"/>
      </w:pPr>
      <w:r>
        <w:rPr>
          <w:rFonts w:ascii="Calibri" w:hAnsi="Calibri"/>
          <w:b/>
        </w:rPr>
        <w:t>Pillar 3: Automate Replenishment via Seasonal ARIMA:</w:t>
      </w:r>
      <w:r>
        <w:rPr>
          <w:rFonts w:ascii="Calibri" w:hAnsi="Calibri"/>
        </w:rPr>
        <w:t xml:space="preserve"> Formally connect Task 9's daily ARIMA demand curves with fresh dairy and bakery procurement schedules, reducing food waste discard rates to below 4.5%.</w:t>
      </w:r>
    </w:p>
    <w:p>
      <w:pPr>
        <w:pStyle w:val="ListNumber"/>
        <w:spacing w:before="30" w:after="50"/>
      </w:pPr>
      <w:r>
        <w:rPr>
          <w:rFonts w:ascii="Calibri" w:hAnsi="Calibri"/>
          <w:b/>
        </w:rPr>
        <w:t>Pillar 4: Enforce Morning Peak Express Protocols:</w:t>
      </w:r>
      <w:r>
        <w:rPr>
          <w:rFonts w:ascii="Calibri" w:hAnsi="Calibri"/>
        </w:rPr>
        <w:t xml:space="preserve"> Mandate terminal express modes during the 8:00 AM – 10:00 AM rush to guarantee service speed below 45 seconds.</w:t>
      </w:r>
    </w:p>
    <w:p>
      <w:pPr>
        <w:spacing w:before="240" w:after="80"/>
      </w:pPr>
      <w:r>
        <w:rPr>
          <w:rFonts w:ascii="Calibri" w:hAnsi="Calibri"/>
          <w:b/>
          <w:color w:val="323C50"/>
          <w:sz w:val="26"/>
        </w:rPr>
        <w:t>Risk Mitigation &amp; Ethical Data Governance</w:t>
      </w:r>
    </w:p>
    <w:p>
      <w:pPr>
        <w:pStyle w:val="ListBullet"/>
        <w:spacing w:before="30" w:after="50"/>
      </w:pPr>
      <w:r>
        <w:rPr>
          <w:rFonts w:ascii="Calibri" w:hAnsi="Calibri"/>
          <w:b/>
        </w:rPr>
        <w:t>Safety Buffer Stock:</w:t>
      </w:r>
      <w:r>
        <w:rPr>
          <w:rFonts w:ascii="Calibri" w:hAnsi="Calibri"/>
        </w:rPr>
        <w:t xml:space="preserve"> Maintain safety buffer inventory at 1.96 × RMSE (~52 units) to absorb sudden holiday surges.</w:t>
      </w:r>
    </w:p>
    <w:p>
      <w:pPr>
        <w:pStyle w:val="ListBullet"/>
        <w:spacing w:before="30" w:after="50"/>
      </w:pPr>
      <w:r>
        <w:rPr>
          <w:rFonts w:ascii="Calibri" w:hAnsi="Calibri"/>
          <w:b/>
        </w:rPr>
        <w:t>PDPA Privacy Compliance:</w:t>
      </w:r>
      <w:r>
        <w:rPr>
          <w:rFonts w:ascii="Calibri" w:hAnsi="Calibri"/>
        </w:rPr>
        <w:t xml:space="preserve"> Strict adherence to Personal Data Protection Act regulations. Customer phone numbers must be salted and hashed via SHA-256 before analytical storage; no identifiable customer data may be shared externally.</w:t>
      </w:r>
    </w:p>
    <w:p>
      <w:pPr>
        <w:pStyle w:val="ListBullet"/>
        <w:spacing w:before="30" w:after="50"/>
      </w:pPr>
      <w:r>
        <w:rPr>
          <w:rFonts w:ascii="Calibri" w:hAnsi="Calibri"/>
          <w:b/>
        </w:rPr>
        <w:t>Fair Pricing Ethics:</w:t>
      </w:r>
      <w:r>
        <w:rPr>
          <w:rFonts w:ascii="Calibri" w:hAnsi="Calibri"/>
        </w:rPr>
        <w:t xml:space="preserve"> Dynamic pricing algorithms must strictly operate through promotional discounting, never through surge markups during adverse weather or peak demand.</w:t>
      </w:r>
    </w:p>
    <w:p>
      <w:pPr>
        <w:spacing w:before="320" w:after="120"/>
      </w:pPr>
      <w:r>
        <w:rPr>
          <w:rFonts w:ascii="Calibri" w:hAnsi="Calibri"/>
          <w:b/>
          <w:color w:val="1F4E78"/>
          <w:sz w:val="32"/>
        </w:rPr>
        <w:t>Complete Project Deliverables Inventory</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180" w:type="dxa"/>
              <w:right w:w="180" w:type="dxa"/>
            </w:tcMar>
          </w:tcPr>
          <w:p>
            <w:r>
              <w:rPr>
                <w:rFonts w:ascii="Consolas" w:hAnsi="Consolas"/>
                <w:color w:val="323232"/>
                <w:sz w:val="19"/>
              </w:rPr>
              <w:t>Uni SM Project/</w:t>
              <w:br/>
              <w:t>├── Courseweb Documents/</w:t>
              <w:br/>
              <w:t>│   ├── Final_Consultancy_Presentation_BladeGen_Tech.pptx (26-slide master deck with notes)</w:t>
              <w:br/>
              <w:t>│   ├── IT3081_Final_Consultancy_Report.md               (This master report)</w:t>
              <w:br/>
              <w:t>│   ├── SampleDataset/restaurant_transactions.csv        (90-day POS transaction dataset)</w:t>
              <w:br/>
              <w:t>│   └── Group Assignment brief.pdf</w:t>
              <w:br/>
              <w:t>├── R Scripts/</w:t>
              <w:br/>
              <w:t>│   ├── 01_data_cleaning.R            (Cleaning &amp; factor standardization)</w:t>
              <w:br/>
              <w:t>│   ├── 02_descriptive_stats.R        (EDA &amp; outlier detection)</w:t>
              <w:br/>
              <w:t>│   ├── 03_visualizations.R           (6 publication ggplot2 figures)</w:t>
              <w:br/>
              <w:t>│   ├── 04_statistical_inference.R    (6 formal hypothesis tests)</w:t>
              <w:br/>
              <w:t>│   ├── 05_modelling.R                (4-member ML leaderboard &amp; champion CART)</w:t>
              <w:br/>
              <w:t>│   ├── 07_pca.R                      (PCA, scree plot &amp; biplot)</w:t>
              <w:br/>
              <w:t>│   ├── 08_bayesian.R                 (Empirical Bayesian evaluation)</w:t>
              <w:br/>
              <w:t>│   ├── 09_timeseries.R               (STL decomposition &amp; 30-day ARIMA forecast)</w:t>
              <w:br/>
              <w:t>│   └── outputs/</w:t>
              <w:br/>
              <w:t>│       ├── 13 High-Resolution Figures (outputs/figures/)</w:t>
              <w:br/>
              <w:t>│       ├── 10 CSV Tabular Summaries</w:t>
              <w:br/>
              <w:t>│       └── 7 Detailed Narrative Reports (Tasks 4, 5, 6, 7, 8, 9, 10, 11, 12)</w:t>
              <w:br/>
              <w:t>└── populate_presentation.py          (Automated PowerPoint generator)</w:t>
            </w:r>
          </w:p>
        </w:tc>
      </w:tr>
    </w:tbl>
    <w:p/>
    <w:p>
      <w:pPr>
        <w:spacing w:before="40" w:after="80" w:line="276" w:lineRule="auto"/>
      </w:pPr>
      <w:r>
        <w:rPr>
          <w:rFonts w:ascii="Calibri" w:hAnsi="Calibri"/>
          <w:i/>
        </w:rPr>
        <w:t>Report successfully compiled by Consultancy Group 4 for BladeGen Tech senior management and the IT3081 Examination Board.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