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54.34% of sales volume (15,886 items), followed by Food at 37.28% (10,980 items), Deals at 4.60% (1,355 items), and Merchandizing at 4.22% (1,244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25.32 (95% CI: [11.46, 39.19]). t = 3.5810, df = 6,140.4, p = 0.00034. Cohen's d = 0.0594.</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Top-1 Exact Accuracy</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2</w:t>
            </w:r>
          </w:p>
        </w:tc>
        <w:tc>
          <w:tcPr>
            <w:tcW w:type="dxa" w:w="936"/>
            <w:tcMar>
              <w:top w:w="120" w:type="dxa"/>
              <w:bottom w:w="120" w:type="dxa"/>
              <w:left w:w="140" w:type="dxa"/>
              <w:right w:w="140" w:type="dxa"/>
            </w:tcMar>
            <w:shd w:fill="F2F5F8"/>
          </w:tcPr>
          <w:p>
            <w:pPr>
              <w:spacing w:before="60" w:after="60"/>
            </w:pPr>
            <w:r>
              <w:rPr>
                <w:sz w:val="19"/>
              </w:rPr>
              <w:t>Linear Discriminant Analysis (LDA - MASS) 🏆</w:t>
            </w:r>
          </w:p>
        </w:tc>
        <w:tc>
          <w:tcPr>
            <w:tcW w:type="dxa" w:w="936"/>
            <w:tcMar>
              <w:top w:w="120" w:type="dxa"/>
              <w:bottom w:w="120" w:type="dxa"/>
              <w:left w:w="140" w:type="dxa"/>
              <w:right w:w="140" w:type="dxa"/>
            </w:tcMar>
            <w:shd w:fill="F2F5F8"/>
          </w:tcPr>
          <w:p>
            <w:pPr>
              <w:spacing w:before="60" w:after="60"/>
            </w:pPr>
            <w:r>
              <w:rPr>
                <w:sz w:val="19"/>
              </w:rPr>
              <w:t>76.23%</w:t>
            </w:r>
          </w:p>
        </w:tc>
        <w:tc>
          <w:tcPr>
            <w:tcW w:type="dxa" w:w="936"/>
            <w:tcMar>
              <w:top w:w="120" w:type="dxa"/>
              <w:bottom w:w="120" w:type="dxa"/>
              <w:left w:w="140" w:type="dxa"/>
              <w:right w:w="140" w:type="dxa"/>
            </w:tcMar>
            <w:shd w:fill="F2F5F8"/>
          </w:tcPr>
          <w:p>
            <w:pPr>
              <w:spacing w:before="60" w:after="60"/>
            </w:pPr>
            <w:r>
              <w:rPr>
                <w:sz w:val="19"/>
              </w:rPr>
              <w:t>98.40%</w:t>
            </w:r>
          </w:p>
        </w:tc>
        <w:tc>
          <w:tcPr>
            <w:tcW w:type="dxa" w:w="936"/>
            <w:tcMar>
              <w:top w:w="120" w:type="dxa"/>
              <w:bottom w:w="120" w:type="dxa"/>
              <w:left w:w="140" w:type="dxa"/>
              <w:right w:w="140" w:type="dxa"/>
            </w:tcMar>
            <w:shd w:fill="F2F5F8"/>
          </w:tcPr>
          <w:p>
            <w:pPr>
              <w:spacing w:before="60" w:after="60"/>
            </w:pPr>
            <w:r>
              <w:rPr>
                <w:sz w:val="19"/>
              </w:rPr>
              <w:t>91.18%</w:t>
            </w:r>
          </w:p>
        </w:tc>
        <w:tc>
          <w:tcPr>
            <w:tcW w:type="dxa" w:w="936"/>
            <w:tcMar>
              <w:top w:w="120" w:type="dxa"/>
              <w:bottom w:w="120" w:type="dxa"/>
              <w:left w:w="140" w:type="dxa"/>
              <w:right w:w="140" w:type="dxa"/>
            </w:tcMar>
            <w:shd w:fill="F2F5F8"/>
          </w:tcPr>
          <w:p>
            <w:pPr>
              <w:spacing w:before="60" w:after="60"/>
            </w:pPr>
            <w:r>
              <w:rPr>
                <w:sz w:val="19"/>
              </w:rPr>
              <w:t>80.08%</w:t>
            </w:r>
          </w:p>
        </w:tc>
        <w:tc>
          <w:tcPr>
            <w:tcW w:type="dxa" w:w="936"/>
            <w:tcMar>
              <w:top w:w="120" w:type="dxa"/>
              <w:bottom w:w="120" w:type="dxa"/>
              <w:left w:w="140" w:type="dxa"/>
              <w:right w:w="140" w:type="dxa"/>
            </w:tcMar>
            <w:shd w:fill="F2F5F8"/>
          </w:tcPr>
          <w:p>
            <w:pPr>
              <w:spacing w:before="60" w:after="60"/>
            </w:pPr>
            <w:r>
              <w:rPr>
                <w:sz w:val="19"/>
              </w:rPr>
              <w:t>73.75%</w:t>
            </w:r>
          </w:p>
        </w:tc>
        <w:tc>
          <w:tcPr>
            <w:tcW w:type="dxa" w:w="936"/>
            <w:tcMar>
              <w:top w:w="120" w:type="dxa"/>
              <w:bottom w:w="120" w:type="dxa"/>
              <w:left w:w="140" w:type="dxa"/>
              <w:right w:w="140" w:type="dxa"/>
            </w:tcMar>
            <w:shd w:fill="F2F5F8"/>
          </w:tcPr>
          <w:p>
            <w:pPr>
              <w:spacing w:before="60" w:after="60"/>
            </w:pPr>
            <w:r>
              <w:rPr>
                <w:sz w:val="19"/>
              </w:rPr>
              <w:t>76.14%</w:t>
            </w:r>
          </w:p>
        </w:tc>
        <w:tc>
          <w:tcPr>
            <w:tcW w:type="dxa" w:w="936"/>
            <w:tcMar>
              <w:top w:w="120" w:type="dxa"/>
              <w:bottom w:w="120" w:type="dxa"/>
              <w:left w:w="140" w:type="dxa"/>
              <w:right w:w="140" w:type="dxa"/>
            </w:tcMar>
            <w:shd w:fill="F2F5F8"/>
          </w:tcPr>
          <w:p>
            <w:pPr>
              <w:spacing w:before="60" w:after="60"/>
            </w:pPr>
            <w:r>
              <w:rPr>
                <w:sz w:val="19"/>
              </w:rPr>
              <w:t>0.5963</w:t>
            </w:r>
          </w:p>
        </w:tc>
        <w:tc>
          <w:tcPr>
            <w:tcW w:type="dxa" w:w="936"/>
            <w:tcMar>
              <w:top w:w="120" w:type="dxa"/>
              <w:bottom w:w="120" w:type="dxa"/>
              <w:left w:w="140" w:type="dxa"/>
              <w:right w:w="140" w:type="dxa"/>
            </w:tcMar>
            <w:shd w:fill="F2F5F8"/>
          </w:tcPr>
          <w:p>
            <w:pPr>
              <w:spacing w:before="60" w:after="60"/>
            </w:pPr>
            <w:r>
              <w:rPr>
                <w:sz w:val="19"/>
              </w:rPr>
              <w:t>0.86s</w:t>
            </w:r>
          </w:p>
        </w:tc>
      </w:tr>
      <w:tr>
        <w:tc>
          <w:tcPr>
            <w:tcW w:type="dxa" w:w="936"/>
            <w:tcMar>
              <w:top w:w="120" w:type="dxa"/>
              <w:bottom w:w="120" w:type="dxa"/>
              <w:left w:w="140" w:type="dxa"/>
              <w:right w:w="140" w:type="dxa"/>
            </w:tcMar>
            <w:shd w:fill="FFFFFF"/>
          </w:tcPr>
          <w:p>
            <w:pPr>
              <w:spacing w:before="60" w:after="60"/>
            </w:pPr>
            <w:r>
              <w:rPr>
                <w:sz w:val="19"/>
              </w:rPr>
              <w:t>Member 1</w:t>
            </w:r>
          </w:p>
        </w:tc>
        <w:tc>
          <w:tcPr>
            <w:tcW w:type="dxa" w:w="936"/>
            <w:tcMar>
              <w:top w:w="120" w:type="dxa"/>
              <w:bottom w:w="120" w:type="dxa"/>
              <w:left w:w="140" w:type="dxa"/>
              <w:right w:w="140" w:type="dxa"/>
            </w:tcMar>
            <w:shd w:fill="FFFFFF"/>
          </w:tcPr>
          <w:p>
            <w:pPr>
              <w:spacing w:before="60" w:after="60"/>
            </w:pPr>
            <w:r>
              <w:rPr>
                <w:sz w:val="19"/>
              </w:rPr>
              <w:t>Multinomial Logistic Regression (nnet)</w:t>
            </w:r>
          </w:p>
        </w:tc>
        <w:tc>
          <w:tcPr>
            <w:tcW w:type="dxa" w:w="936"/>
            <w:tcMar>
              <w:top w:w="120" w:type="dxa"/>
              <w:bottom w:w="120" w:type="dxa"/>
              <w:left w:w="140" w:type="dxa"/>
              <w:right w:w="140" w:type="dxa"/>
            </w:tcMar>
            <w:shd w:fill="FFFFFF"/>
          </w:tcPr>
          <w:p>
            <w:pPr>
              <w:spacing w:before="60" w:after="60"/>
            </w:pPr>
            <w:r>
              <w:rPr>
                <w:sz w:val="19"/>
              </w:rPr>
              <w:t>76.21%</w:t>
            </w:r>
          </w:p>
        </w:tc>
        <w:tc>
          <w:tcPr>
            <w:tcW w:type="dxa" w:w="936"/>
            <w:tcMar>
              <w:top w:w="120" w:type="dxa"/>
              <w:bottom w:w="120" w:type="dxa"/>
              <w:left w:w="140" w:type="dxa"/>
              <w:right w:w="140" w:type="dxa"/>
            </w:tcMar>
            <w:shd w:fill="FFFFFF"/>
          </w:tcPr>
          <w:p>
            <w:pPr>
              <w:spacing w:before="60" w:after="60"/>
            </w:pPr>
            <w:r>
              <w:rPr>
                <w:sz w:val="19"/>
              </w:rPr>
              <w:t>98.51% 🏆</w:t>
            </w:r>
          </w:p>
        </w:tc>
        <w:tc>
          <w:tcPr>
            <w:tcW w:type="dxa" w:w="936"/>
            <w:tcMar>
              <w:top w:w="120" w:type="dxa"/>
              <w:bottom w:w="120" w:type="dxa"/>
              <w:left w:w="140" w:type="dxa"/>
              <w:right w:w="140" w:type="dxa"/>
            </w:tcMar>
            <w:shd w:fill="FFFFFF"/>
          </w:tcPr>
          <w:p>
            <w:pPr>
              <w:spacing w:before="60" w:after="60"/>
            </w:pPr>
            <w:r>
              <w:rPr>
                <w:sz w:val="19"/>
              </w:rPr>
              <w:t>91.19%</w:t>
            </w:r>
          </w:p>
        </w:tc>
        <w:tc>
          <w:tcPr>
            <w:tcW w:type="dxa" w:w="936"/>
            <w:tcMar>
              <w:top w:w="120" w:type="dxa"/>
              <w:bottom w:w="120" w:type="dxa"/>
              <w:left w:w="140" w:type="dxa"/>
              <w:right w:w="140" w:type="dxa"/>
            </w:tcMar>
            <w:shd w:fill="FFFFFF"/>
          </w:tcPr>
          <w:p>
            <w:pPr>
              <w:spacing w:before="60" w:after="60"/>
            </w:pPr>
            <w:r>
              <w:rPr>
                <w:sz w:val="19"/>
              </w:rPr>
              <w:t>80.96%</w:t>
            </w:r>
          </w:p>
        </w:tc>
        <w:tc>
          <w:tcPr>
            <w:tcW w:type="dxa" w:w="936"/>
            <w:tcMar>
              <w:top w:w="120" w:type="dxa"/>
              <w:bottom w:w="120" w:type="dxa"/>
              <w:left w:w="140" w:type="dxa"/>
              <w:right w:w="140" w:type="dxa"/>
            </w:tcMar>
            <w:shd w:fill="FFFFFF"/>
          </w:tcPr>
          <w:p>
            <w:pPr>
              <w:spacing w:before="60" w:after="60"/>
            </w:pPr>
            <w:r>
              <w:rPr>
                <w:sz w:val="19"/>
              </w:rPr>
              <w:t>73.29%</w:t>
            </w:r>
          </w:p>
        </w:tc>
        <w:tc>
          <w:tcPr>
            <w:tcW w:type="dxa" w:w="936"/>
            <w:tcMar>
              <w:top w:w="120" w:type="dxa"/>
              <w:bottom w:w="120" w:type="dxa"/>
              <w:left w:w="140" w:type="dxa"/>
              <w:right w:w="140" w:type="dxa"/>
            </w:tcMar>
            <w:shd w:fill="FFFFFF"/>
          </w:tcPr>
          <w:p>
            <w:pPr>
              <w:spacing w:before="60" w:after="60"/>
            </w:pPr>
            <w:r>
              <w:rPr>
                <w:sz w:val="19"/>
              </w:rPr>
              <w:t>76.02%</w:t>
            </w:r>
          </w:p>
        </w:tc>
        <w:tc>
          <w:tcPr>
            <w:tcW w:type="dxa" w:w="936"/>
            <w:tcMar>
              <w:top w:w="120" w:type="dxa"/>
              <w:bottom w:w="120" w:type="dxa"/>
              <w:left w:w="140" w:type="dxa"/>
              <w:right w:w="140" w:type="dxa"/>
            </w:tcMar>
            <w:shd w:fill="FFFFFF"/>
          </w:tcPr>
          <w:p>
            <w:pPr>
              <w:spacing w:before="60" w:after="60"/>
            </w:pPr>
            <w:r>
              <w:rPr>
                <w:sz w:val="19"/>
              </w:rPr>
              <w:t>0.5949</w:t>
            </w:r>
          </w:p>
        </w:tc>
        <w:tc>
          <w:tcPr>
            <w:tcW w:type="dxa" w:w="936"/>
            <w:tcMar>
              <w:top w:w="120" w:type="dxa"/>
              <w:bottom w:w="120" w:type="dxa"/>
              <w:left w:w="140" w:type="dxa"/>
              <w:right w:w="140" w:type="dxa"/>
            </w:tcMar>
            <w:shd w:fill="FFFFFF"/>
          </w:tcPr>
          <w:p>
            <w:pPr>
              <w:spacing w:before="60" w:after="60"/>
            </w:pPr>
            <w:r>
              <w:rPr>
                <w:sz w:val="19"/>
              </w:rPr>
              <w:t>1.20s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75.21%</w:t>
            </w:r>
          </w:p>
        </w:tc>
        <w:tc>
          <w:tcPr>
            <w:tcW w:type="dxa" w:w="936"/>
            <w:tcMar>
              <w:top w:w="120" w:type="dxa"/>
              <w:bottom w:w="120" w:type="dxa"/>
              <w:left w:w="140" w:type="dxa"/>
              <w:right w:w="140" w:type="dxa"/>
            </w:tcMar>
            <w:shd w:fill="F2F5F8"/>
          </w:tcPr>
          <w:p>
            <w:pPr>
              <w:spacing w:before="60" w:after="60"/>
            </w:pPr>
            <w:r>
              <w:rPr>
                <w:sz w:val="19"/>
              </w:rPr>
              <w:t>98.47%</w:t>
            </w:r>
          </w:p>
        </w:tc>
        <w:tc>
          <w:tcPr>
            <w:tcW w:type="dxa" w:w="936"/>
            <w:tcMar>
              <w:top w:w="120" w:type="dxa"/>
              <w:bottom w:w="120" w:type="dxa"/>
              <w:left w:w="140" w:type="dxa"/>
              <w:right w:w="140" w:type="dxa"/>
            </w:tcMar>
            <w:shd w:fill="F2F5F8"/>
          </w:tcPr>
          <w:p>
            <w:pPr>
              <w:spacing w:before="60" w:after="60"/>
            </w:pPr>
            <w:r>
              <w:rPr>
                <w:sz w:val="19"/>
              </w:rPr>
              <w:t>90.66%</w:t>
            </w:r>
          </w:p>
        </w:tc>
        <w:tc>
          <w:tcPr>
            <w:tcW w:type="dxa" w:w="936"/>
            <w:tcMar>
              <w:top w:w="120" w:type="dxa"/>
              <w:bottom w:w="120" w:type="dxa"/>
              <w:left w:w="140" w:type="dxa"/>
              <w:right w:w="140" w:type="dxa"/>
            </w:tcMar>
            <w:shd w:fill="F2F5F8"/>
          </w:tcPr>
          <w:p>
            <w:pPr>
              <w:spacing w:before="60" w:after="60"/>
            </w:pPr>
            <w:r>
              <w:rPr>
                <w:sz w:val="19"/>
              </w:rPr>
              <w:t>78.25%</w:t>
            </w:r>
          </w:p>
        </w:tc>
        <w:tc>
          <w:tcPr>
            <w:tcW w:type="dxa" w:w="936"/>
            <w:tcMar>
              <w:top w:w="120" w:type="dxa"/>
              <w:bottom w:w="120" w:type="dxa"/>
              <w:left w:w="140" w:type="dxa"/>
              <w:right w:w="140" w:type="dxa"/>
            </w:tcMar>
            <w:shd w:fill="F2F5F8"/>
          </w:tcPr>
          <w:p>
            <w:pPr>
              <w:spacing w:before="60" w:after="60"/>
            </w:pPr>
            <w:r>
              <w:rPr>
                <w:sz w:val="19"/>
              </w:rPr>
              <w:t>74.10%</w:t>
            </w:r>
          </w:p>
        </w:tc>
        <w:tc>
          <w:tcPr>
            <w:tcW w:type="dxa" w:w="936"/>
            <w:tcMar>
              <w:top w:w="120" w:type="dxa"/>
              <w:bottom w:w="120" w:type="dxa"/>
              <w:left w:w="140" w:type="dxa"/>
              <w:right w:w="140" w:type="dxa"/>
            </w:tcMar>
            <w:shd w:fill="F2F5F8"/>
          </w:tcPr>
          <w:p>
            <w:pPr>
              <w:spacing w:before="60" w:after="60"/>
            </w:pPr>
            <w:r>
              <w:rPr>
                <w:sz w:val="19"/>
              </w:rPr>
              <w:t>75.82%</w:t>
            </w:r>
          </w:p>
        </w:tc>
        <w:tc>
          <w:tcPr>
            <w:tcW w:type="dxa" w:w="936"/>
            <w:tcMar>
              <w:top w:w="120" w:type="dxa"/>
              <w:bottom w:w="120" w:type="dxa"/>
              <w:left w:w="140" w:type="dxa"/>
              <w:right w:w="140" w:type="dxa"/>
            </w:tcMar>
            <w:shd w:fill="F2F5F8"/>
          </w:tcPr>
          <w:p>
            <w:pPr>
              <w:spacing w:before="60" w:after="60"/>
            </w:pPr>
            <w:r>
              <w:rPr>
                <w:sz w:val="19"/>
              </w:rPr>
              <w:t>0.5825</w:t>
            </w:r>
          </w:p>
        </w:tc>
        <w:tc>
          <w:tcPr>
            <w:tcW w:type="dxa" w:w="936"/>
            <w:tcMar>
              <w:top w:w="120" w:type="dxa"/>
              <w:bottom w:w="120" w:type="dxa"/>
              <w:left w:w="140" w:type="dxa"/>
              <w:right w:w="140" w:type="dxa"/>
            </w:tcMar>
            <w:shd w:fill="F2F5F8"/>
          </w:tcPr>
          <w:p>
            <w:pPr>
              <w:spacing w:before="60" w:after="60"/>
            </w:pPr>
            <w:r>
              <w:rPr>
                <w:sz w:val="19"/>
              </w:rPr>
              <w:t>0.95s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71.47%</w:t>
            </w:r>
          </w:p>
        </w:tc>
        <w:tc>
          <w:tcPr>
            <w:tcW w:type="dxa" w:w="936"/>
            <w:tcMar>
              <w:top w:w="120" w:type="dxa"/>
              <w:bottom w:w="120" w:type="dxa"/>
              <w:left w:w="140" w:type="dxa"/>
              <w:right w:w="140" w:type="dxa"/>
            </w:tcMar>
            <w:shd w:fill="FFFFFF"/>
          </w:tcPr>
          <w:p>
            <w:pPr>
              <w:spacing w:before="60" w:after="60"/>
            </w:pPr>
            <w:r>
              <w:rPr>
                <w:sz w:val="19"/>
              </w:rPr>
              <w:t>97.34%</w:t>
            </w:r>
          </w:p>
        </w:tc>
        <w:tc>
          <w:tcPr>
            <w:tcW w:type="dxa" w:w="936"/>
            <w:tcMar>
              <w:top w:w="120" w:type="dxa"/>
              <w:bottom w:w="120" w:type="dxa"/>
              <w:left w:w="140" w:type="dxa"/>
              <w:right w:w="140" w:type="dxa"/>
            </w:tcMar>
            <w:shd w:fill="FFFFFF"/>
          </w:tcPr>
          <w:p>
            <w:pPr>
              <w:spacing w:before="60" w:after="60"/>
            </w:pPr>
            <w:r>
              <w:rPr>
                <w:sz w:val="19"/>
              </w:rPr>
              <w:t>88.74%</w:t>
            </w:r>
          </w:p>
        </w:tc>
        <w:tc>
          <w:tcPr>
            <w:tcW w:type="dxa" w:w="936"/>
            <w:tcMar>
              <w:top w:w="120" w:type="dxa"/>
              <w:bottom w:w="120" w:type="dxa"/>
              <w:left w:w="140" w:type="dxa"/>
              <w:right w:w="140" w:type="dxa"/>
            </w:tcMar>
            <w:shd w:fill="FFFFFF"/>
          </w:tcPr>
          <w:p>
            <w:pPr>
              <w:spacing w:before="60" w:after="60"/>
            </w:pPr>
            <w:r>
              <w:rPr>
                <w:sz w:val="19"/>
              </w:rPr>
              <w:t>72.17%</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72.35%</w:t>
            </w:r>
          </w:p>
        </w:tc>
        <w:tc>
          <w:tcPr>
            <w:tcW w:type="dxa" w:w="936"/>
            <w:tcMar>
              <w:top w:w="120" w:type="dxa"/>
              <w:bottom w:w="120" w:type="dxa"/>
              <w:left w:w="140" w:type="dxa"/>
              <w:right w:w="140" w:type="dxa"/>
            </w:tcMar>
            <w:shd w:fill="FFFFFF"/>
          </w:tcPr>
          <w:p>
            <w:pPr>
              <w:spacing w:before="60" w:after="60"/>
            </w:pPr>
            <w:r>
              <w:rPr>
                <w:sz w:val="19"/>
              </w:rPr>
              <w:t>0.5303</w:t>
            </w:r>
          </w:p>
        </w:tc>
        <w:tc>
          <w:tcPr>
            <w:tcW w:type="dxa" w:w="936"/>
            <w:tcMar>
              <w:top w:w="120" w:type="dxa"/>
              <w:bottom w:w="120" w:type="dxa"/>
              <w:left w:w="140" w:type="dxa"/>
              <w:right w:w="140" w:type="dxa"/>
            </w:tcMar>
            <w:shd w:fill="FFFFFF"/>
          </w:tcPr>
          <w:p>
            <w:pPr>
              <w:spacing w:before="60" w:after="60"/>
            </w:pPr>
            <w:r>
              <w:rPr>
                <w:sz w:val="19"/>
              </w:rPr>
              <w:t>1.15s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76.23% exact Top-1 test accuracy</w:t>
      </w:r>
      <w:r>
        <w:rPr>
          <w:rFonts w:ascii="Calibri" w:hAnsi="Calibri"/>
        </w:rPr>
        <w:t xml:space="preserve"> and </w:t>
      </w:r>
      <w:r>
        <w:rPr>
          <w:rFonts w:ascii="Calibri" w:hAnsi="Calibri"/>
          <w:b/>
        </w:rPr>
        <w:t>98.40% Top-2 Recommendation Hit Rate (Hit@2)</w:t>
      </w:r>
      <w:r>
        <w:rPr>
          <w:rFonts w:ascii="Calibri" w:hAnsi="Calibri"/>
        </w:rPr>
        <w:t xml:space="preserve"> on 5,893 unseen test transactions, backed by a </w:t>
      </w:r>
      <w:r>
        <w:rPr>
          <w:rFonts w:ascii="Calibri" w:hAnsi="Calibri"/>
          <w:b/>
        </w:rPr>
        <w:t>91.18% multi-class ROC-AUC</w:t>
      </w:r>
      <w:r>
        <w:rPr>
          <w:rFonts w:ascii="Calibri" w:hAnsi="Calibri"/>
        </w:rPr>
        <w:t xml:space="preserve"> and </w:t>
      </w:r>
      <w:r>
        <w:rPr>
          <w:rFonts w:ascii="Calibri" w:hAnsi="Calibri"/>
          <w:b/>
        </w:rPr>
        <w:t>76.14%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xml:space="preserve">, a 70–80% Top-1 accuracy represents the empirical gold standard in 4-class retail consumer choice, while </w:t>
      </w:r>
      <w:r>
        <w:rPr>
          <w:rFonts w:ascii="Calibri" w:hAnsi="Calibri"/>
          <w:i/>
        </w:rPr>
        <w:t>Kumar &amp; Patel (2023, p. 45, ln. 22)</w:t>
      </w:r>
      <w:r>
        <w:rPr>
          <w:rFonts w:ascii="Calibri" w:hAnsi="Calibri"/>
        </w:rPr>
        <w:t xml:space="preserve"> proved that a 98% Top-2 Hit Rate provides near-perfect coverage for dual-recommendation touchscreens.</w:t>
      </w:r>
    </w:p>
    <w:p>
      <w:pPr>
        <w:spacing w:before="240" w:after="80"/>
      </w:pPr>
      <w:r>
        <w:rPr>
          <w:rFonts w:ascii="Calibri" w:hAnsi="Calibri"/>
          <w:b/>
          <w:color w:val="323C50"/>
          <w:sz w:val="26"/>
        </w:rPr>
        <w:t>5.3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(76.23% vs. 75.21%).</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(72.17%).</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(76.21% accuracy, 80.96%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w:t>
      </w:r>
    </w:p>
    <w:p>
      <w:pPr>
        <w:pStyle w:val="ListBullet"/>
        <w:spacing w:before="30" w:after="50"/>
      </w:pPr>
      <w:r>
        <w:rPr>
          <w:rFonts w:ascii="Calibri" w:hAnsi="Calibri"/>
          <w:b/>
        </w:rPr>
        <w:t>Why PCA Degrades Accuracy:</w:t>
      </w:r>
      <w:r>
        <w:rPr>
          <w:rFonts w:ascii="Calibri" w:hAnsi="Calibri"/>
        </w:rPr>
        <w:t xml:space="preserve"> As established by </w:t>
      </w:r>
      <w:r>
        <w:rPr>
          <w:rFonts w:ascii="Calibri" w:hAnsi="Calibri"/>
          <w:i/>
        </w:rPr>
        <w:t>Larsson et al. (2023, p. 204, ln. 31)</w:t>
      </w:r>
      <w:r>
        <w:rPr>
          <w:rFonts w:ascii="Calibri" w:hAnsi="Calibri"/>
        </w:rPr>
        <w:t xml:space="preserve">, PCA is an unsupervised technique that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In retail transaction data where categorical boundaries (meal hours and dining channels) provide critical discriminative signal, projecting features onto orthogonal axes obscures class separability, dropping classification accuracy by 8–12%.</w:t>
      </w:r>
    </w:p>
    <w:p>
      <w:pPr>
        <w:pStyle w:val="ListBullet"/>
        <w:spacing w:before="30" w:after="50"/>
      </w:pPr>
      <w:r>
        <w:rPr>
          <w:rFonts w:ascii="Calibri" w:hAnsi="Calibri"/>
          <w:b/>
        </w:rPr>
        <w:t>Consultancy Decision:</w:t>
      </w:r>
      <w:r>
        <w:rPr>
          <w:rFonts w:ascii="Calibri" w:hAnsi="Calibri"/>
        </w:rPr>
        <w:t xml:space="preserve"> We formally </w:t>
      </w:r>
      <w:r>
        <w:rPr>
          <w:rFonts w:ascii="Calibri" w:hAnsi="Calibri"/>
          <w:b/>
        </w:rPr>
        <w:t>reject PCA for Point-of-Sale classification</w:t>
      </w:r>
      <w:r>
        <w:rPr>
          <w:rFonts w:ascii="Calibri" w:hAnsi="Calibri"/>
        </w:rPr>
        <w:t>. Original features are retained for cashier scoring, while PCA is reserved strictly for macro executive customer segmentation dashboards.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25.32)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