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76.23% exact Top-1 Category Accuracy</w:t>
      </w:r>
      <w:r>
        <w:rPr>
          <w:rFonts w:ascii="Calibri" w:hAnsi="Calibri"/>
        </w:rPr>
        <w:t xml:space="preserve"> and </w:t>
      </w:r>
      <w:r>
        <w:rPr>
          <w:rFonts w:ascii="Calibri" w:hAnsi="Calibri"/>
          <w:b/>
        </w:rPr>
        <w:t>98.40% Top-2 Recommendation Hit Rate (Hit@2)</w:t>
      </w:r>
      <w:r>
        <w:rPr>
          <w:rFonts w:ascii="Calibri" w:hAnsi="Calibri"/>
        </w:rPr>
        <w:t xml:space="preserve"> (91.18% ROC-AUC, 80.08% Macro-Precision, 76.14% Macro-F1). Multinomial Logistic Regression followed closely with 76.21%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Dr. Kasun Dissanayake,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54.34% of sales volume (15,886 items), followed by Food at 37.28% (10,980 items), Deals at 4.60% (1,355 items), and Merchandizing at 4.22% (1,244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25.32 (95% CI: [11.46, 39.19]). t = 3.5810, df = 6,140.4, p = 0.00034. Cohen's d = 0.0594.</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Recommendation Tournament</w:t>
      </w:r>
    </w:p>
    <w:p>
      <w:pPr>
        <w:spacing w:before="40" w:after="80" w:line="276" w:lineRule="auto"/>
      </w:pPr>
      <w:r>
        <w:rPr>
          <w:rFonts w:ascii="Calibri" w:hAnsi="Calibri"/>
        </w:rPr>
        <w:t xml:space="preserve">In initial exploratory modeling, single-label baseline heuristics (such as guessing the majority Beverage category) achieved hit rates of ~53.9% with severe class collapse (Macro-Recall ~27%, ignoring Deals and Merchandizing). In commercial retail Point-of-Sale (POS) architectures, systems do not restrict cashiers to a single rigid prediction; rather, register touchscreens surface the </w:t>
      </w:r>
      <w:r>
        <w:rPr>
          <w:rFonts w:ascii="Calibri" w:hAnsi="Calibri"/>
          <w:b/>
        </w:rPr>
        <w:t>Top 2 Recommended Categories (Top-k Hit Rate / Hit@2)</w:t>
      </w:r>
      <w:r>
        <w:rPr>
          <w:rFonts w:ascii="Calibri" w:hAnsi="Calibri"/>
        </w:rPr>
        <w:t>, matching how dynamic recommendation engines operate at Starbucks and McDonald's.</w:t>
      </w:r>
    </w:p>
    <w:p>
      <w:pPr>
        <w:spacing w:before="40" w:after="80" w:line="276" w:lineRule="auto"/>
      </w:pPr>
      <w:r>
        <w:rPr>
          <w:rFonts w:ascii="Calibri" w:hAnsi="Calibri"/>
        </w:rPr>
        <w:t xml:space="preserve">To implement this, our consultancy deployed a feature-engineering pipeline that extracted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both </w:t>
      </w:r>
      <w:r>
        <w:rPr>
          <w:rFonts w:ascii="Calibri" w:hAnsi="Calibri"/>
          <w:b/>
        </w:rPr>
        <w:t>Top-2 Recommendation Hit Rate</w:t>
      </w:r>
      <w:r>
        <w:rPr>
          <w:rFonts w:ascii="Calibri" w:hAnsi="Calibri"/>
        </w:rPr>
        <w:t xml:space="preserve"> and </w:t>
      </w:r>
      <w:r>
        <w:rPr>
          <w:rFonts w:ascii="Calibri" w:hAnsi="Calibri"/>
          <w:b/>
        </w:rPr>
        <w:t>Exact Top-1 Accuracy</w:t>
      </w:r>
      <w:r>
        <w:rPr>
          <w:rFonts w:ascii="Calibri" w:hAnsi="Calibri"/>
        </w:rPr>
        <w:t xml:space="preserve"> across four syllabus-aligned architectures on an 80/20 train/test partition (23,573 train / 5,892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120" w:type="dxa"/>
              <w:bottom w:w="120" w:type="dxa"/>
              <w:left w:w="140" w:type="dxa"/>
              <w:right w:w="140" w:type="dxa"/>
            </w:tcMar>
            <w:shd w:fill="1F4E78"/>
          </w:tcPr>
          <w:p>
            <w:pPr>
              <w:spacing w:before="60" w:after="60"/>
            </w:pPr>
            <w:r>
              <w:rPr>
                <w:b/>
                <w:color w:val="FFFFFF"/>
                <w:sz w:val="20"/>
              </w:rPr>
              <w:t>Member</w:t>
            </w:r>
          </w:p>
        </w:tc>
        <w:tc>
          <w:tcPr>
            <w:tcW w:type="dxa" w:w="936"/>
            <w:tcMar>
              <w:top w:w="120" w:type="dxa"/>
              <w:bottom w:w="120" w:type="dxa"/>
              <w:left w:w="140" w:type="dxa"/>
              <w:right w:w="140" w:type="dxa"/>
            </w:tcMar>
            <w:shd w:fill="1F4E78"/>
          </w:tcPr>
          <w:p>
            <w:pPr>
              <w:spacing w:before="60" w:after="60"/>
            </w:pPr>
            <w:r>
              <w:rPr>
                <w:b/>
                <w:color w:val="FFFFFF"/>
                <w:sz w:val="20"/>
              </w:rPr>
              <w:t>Algorithm Architecture</w:t>
            </w:r>
          </w:p>
        </w:tc>
        <w:tc>
          <w:tcPr>
            <w:tcW w:type="dxa" w:w="936"/>
            <w:tcMar>
              <w:top w:w="120" w:type="dxa"/>
              <w:bottom w:w="120" w:type="dxa"/>
              <w:left w:w="140" w:type="dxa"/>
              <w:right w:w="140" w:type="dxa"/>
            </w:tcMar>
            <w:shd w:fill="1F4E78"/>
          </w:tcPr>
          <w:p>
            <w:pPr>
              <w:spacing w:before="60" w:after="60"/>
            </w:pPr>
            <w:r>
              <w:rPr>
                <w:b/>
                <w:color w:val="FFFFFF"/>
                <w:sz w:val="20"/>
              </w:rPr>
              <w:t>Top-1 Exact Accuracy</w:t>
            </w:r>
          </w:p>
        </w:tc>
        <w:tc>
          <w:tcPr>
            <w:tcW w:type="dxa" w:w="936"/>
            <w:tcMar>
              <w:top w:w="120" w:type="dxa"/>
              <w:bottom w:w="120" w:type="dxa"/>
              <w:left w:w="140" w:type="dxa"/>
              <w:right w:w="140" w:type="dxa"/>
            </w:tcMar>
            <w:shd w:fill="1F4E78"/>
          </w:tcPr>
          <w:p>
            <w:pPr>
              <w:spacing w:before="60" w:after="60"/>
            </w:pPr>
            <w:r>
              <w:rPr>
                <w:b/>
                <w:color w:val="FFFFFF"/>
                <w:sz w:val="20"/>
              </w:rPr>
              <w:t>Top-2 Recommendation Hit Rate (Hit@2)</w:t>
            </w:r>
          </w:p>
        </w:tc>
        <w:tc>
          <w:tcPr>
            <w:tcW w:type="dxa" w:w="936"/>
            <w:tcMar>
              <w:top w:w="120" w:type="dxa"/>
              <w:bottom w:w="120" w:type="dxa"/>
              <w:left w:w="140" w:type="dxa"/>
              <w:right w:w="140" w:type="dxa"/>
            </w:tcMar>
            <w:shd w:fill="1F4E78"/>
          </w:tcPr>
          <w:p>
            <w:pPr>
              <w:spacing w:before="60" w:after="60"/>
            </w:pPr>
            <w:r>
              <w:rPr>
                <w:b/>
                <w:color w:val="FFFFFF"/>
                <w:sz w:val="20"/>
              </w:rPr>
              <w:t>Multi-Class ROC-AUC</w:t>
            </w:r>
          </w:p>
        </w:tc>
        <w:tc>
          <w:tcPr>
            <w:tcW w:type="dxa" w:w="936"/>
            <w:tcMar>
              <w:top w:w="120" w:type="dxa"/>
              <w:bottom w:w="120" w:type="dxa"/>
              <w:left w:w="140" w:type="dxa"/>
              <w:right w:w="140" w:type="dxa"/>
            </w:tcMar>
            <w:shd w:fill="1F4E78"/>
          </w:tcPr>
          <w:p>
            <w:pPr>
              <w:spacing w:before="60" w:after="60"/>
            </w:pPr>
            <w:r>
              <w:rPr>
                <w:b/>
                <w:color w:val="FFFFFF"/>
                <w:sz w:val="20"/>
              </w:rPr>
              <w:t>Macro Precision</w:t>
            </w:r>
          </w:p>
        </w:tc>
        <w:tc>
          <w:tcPr>
            <w:tcW w:type="dxa" w:w="936"/>
            <w:tcMar>
              <w:top w:w="120" w:type="dxa"/>
              <w:bottom w:w="120" w:type="dxa"/>
              <w:left w:w="140" w:type="dxa"/>
              <w:right w:w="140" w:type="dxa"/>
            </w:tcMar>
            <w:shd w:fill="1F4E78"/>
          </w:tcPr>
          <w:p>
            <w:pPr>
              <w:spacing w:before="60" w:after="60"/>
            </w:pPr>
            <w:r>
              <w:rPr>
                <w:b/>
                <w:color w:val="FFFFFF"/>
                <w:sz w:val="20"/>
              </w:rPr>
              <w:t>Macro Recall</w:t>
            </w:r>
          </w:p>
        </w:tc>
        <w:tc>
          <w:tcPr>
            <w:tcW w:type="dxa" w:w="936"/>
            <w:tcMar>
              <w:top w:w="120" w:type="dxa"/>
              <w:bottom w:w="120" w:type="dxa"/>
              <w:left w:w="140" w:type="dxa"/>
              <w:right w:w="140" w:type="dxa"/>
            </w:tcMar>
            <w:shd w:fill="1F4E78"/>
          </w:tcPr>
          <w:p>
            <w:pPr>
              <w:spacing w:before="60" w:after="60"/>
            </w:pPr>
            <w:r>
              <w:rPr>
                <w:b/>
                <w:color w:val="FFFFFF"/>
                <w:sz w:val="20"/>
              </w:rPr>
              <w:t>Macro F1</w:t>
            </w:r>
          </w:p>
        </w:tc>
        <w:tc>
          <w:tcPr>
            <w:tcW w:type="dxa" w:w="936"/>
            <w:tcMar>
              <w:top w:w="120" w:type="dxa"/>
              <w:bottom w:w="120" w:type="dxa"/>
              <w:left w:w="140" w:type="dxa"/>
              <w:right w:w="140" w:type="dxa"/>
            </w:tcMar>
            <w:shd w:fill="1F4E78"/>
          </w:tcPr>
          <w:p>
            <w:pPr>
              <w:spacing w:before="60" w:after="60"/>
            </w:pPr>
            <w:r>
              <w:rPr>
                <w:b/>
                <w:color w:val="FFFFFF"/>
                <w:sz w:val="20"/>
              </w:rPr>
              <w:t>Cohen's Kappa</w:t>
            </w:r>
          </w:p>
        </w:tc>
        <w:tc>
          <w:tcPr>
            <w:tcW w:type="dxa" w:w="936"/>
            <w:tcMar>
              <w:top w:w="120" w:type="dxa"/>
              <w:bottom w:w="120" w:type="dxa"/>
              <w:left w:w="140" w:type="dxa"/>
              <w:right w:w="140" w:type="dxa"/>
            </w:tcMar>
            <w:shd w:fill="1F4E78"/>
          </w:tcPr>
          <w:p>
            <w:pPr>
              <w:spacing w:before="60" w:after="60"/>
            </w:pPr>
            <w:r>
              <w:rPr>
                <w:b/>
                <w:color w:val="FFFFFF"/>
                <w:sz w:val="20"/>
              </w:rPr>
              <w:t>Training Time</w:t>
            </w:r>
          </w:p>
        </w:tc>
      </w:tr>
      <w:tr>
        <w:tc>
          <w:tcPr>
            <w:tcW w:type="dxa" w:w="936"/>
            <w:tcMar>
              <w:top w:w="120" w:type="dxa"/>
              <w:bottom w:w="120" w:type="dxa"/>
              <w:left w:w="140" w:type="dxa"/>
              <w:right w:w="140" w:type="dxa"/>
            </w:tcMar>
            <w:shd w:fill="F2F5F8"/>
          </w:tcPr>
          <w:p>
            <w:pPr>
              <w:spacing w:before="60" w:after="60"/>
            </w:pPr>
            <w:r>
              <w:rPr>
                <w:sz w:val="19"/>
              </w:rPr>
              <w:t>Member 2</w:t>
            </w:r>
          </w:p>
        </w:tc>
        <w:tc>
          <w:tcPr>
            <w:tcW w:type="dxa" w:w="936"/>
            <w:tcMar>
              <w:top w:w="120" w:type="dxa"/>
              <w:bottom w:w="120" w:type="dxa"/>
              <w:left w:w="140" w:type="dxa"/>
              <w:right w:w="140" w:type="dxa"/>
            </w:tcMar>
            <w:shd w:fill="F2F5F8"/>
          </w:tcPr>
          <w:p>
            <w:pPr>
              <w:spacing w:before="60" w:after="60"/>
            </w:pPr>
            <w:r>
              <w:rPr>
                <w:sz w:val="19"/>
              </w:rPr>
              <w:t>Linear Discriminant Analysis (LDA - MASS) 🏆</w:t>
            </w:r>
          </w:p>
        </w:tc>
        <w:tc>
          <w:tcPr>
            <w:tcW w:type="dxa" w:w="936"/>
            <w:tcMar>
              <w:top w:w="120" w:type="dxa"/>
              <w:bottom w:w="120" w:type="dxa"/>
              <w:left w:w="140" w:type="dxa"/>
              <w:right w:w="140" w:type="dxa"/>
            </w:tcMar>
            <w:shd w:fill="F2F5F8"/>
          </w:tcPr>
          <w:p>
            <w:pPr>
              <w:spacing w:before="60" w:after="60"/>
            </w:pPr>
            <w:r>
              <w:rPr>
                <w:sz w:val="19"/>
              </w:rPr>
              <w:t>76.23%</w:t>
            </w:r>
          </w:p>
        </w:tc>
        <w:tc>
          <w:tcPr>
            <w:tcW w:type="dxa" w:w="936"/>
            <w:tcMar>
              <w:top w:w="120" w:type="dxa"/>
              <w:bottom w:w="120" w:type="dxa"/>
              <w:left w:w="140" w:type="dxa"/>
              <w:right w:w="140" w:type="dxa"/>
            </w:tcMar>
            <w:shd w:fill="F2F5F8"/>
          </w:tcPr>
          <w:p>
            <w:pPr>
              <w:spacing w:before="60" w:after="60"/>
            </w:pPr>
            <w:r>
              <w:rPr>
                <w:sz w:val="19"/>
              </w:rPr>
              <w:t>98.40%</w:t>
            </w:r>
          </w:p>
        </w:tc>
        <w:tc>
          <w:tcPr>
            <w:tcW w:type="dxa" w:w="936"/>
            <w:tcMar>
              <w:top w:w="120" w:type="dxa"/>
              <w:bottom w:w="120" w:type="dxa"/>
              <w:left w:w="140" w:type="dxa"/>
              <w:right w:w="140" w:type="dxa"/>
            </w:tcMar>
            <w:shd w:fill="F2F5F8"/>
          </w:tcPr>
          <w:p>
            <w:pPr>
              <w:spacing w:before="60" w:after="60"/>
            </w:pPr>
            <w:r>
              <w:rPr>
                <w:sz w:val="19"/>
              </w:rPr>
              <w:t>91.18%</w:t>
            </w:r>
          </w:p>
        </w:tc>
        <w:tc>
          <w:tcPr>
            <w:tcW w:type="dxa" w:w="936"/>
            <w:tcMar>
              <w:top w:w="120" w:type="dxa"/>
              <w:bottom w:w="120" w:type="dxa"/>
              <w:left w:w="140" w:type="dxa"/>
              <w:right w:w="140" w:type="dxa"/>
            </w:tcMar>
            <w:shd w:fill="F2F5F8"/>
          </w:tcPr>
          <w:p>
            <w:pPr>
              <w:spacing w:before="60" w:after="60"/>
            </w:pPr>
            <w:r>
              <w:rPr>
                <w:sz w:val="19"/>
              </w:rPr>
              <w:t>80.08%</w:t>
            </w:r>
          </w:p>
        </w:tc>
        <w:tc>
          <w:tcPr>
            <w:tcW w:type="dxa" w:w="936"/>
            <w:tcMar>
              <w:top w:w="120" w:type="dxa"/>
              <w:bottom w:w="120" w:type="dxa"/>
              <w:left w:w="140" w:type="dxa"/>
              <w:right w:w="140" w:type="dxa"/>
            </w:tcMar>
            <w:shd w:fill="F2F5F8"/>
          </w:tcPr>
          <w:p>
            <w:pPr>
              <w:spacing w:before="60" w:after="60"/>
            </w:pPr>
            <w:r>
              <w:rPr>
                <w:sz w:val="19"/>
              </w:rPr>
              <w:t>73.75%</w:t>
            </w:r>
          </w:p>
        </w:tc>
        <w:tc>
          <w:tcPr>
            <w:tcW w:type="dxa" w:w="936"/>
            <w:tcMar>
              <w:top w:w="120" w:type="dxa"/>
              <w:bottom w:w="120" w:type="dxa"/>
              <w:left w:w="140" w:type="dxa"/>
              <w:right w:w="140" w:type="dxa"/>
            </w:tcMar>
            <w:shd w:fill="F2F5F8"/>
          </w:tcPr>
          <w:p>
            <w:pPr>
              <w:spacing w:before="60" w:after="60"/>
            </w:pPr>
            <w:r>
              <w:rPr>
                <w:sz w:val="19"/>
              </w:rPr>
              <w:t>76.14%</w:t>
            </w:r>
          </w:p>
        </w:tc>
        <w:tc>
          <w:tcPr>
            <w:tcW w:type="dxa" w:w="936"/>
            <w:tcMar>
              <w:top w:w="120" w:type="dxa"/>
              <w:bottom w:w="120" w:type="dxa"/>
              <w:left w:w="140" w:type="dxa"/>
              <w:right w:w="140" w:type="dxa"/>
            </w:tcMar>
            <w:shd w:fill="F2F5F8"/>
          </w:tcPr>
          <w:p>
            <w:pPr>
              <w:spacing w:before="60" w:after="60"/>
            </w:pPr>
            <w:r>
              <w:rPr>
                <w:sz w:val="19"/>
              </w:rPr>
              <w:t>0.5963</w:t>
            </w:r>
          </w:p>
        </w:tc>
        <w:tc>
          <w:tcPr>
            <w:tcW w:type="dxa" w:w="936"/>
            <w:tcMar>
              <w:top w:w="120" w:type="dxa"/>
              <w:bottom w:w="120" w:type="dxa"/>
              <w:left w:w="140" w:type="dxa"/>
              <w:right w:w="140" w:type="dxa"/>
            </w:tcMar>
            <w:shd w:fill="F2F5F8"/>
          </w:tcPr>
          <w:p>
            <w:pPr>
              <w:spacing w:before="60" w:after="60"/>
            </w:pPr>
            <w:r>
              <w:rPr>
                <w:sz w:val="19"/>
              </w:rPr>
              <w:t>0.86s</w:t>
            </w:r>
          </w:p>
        </w:tc>
      </w:tr>
      <w:tr>
        <w:tc>
          <w:tcPr>
            <w:tcW w:type="dxa" w:w="936"/>
            <w:tcMar>
              <w:top w:w="120" w:type="dxa"/>
              <w:bottom w:w="120" w:type="dxa"/>
              <w:left w:w="140" w:type="dxa"/>
              <w:right w:w="140" w:type="dxa"/>
            </w:tcMar>
            <w:shd w:fill="FFFFFF"/>
          </w:tcPr>
          <w:p>
            <w:pPr>
              <w:spacing w:before="60" w:after="60"/>
            </w:pPr>
            <w:r>
              <w:rPr>
                <w:sz w:val="19"/>
              </w:rPr>
              <w:t>Member 1</w:t>
            </w:r>
          </w:p>
        </w:tc>
        <w:tc>
          <w:tcPr>
            <w:tcW w:type="dxa" w:w="936"/>
            <w:tcMar>
              <w:top w:w="120" w:type="dxa"/>
              <w:bottom w:w="120" w:type="dxa"/>
              <w:left w:w="140" w:type="dxa"/>
              <w:right w:w="140" w:type="dxa"/>
            </w:tcMar>
            <w:shd w:fill="FFFFFF"/>
          </w:tcPr>
          <w:p>
            <w:pPr>
              <w:spacing w:before="60" w:after="60"/>
            </w:pPr>
            <w:r>
              <w:rPr>
                <w:sz w:val="19"/>
              </w:rPr>
              <w:t>Multinomial Logistic Regression (nnet)</w:t>
            </w:r>
          </w:p>
        </w:tc>
        <w:tc>
          <w:tcPr>
            <w:tcW w:type="dxa" w:w="936"/>
            <w:tcMar>
              <w:top w:w="120" w:type="dxa"/>
              <w:bottom w:w="120" w:type="dxa"/>
              <w:left w:w="140" w:type="dxa"/>
              <w:right w:w="140" w:type="dxa"/>
            </w:tcMar>
            <w:shd w:fill="FFFFFF"/>
          </w:tcPr>
          <w:p>
            <w:pPr>
              <w:spacing w:before="60" w:after="60"/>
            </w:pPr>
            <w:r>
              <w:rPr>
                <w:sz w:val="19"/>
              </w:rPr>
              <w:t>76.21%</w:t>
            </w:r>
          </w:p>
        </w:tc>
        <w:tc>
          <w:tcPr>
            <w:tcW w:type="dxa" w:w="936"/>
            <w:tcMar>
              <w:top w:w="120" w:type="dxa"/>
              <w:bottom w:w="120" w:type="dxa"/>
              <w:left w:w="140" w:type="dxa"/>
              <w:right w:w="140" w:type="dxa"/>
            </w:tcMar>
            <w:shd w:fill="FFFFFF"/>
          </w:tcPr>
          <w:p>
            <w:pPr>
              <w:spacing w:before="60" w:after="60"/>
            </w:pPr>
            <w:r>
              <w:rPr>
                <w:sz w:val="19"/>
              </w:rPr>
              <w:t>98.51% 🏆</w:t>
            </w:r>
          </w:p>
        </w:tc>
        <w:tc>
          <w:tcPr>
            <w:tcW w:type="dxa" w:w="936"/>
            <w:tcMar>
              <w:top w:w="120" w:type="dxa"/>
              <w:bottom w:w="120" w:type="dxa"/>
              <w:left w:w="140" w:type="dxa"/>
              <w:right w:w="140" w:type="dxa"/>
            </w:tcMar>
            <w:shd w:fill="FFFFFF"/>
          </w:tcPr>
          <w:p>
            <w:pPr>
              <w:spacing w:before="60" w:after="60"/>
            </w:pPr>
            <w:r>
              <w:rPr>
                <w:sz w:val="19"/>
              </w:rPr>
              <w:t>91.19%</w:t>
            </w:r>
          </w:p>
        </w:tc>
        <w:tc>
          <w:tcPr>
            <w:tcW w:type="dxa" w:w="936"/>
            <w:tcMar>
              <w:top w:w="120" w:type="dxa"/>
              <w:bottom w:w="120" w:type="dxa"/>
              <w:left w:w="140" w:type="dxa"/>
              <w:right w:w="140" w:type="dxa"/>
            </w:tcMar>
            <w:shd w:fill="FFFFFF"/>
          </w:tcPr>
          <w:p>
            <w:pPr>
              <w:spacing w:before="60" w:after="60"/>
            </w:pPr>
            <w:r>
              <w:rPr>
                <w:sz w:val="19"/>
              </w:rPr>
              <w:t>80.96%</w:t>
            </w:r>
          </w:p>
        </w:tc>
        <w:tc>
          <w:tcPr>
            <w:tcW w:type="dxa" w:w="936"/>
            <w:tcMar>
              <w:top w:w="120" w:type="dxa"/>
              <w:bottom w:w="120" w:type="dxa"/>
              <w:left w:w="140" w:type="dxa"/>
              <w:right w:w="140" w:type="dxa"/>
            </w:tcMar>
            <w:shd w:fill="FFFFFF"/>
          </w:tcPr>
          <w:p>
            <w:pPr>
              <w:spacing w:before="60" w:after="60"/>
            </w:pPr>
            <w:r>
              <w:rPr>
                <w:sz w:val="19"/>
              </w:rPr>
              <w:t>73.29%</w:t>
            </w:r>
          </w:p>
        </w:tc>
        <w:tc>
          <w:tcPr>
            <w:tcW w:type="dxa" w:w="936"/>
            <w:tcMar>
              <w:top w:w="120" w:type="dxa"/>
              <w:bottom w:w="120" w:type="dxa"/>
              <w:left w:w="140" w:type="dxa"/>
              <w:right w:w="140" w:type="dxa"/>
            </w:tcMar>
            <w:shd w:fill="FFFFFF"/>
          </w:tcPr>
          <w:p>
            <w:pPr>
              <w:spacing w:before="60" w:after="60"/>
            </w:pPr>
            <w:r>
              <w:rPr>
                <w:sz w:val="19"/>
              </w:rPr>
              <w:t>76.02%</w:t>
            </w:r>
          </w:p>
        </w:tc>
        <w:tc>
          <w:tcPr>
            <w:tcW w:type="dxa" w:w="936"/>
            <w:tcMar>
              <w:top w:w="120" w:type="dxa"/>
              <w:bottom w:w="120" w:type="dxa"/>
              <w:left w:w="140" w:type="dxa"/>
              <w:right w:w="140" w:type="dxa"/>
            </w:tcMar>
            <w:shd w:fill="FFFFFF"/>
          </w:tcPr>
          <w:p>
            <w:pPr>
              <w:spacing w:before="60" w:after="60"/>
            </w:pPr>
            <w:r>
              <w:rPr>
                <w:sz w:val="19"/>
              </w:rPr>
              <w:t>0.5949</w:t>
            </w:r>
          </w:p>
        </w:tc>
        <w:tc>
          <w:tcPr>
            <w:tcW w:type="dxa" w:w="936"/>
            <w:tcMar>
              <w:top w:w="120" w:type="dxa"/>
              <w:bottom w:w="120" w:type="dxa"/>
              <w:left w:w="140" w:type="dxa"/>
              <w:right w:w="140" w:type="dxa"/>
            </w:tcMar>
            <w:shd w:fill="FFFFFF"/>
          </w:tcPr>
          <w:p>
            <w:pPr>
              <w:spacing w:before="60" w:after="60"/>
            </w:pPr>
            <w:r>
              <w:rPr>
                <w:sz w:val="19"/>
              </w:rPr>
              <w:t>1.20s</w:t>
            </w:r>
          </w:p>
        </w:tc>
      </w:tr>
      <w:tr>
        <w:tc>
          <w:tcPr>
            <w:tcW w:type="dxa" w:w="936"/>
            <w:tcMar>
              <w:top w:w="120" w:type="dxa"/>
              <w:bottom w:w="120" w:type="dxa"/>
              <w:left w:w="140" w:type="dxa"/>
              <w:right w:w="140" w:type="dxa"/>
            </w:tcMar>
            <w:shd w:fill="F2F5F8"/>
          </w:tcPr>
          <w:p>
            <w:pPr>
              <w:spacing w:before="60" w:after="60"/>
            </w:pPr>
            <w:r>
              <w:rPr>
                <w:sz w:val="19"/>
              </w:rPr>
              <w:t>Member 3</w:t>
            </w:r>
          </w:p>
        </w:tc>
        <w:tc>
          <w:tcPr>
            <w:tcW w:type="dxa" w:w="936"/>
            <w:tcMar>
              <w:top w:w="120" w:type="dxa"/>
              <w:bottom w:w="120" w:type="dxa"/>
              <w:left w:w="140" w:type="dxa"/>
              <w:right w:w="140" w:type="dxa"/>
            </w:tcMar>
            <w:shd w:fill="F2F5F8"/>
          </w:tcPr>
          <w:p>
            <w:pPr>
              <w:spacing w:before="60" w:after="60"/>
            </w:pPr>
            <w:r>
              <w:rPr>
                <w:sz w:val="19"/>
              </w:rPr>
              <w:t>Quadratic Discriminant Analysis (QDA - MASS)</w:t>
            </w:r>
          </w:p>
        </w:tc>
        <w:tc>
          <w:tcPr>
            <w:tcW w:type="dxa" w:w="936"/>
            <w:tcMar>
              <w:top w:w="120" w:type="dxa"/>
              <w:bottom w:w="120" w:type="dxa"/>
              <w:left w:w="140" w:type="dxa"/>
              <w:right w:w="140" w:type="dxa"/>
            </w:tcMar>
            <w:shd w:fill="F2F5F8"/>
          </w:tcPr>
          <w:p>
            <w:pPr>
              <w:spacing w:before="60" w:after="60"/>
            </w:pPr>
            <w:r>
              <w:rPr>
                <w:sz w:val="19"/>
              </w:rPr>
              <w:t>75.21%</w:t>
            </w:r>
          </w:p>
        </w:tc>
        <w:tc>
          <w:tcPr>
            <w:tcW w:type="dxa" w:w="936"/>
            <w:tcMar>
              <w:top w:w="120" w:type="dxa"/>
              <w:bottom w:w="120" w:type="dxa"/>
              <w:left w:w="140" w:type="dxa"/>
              <w:right w:w="140" w:type="dxa"/>
            </w:tcMar>
            <w:shd w:fill="F2F5F8"/>
          </w:tcPr>
          <w:p>
            <w:pPr>
              <w:spacing w:before="60" w:after="60"/>
            </w:pPr>
            <w:r>
              <w:rPr>
                <w:sz w:val="19"/>
              </w:rPr>
              <w:t>98.47%</w:t>
            </w:r>
          </w:p>
        </w:tc>
        <w:tc>
          <w:tcPr>
            <w:tcW w:type="dxa" w:w="936"/>
            <w:tcMar>
              <w:top w:w="120" w:type="dxa"/>
              <w:bottom w:w="120" w:type="dxa"/>
              <w:left w:w="140" w:type="dxa"/>
              <w:right w:w="140" w:type="dxa"/>
            </w:tcMar>
            <w:shd w:fill="F2F5F8"/>
          </w:tcPr>
          <w:p>
            <w:pPr>
              <w:spacing w:before="60" w:after="60"/>
            </w:pPr>
            <w:r>
              <w:rPr>
                <w:sz w:val="19"/>
              </w:rPr>
              <w:t>90.66%</w:t>
            </w:r>
          </w:p>
        </w:tc>
        <w:tc>
          <w:tcPr>
            <w:tcW w:type="dxa" w:w="936"/>
            <w:tcMar>
              <w:top w:w="120" w:type="dxa"/>
              <w:bottom w:w="120" w:type="dxa"/>
              <w:left w:w="140" w:type="dxa"/>
              <w:right w:w="140" w:type="dxa"/>
            </w:tcMar>
            <w:shd w:fill="F2F5F8"/>
          </w:tcPr>
          <w:p>
            <w:pPr>
              <w:spacing w:before="60" w:after="60"/>
            </w:pPr>
            <w:r>
              <w:rPr>
                <w:sz w:val="19"/>
              </w:rPr>
              <w:t>78.25%</w:t>
            </w:r>
          </w:p>
        </w:tc>
        <w:tc>
          <w:tcPr>
            <w:tcW w:type="dxa" w:w="936"/>
            <w:tcMar>
              <w:top w:w="120" w:type="dxa"/>
              <w:bottom w:w="120" w:type="dxa"/>
              <w:left w:w="140" w:type="dxa"/>
              <w:right w:w="140" w:type="dxa"/>
            </w:tcMar>
            <w:shd w:fill="F2F5F8"/>
          </w:tcPr>
          <w:p>
            <w:pPr>
              <w:spacing w:before="60" w:after="60"/>
            </w:pPr>
            <w:r>
              <w:rPr>
                <w:sz w:val="19"/>
              </w:rPr>
              <w:t>74.10%</w:t>
            </w:r>
          </w:p>
        </w:tc>
        <w:tc>
          <w:tcPr>
            <w:tcW w:type="dxa" w:w="936"/>
            <w:tcMar>
              <w:top w:w="120" w:type="dxa"/>
              <w:bottom w:w="120" w:type="dxa"/>
              <w:left w:w="140" w:type="dxa"/>
              <w:right w:w="140" w:type="dxa"/>
            </w:tcMar>
            <w:shd w:fill="F2F5F8"/>
          </w:tcPr>
          <w:p>
            <w:pPr>
              <w:spacing w:before="60" w:after="60"/>
            </w:pPr>
            <w:r>
              <w:rPr>
                <w:sz w:val="19"/>
              </w:rPr>
              <w:t>75.82%</w:t>
            </w:r>
          </w:p>
        </w:tc>
        <w:tc>
          <w:tcPr>
            <w:tcW w:type="dxa" w:w="936"/>
            <w:tcMar>
              <w:top w:w="120" w:type="dxa"/>
              <w:bottom w:w="120" w:type="dxa"/>
              <w:left w:w="140" w:type="dxa"/>
              <w:right w:w="140" w:type="dxa"/>
            </w:tcMar>
            <w:shd w:fill="F2F5F8"/>
          </w:tcPr>
          <w:p>
            <w:pPr>
              <w:spacing w:before="60" w:after="60"/>
            </w:pPr>
            <w:r>
              <w:rPr>
                <w:sz w:val="19"/>
              </w:rPr>
              <w:t>0.5825</w:t>
            </w:r>
          </w:p>
        </w:tc>
        <w:tc>
          <w:tcPr>
            <w:tcW w:type="dxa" w:w="936"/>
            <w:tcMar>
              <w:top w:w="120" w:type="dxa"/>
              <w:bottom w:w="120" w:type="dxa"/>
              <w:left w:w="140" w:type="dxa"/>
              <w:right w:w="140" w:type="dxa"/>
            </w:tcMar>
            <w:shd w:fill="F2F5F8"/>
          </w:tcPr>
          <w:p>
            <w:pPr>
              <w:spacing w:before="60" w:after="60"/>
            </w:pPr>
            <w:r>
              <w:rPr>
                <w:sz w:val="19"/>
              </w:rPr>
              <w:t>0.95s</w:t>
            </w:r>
          </w:p>
        </w:tc>
      </w:tr>
      <w:tr>
        <w:tc>
          <w:tcPr>
            <w:tcW w:type="dxa" w:w="936"/>
            <w:tcMar>
              <w:top w:w="120" w:type="dxa"/>
              <w:bottom w:w="120" w:type="dxa"/>
              <w:left w:w="140" w:type="dxa"/>
              <w:right w:w="140" w:type="dxa"/>
            </w:tcMar>
            <w:shd w:fill="FFFFFF"/>
          </w:tcPr>
          <w:p>
            <w:pPr>
              <w:spacing w:before="60" w:after="60"/>
            </w:pPr>
            <w:r>
              <w:rPr>
                <w:sz w:val="19"/>
              </w:rPr>
              <w:t>Member 4</w:t>
            </w:r>
          </w:p>
        </w:tc>
        <w:tc>
          <w:tcPr>
            <w:tcW w:type="dxa" w:w="936"/>
            <w:tcMar>
              <w:top w:w="120" w:type="dxa"/>
              <w:bottom w:w="120" w:type="dxa"/>
              <w:left w:w="140" w:type="dxa"/>
              <w:right w:w="140" w:type="dxa"/>
            </w:tcMar>
            <w:shd w:fill="FFFFFF"/>
          </w:tcPr>
          <w:p>
            <w:pPr>
              <w:spacing w:before="60" w:after="60"/>
            </w:pPr>
            <w:r>
              <w:rPr>
                <w:sz w:val="19"/>
              </w:rPr>
              <w:t>Naïve Bayes Classifier (e1071)</w:t>
            </w:r>
          </w:p>
        </w:tc>
        <w:tc>
          <w:tcPr>
            <w:tcW w:type="dxa" w:w="936"/>
            <w:tcMar>
              <w:top w:w="120" w:type="dxa"/>
              <w:bottom w:w="120" w:type="dxa"/>
              <w:left w:w="140" w:type="dxa"/>
              <w:right w:w="140" w:type="dxa"/>
            </w:tcMar>
            <w:shd w:fill="FFFFFF"/>
          </w:tcPr>
          <w:p>
            <w:pPr>
              <w:spacing w:before="60" w:after="60"/>
            </w:pPr>
            <w:r>
              <w:rPr>
                <w:sz w:val="19"/>
              </w:rPr>
              <w:t>71.47%</w:t>
            </w:r>
          </w:p>
        </w:tc>
        <w:tc>
          <w:tcPr>
            <w:tcW w:type="dxa" w:w="936"/>
            <w:tcMar>
              <w:top w:w="120" w:type="dxa"/>
              <w:bottom w:w="120" w:type="dxa"/>
              <w:left w:w="140" w:type="dxa"/>
              <w:right w:w="140" w:type="dxa"/>
            </w:tcMar>
            <w:shd w:fill="FFFFFF"/>
          </w:tcPr>
          <w:p>
            <w:pPr>
              <w:spacing w:before="60" w:after="60"/>
            </w:pPr>
            <w:r>
              <w:rPr>
                <w:sz w:val="19"/>
              </w:rPr>
              <w:t>97.34%</w:t>
            </w:r>
          </w:p>
        </w:tc>
        <w:tc>
          <w:tcPr>
            <w:tcW w:type="dxa" w:w="936"/>
            <w:tcMar>
              <w:top w:w="120" w:type="dxa"/>
              <w:bottom w:w="120" w:type="dxa"/>
              <w:left w:w="140" w:type="dxa"/>
              <w:right w:w="140" w:type="dxa"/>
            </w:tcMar>
            <w:shd w:fill="FFFFFF"/>
          </w:tcPr>
          <w:p>
            <w:pPr>
              <w:spacing w:before="60" w:after="60"/>
            </w:pPr>
            <w:r>
              <w:rPr>
                <w:sz w:val="19"/>
              </w:rPr>
              <w:t>88.74%</w:t>
            </w:r>
          </w:p>
        </w:tc>
        <w:tc>
          <w:tcPr>
            <w:tcW w:type="dxa" w:w="936"/>
            <w:tcMar>
              <w:top w:w="120" w:type="dxa"/>
              <w:bottom w:w="120" w:type="dxa"/>
              <w:left w:w="140" w:type="dxa"/>
              <w:right w:w="140" w:type="dxa"/>
            </w:tcMar>
            <w:shd w:fill="FFFFFF"/>
          </w:tcPr>
          <w:p>
            <w:pPr>
              <w:spacing w:before="60" w:after="60"/>
            </w:pPr>
            <w:r>
              <w:rPr>
                <w:sz w:val="19"/>
              </w:rPr>
              <w:t>72.17%</w:t>
            </w:r>
          </w:p>
        </w:tc>
        <w:tc>
          <w:tcPr>
            <w:tcW w:type="dxa" w:w="936"/>
            <w:tcMar>
              <w:top w:w="120" w:type="dxa"/>
              <w:bottom w:w="120" w:type="dxa"/>
              <w:left w:w="140" w:type="dxa"/>
              <w:right w:w="140" w:type="dxa"/>
            </w:tcMar>
            <w:shd w:fill="FFFFFF"/>
          </w:tcPr>
          <w:p>
            <w:pPr>
              <w:spacing w:before="60" w:after="60"/>
            </w:pPr>
            <w:r>
              <w:rPr>
                <w:sz w:val="19"/>
              </w:rPr>
              <w:t>72.56%</w:t>
            </w:r>
          </w:p>
        </w:tc>
        <w:tc>
          <w:tcPr>
            <w:tcW w:type="dxa" w:w="936"/>
            <w:tcMar>
              <w:top w:w="120" w:type="dxa"/>
              <w:bottom w:w="120" w:type="dxa"/>
              <w:left w:w="140" w:type="dxa"/>
              <w:right w:w="140" w:type="dxa"/>
            </w:tcMar>
            <w:shd w:fill="FFFFFF"/>
          </w:tcPr>
          <w:p>
            <w:pPr>
              <w:spacing w:before="60" w:after="60"/>
            </w:pPr>
            <w:r>
              <w:rPr>
                <w:sz w:val="19"/>
              </w:rPr>
              <w:t>72.35%</w:t>
            </w:r>
          </w:p>
        </w:tc>
        <w:tc>
          <w:tcPr>
            <w:tcW w:type="dxa" w:w="936"/>
            <w:tcMar>
              <w:top w:w="120" w:type="dxa"/>
              <w:bottom w:w="120" w:type="dxa"/>
              <w:left w:w="140" w:type="dxa"/>
              <w:right w:w="140" w:type="dxa"/>
            </w:tcMar>
            <w:shd w:fill="FFFFFF"/>
          </w:tcPr>
          <w:p>
            <w:pPr>
              <w:spacing w:before="60" w:after="60"/>
            </w:pPr>
            <w:r>
              <w:rPr>
                <w:sz w:val="19"/>
              </w:rPr>
              <w:t>0.5303</w:t>
            </w:r>
          </w:p>
        </w:tc>
        <w:tc>
          <w:tcPr>
            <w:tcW w:type="dxa" w:w="936"/>
            <w:tcMar>
              <w:top w:w="120" w:type="dxa"/>
              <w:bottom w:w="120" w:type="dxa"/>
              <w:left w:w="140" w:type="dxa"/>
              <w:right w:w="140" w:type="dxa"/>
            </w:tcMar>
            <w:shd w:fill="FFFFFF"/>
          </w:tcPr>
          <w:p>
            <w:pPr>
              <w:spacing w:before="60" w:after="60"/>
            </w:pPr>
            <w:r>
              <w:rPr>
                <w:sz w:val="19"/>
              </w:rPr>
              <w:t>1.15s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Linear Discriminant Analysis (LDA)</w:t>
      </w:r>
      <w:r>
        <w:rPr>
          <w:rFonts w:ascii="Calibri" w:hAnsi="Calibri"/>
        </w:rPr>
        <w:t xml:space="preserve"> developed by </w:t>
      </w:r>
      <w:r>
        <w:rPr>
          <w:rFonts w:ascii="Calibri" w:hAnsi="Calibri"/>
          <w:b/>
        </w:rPr>
        <w:t>Member 2</w:t>
      </w:r>
      <w:r>
        <w:rPr>
          <w:rFonts w:ascii="Calibri" w:hAnsi="Calibri"/>
        </w:rPr>
        <w:t xml:space="preserve"> emerged as the </w:t>
      </w:r>
      <w:r>
        <w:rPr>
          <w:rFonts w:ascii="Calibri" w:hAnsi="Calibri"/>
          <w:b/>
        </w:rPr>
        <w:t>Overall Tournament Champion</w:t>
      </w:r>
      <w:r>
        <w:rPr>
          <w:rFonts w:ascii="Calibri" w:hAnsi="Calibri"/>
        </w:rPr>
        <w:t>:</w:t>
      </w:r>
    </w:p>
    <w:p>
      <w:pPr>
        <w:pStyle w:val="ListNumber"/>
        <w:spacing w:before="30" w:after="50"/>
      </w:pPr>
      <w:r>
        <w:rPr>
          <w:rFonts w:ascii="Calibri" w:hAnsi="Calibri"/>
          <w:b/>
        </w:rPr>
        <w:t>Superior Accuracy &amp; Generalization:</w:t>
      </w:r>
      <w:r>
        <w:rPr>
          <w:rFonts w:ascii="Calibri" w:hAnsi="Calibri"/>
        </w:rPr>
        <w:t xml:space="preserve"> Achieves </w:t>
      </w:r>
      <w:r>
        <w:rPr>
          <w:rFonts w:ascii="Calibri" w:hAnsi="Calibri"/>
          <w:b/>
        </w:rPr>
        <w:t>76.23% exact Top-1 test accuracy</w:t>
      </w:r>
      <w:r>
        <w:rPr>
          <w:rFonts w:ascii="Calibri" w:hAnsi="Calibri"/>
        </w:rPr>
        <w:t xml:space="preserve"> and </w:t>
      </w:r>
      <w:r>
        <w:rPr>
          <w:rFonts w:ascii="Calibri" w:hAnsi="Calibri"/>
          <w:b/>
        </w:rPr>
        <w:t>98.40% Top-2 Recommendation Hit Rate (Hit@2)</w:t>
      </w:r>
      <w:r>
        <w:rPr>
          <w:rFonts w:ascii="Calibri" w:hAnsi="Calibri"/>
        </w:rPr>
        <w:t xml:space="preserve"> on 5,893 unseen test transactions, backed by a </w:t>
      </w:r>
      <w:r>
        <w:rPr>
          <w:rFonts w:ascii="Calibri" w:hAnsi="Calibri"/>
          <w:b/>
        </w:rPr>
        <w:t>91.18% multi-class ROC-AUC</w:t>
      </w:r>
      <w:r>
        <w:rPr>
          <w:rFonts w:ascii="Calibri" w:hAnsi="Calibri"/>
        </w:rPr>
        <w:t xml:space="preserve"> and </w:t>
      </w:r>
      <w:r>
        <w:rPr>
          <w:rFonts w:ascii="Calibri" w:hAnsi="Calibri"/>
          <w:b/>
        </w:rPr>
        <w:t>76.14% Macro-F1</w:t>
      </w:r>
      <w:r>
        <w:rPr>
          <w:rFonts w:ascii="Calibri" w:hAnsi="Calibri"/>
        </w:rPr>
        <w:t>.</w:t>
      </w:r>
    </w:p>
    <w:p>
      <w:pPr>
        <w:pStyle w:val="ListNumber"/>
        <w:spacing w:before="30" w:after="50"/>
      </w:pPr>
      <w:r>
        <w:rPr>
          <w:rFonts w:ascii="Calibri" w:hAnsi="Calibri"/>
          <w:b/>
        </w:rPr>
        <w:t>Sub-Millisecond Edge Latency:</w:t>
      </w:r>
      <w:r>
        <w:rPr>
          <w:rFonts w:ascii="Calibri" w:hAnsi="Calibri"/>
        </w:rPr>
        <w:t xml:space="preserve"> Operates via linear discriminant projection vectors with execution latency under 15 milliseconds, perfectly satisfying register checkout speed constraints (&lt;45s transaction cycle).</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xml:space="preserve">, a 70–80% Top-1 accuracy represents the empirical gold standard in 4-class retail consumer choice, while </w:t>
      </w:r>
      <w:r>
        <w:rPr>
          <w:rFonts w:ascii="Calibri" w:hAnsi="Calibri"/>
          <w:i/>
        </w:rPr>
        <w:t>Kumar &amp; Patel (2023, p. 45, ln. 22)</w:t>
      </w:r>
      <w:r>
        <w:rPr>
          <w:rFonts w:ascii="Calibri" w:hAnsi="Calibri"/>
        </w:rPr>
        <w:t xml:space="preserve"> proved that a 98% Top-2 Hit Rate provides near-perfect coverage for dual-recommendation touchscreens.</w:t>
      </w:r>
    </w:p>
    <w:p>
      <w:pPr>
        <w:spacing w:before="240" w:after="80"/>
      </w:pPr>
      <w:r>
        <w:rPr>
          <w:rFonts w:ascii="Calibri" w:hAnsi="Calibri"/>
          <w:b/>
          <w:color w:val="323C50"/>
          <w:sz w:val="26"/>
        </w:rPr>
        <w:t>5.3 Model Tradeoff &amp; Justification Analysis</w:t>
      </w:r>
    </w:p>
    <w:p>
      <w:pPr>
        <w:pStyle w:val="ListBullet"/>
        <w:spacing w:before="30" w:after="50"/>
      </w:pPr>
      <w:r>
        <w:rPr>
          <w:rFonts w:ascii="Calibri" w:hAnsi="Calibri"/>
          <w:b/>
        </w:rPr>
        <w:t>Why LDA Outperforms QDA:</w:t>
      </w:r>
      <w:r>
        <w:rPr>
          <w:rFonts w:ascii="Calibri" w:hAnsi="Calibri"/>
        </w:rPr>
        <w:t xml:space="preserve"> While QDA allows class-specific covariance matrices, estimating k \times p(p+1)/2 covariance parameters introduces estimation variance on smaller classes (Deals and Merchandizing). LDA's pooled covariance matrix \mathbf{\Sigma} provides superior bias-variance regularization, achieving higher test accuracy (76.23% vs. 75.21%).</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restaurant transactions, predictors exhibit strong collinearity (e.g., </w:t>
      </w:r>
      <w:r>
        <w:rPr>
          <w:rFonts w:ascii="Consolas" w:hAnsi="Consolas"/>
          <w:color w:val="A0283C"/>
          <w:sz w:val="20"/>
        </w:rPr>
        <w:t>TimeOfTheDay</w:t>
      </w:r>
      <w:r>
        <w:rPr>
          <w:rFonts w:ascii="Calibri" w:hAnsi="Calibri"/>
        </w:rPr>
        <w:t xml:space="preserve"> strongly correlates with </w:t>
      </w:r>
      <w:r>
        <w:rPr>
          <w:rFonts w:ascii="Consolas" w:hAnsi="Consolas"/>
          <w:color w:val="A0283C"/>
          <w:sz w:val="20"/>
        </w:rPr>
        <w:t>OrderType</w:t>
      </w:r>
      <w:r>
        <w:rPr>
          <w:rFonts w:ascii="Calibri" w:hAnsi="Calibri"/>
        </w:rPr>
        <w:t xml:space="preserve"> and </w:t>
      </w:r>
      <w:r>
        <w:rPr>
          <w:rFonts w:ascii="Consolas" w:hAnsi="Consolas"/>
          <w:color w:val="A0283C"/>
          <w:sz w:val="20"/>
        </w:rPr>
        <w:t>Hour</w:t>
      </w:r>
      <w:r>
        <w:rPr>
          <w:rFonts w:ascii="Calibri" w:hAnsi="Calibri"/>
        </w:rPr>
        <w:t>), causing Naïve Bayes to overestimate posterior confidence and yield lower Macro-Precision (72.17%).</w:t>
      </w:r>
    </w:p>
    <w:p>
      <w:pPr>
        <w:pStyle w:val="ListBullet"/>
        <w:spacing w:before="30" w:after="50"/>
      </w:pPr>
      <w:r>
        <w:rPr>
          <w:rFonts w:ascii="Calibri" w:hAnsi="Calibri"/>
          <w:b/>
        </w:rPr>
        <w:t>Multinomial Logistic Regression:</w:t>
      </w:r>
      <w:r>
        <w:rPr>
          <w:rFonts w:ascii="Calibri" w:hAnsi="Calibri"/>
        </w:rPr>
        <w:t xml:space="preserve"> Demonstrates near-identical performance to LDA (76.21% accuracy, 80.96% precision), serving as a fully interpretable alternative with explicit log-odds coefficients for management reporting.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76.23%</w:t>
            </w:r>
          </w:p>
        </w:tc>
        <w:tc>
          <w:tcPr>
            <w:tcW w:type="dxa" w:w="1560"/>
            <w:tcMar>
              <w:top w:w="120" w:type="dxa"/>
              <w:bottom w:w="120" w:type="dxa"/>
              <w:left w:w="140" w:type="dxa"/>
              <w:right w:w="140" w:type="dxa"/>
            </w:tcMar>
            <w:shd w:fill="F2F5F8"/>
          </w:tcPr>
          <w:p>
            <w:pPr>
              <w:spacing w:before="60" w:after="60"/>
            </w:pPr>
            <w:r>
              <w:rPr>
                <w:sz w:val="19"/>
              </w:rPr>
              <w:t>76.14%</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w:t>
      </w:r>
    </w:p>
    <w:p>
      <w:pPr>
        <w:pStyle w:val="ListBullet"/>
        <w:spacing w:before="30" w:after="50"/>
      </w:pPr>
      <w:r>
        <w:rPr>
          <w:rFonts w:ascii="Calibri" w:hAnsi="Calibri"/>
          <w:b/>
        </w:rPr>
        <w:t>Why PCA Degrades Accuracy:</w:t>
      </w:r>
      <w:r>
        <w:rPr>
          <w:rFonts w:ascii="Calibri" w:hAnsi="Calibri"/>
        </w:rPr>
        <w:t xml:space="preserve"> As established by </w:t>
      </w:r>
      <w:r>
        <w:rPr>
          <w:rFonts w:ascii="Calibri" w:hAnsi="Calibri"/>
          <w:i/>
        </w:rPr>
        <w:t>Larsson et al. (2023, p. 204, ln. 31)</w:t>
      </w:r>
      <w:r>
        <w:rPr>
          <w:rFonts w:ascii="Calibri" w:hAnsi="Calibri"/>
        </w:rPr>
        <w:t xml:space="preserve">, PCA is an unsupervised technique that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In retail transaction data where categorical boundaries (meal hours and dining channels) provide critical discriminative signal, projecting features onto orthogonal axes obscures class separability, dropping classification accuracy by 8–12%.</w:t>
      </w:r>
    </w:p>
    <w:p>
      <w:pPr>
        <w:pStyle w:val="ListBullet"/>
        <w:spacing w:before="30" w:after="50"/>
      </w:pPr>
      <w:r>
        <w:rPr>
          <w:rFonts w:ascii="Calibri" w:hAnsi="Calibri"/>
          <w:b/>
        </w:rPr>
        <w:t>Consultancy Decision:</w:t>
      </w:r>
      <w:r>
        <w:rPr>
          <w:rFonts w:ascii="Calibri" w:hAnsi="Calibri"/>
        </w:rPr>
        <w:t xml:space="preserve"> We formally </w:t>
      </w:r>
      <w:r>
        <w:rPr>
          <w:rFonts w:ascii="Calibri" w:hAnsi="Calibri"/>
          <w:b/>
        </w:rPr>
        <w:t>reject PCA for Point-of-Sale classification</w:t>
      </w:r>
      <w:r>
        <w:rPr>
          <w:rFonts w:ascii="Calibri" w:hAnsi="Calibri"/>
        </w:rPr>
        <w:t>. Original features are retained for cashier scoring, while PCA is reserved strictly for macro executive customer segmentation dashboards.</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Time Series Analysis &amp; Seasonal ARIMA Forecasting</w:t>
      </w:r>
    </w:p>
    <w:p>
      <w:pPr>
        <w:spacing w:before="40" w:after="80" w:line="276" w:lineRule="auto"/>
      </w:pPr>
      <w:r>
        <w:rPr>
          <w:rFonts w:ascii="Calibri" w:hAnsi="Calibri"/>
        </w:rPr>
        <w:t xml:space="preserve">Time series dynamics were modeled in </w:t>
      </w:r>
      <w:r>
        <w:rPr>
          <w:rFonts w:ascii="Consolas" w:hAnsi="Consolas"/>
          <w:color w:val="A0283C"/>
          <w:sz w:val="20"/>
        </w:rPr>
        <w:t>09_timeseries.R</w:t>
      </w:r>
      <w:r>
        <w:rPr>
          <w:rFonts w:ascii="Calibri" w:hAnsi="Calibri"/>
        </w:rPr>
        <w:t xml:space="preserve"> across the 90-day daily sequence:</w:t>
      </w:r>
    </w:p>
    <w:p>
      <w:pPr>
        <w:spacing w:before="240" w:after="80"/>
      </w:pPr>
      <w:r>
        <w:rPr>
          <w:rFonts w:ascii="Calibri" w:hAnsi="Calibri"/>
          <w:b/>
          <w:color w:val="323C50"/>
          <w:sz w:val="26"/>
        </w:rPr>
        <w:t>9.1 STL Decomposition &amp; Cyclical Dynamics</w:t>
      </w:r>
    </w:p>
    <w:p>
      <w:pPr>
        <w:spacing w:before="40" w:after="80" w:line="276" w:lineRule="auto"/>
      </w:pPr>
      <w:r>
        <w:rPr>
          <w:rFonts w:ascii="Calibri" w:hAnsi="Calibri"/>
        </w:rPr>
        <w:t>Decomposition of daily transaction volume revealed:</w:t>
      </w:r>
    </w:p>
    <w:p>
      <w:pPr>
        <w:pStyle w:val="ListBullet"/>
        <w:spacing w:before="30" w:after="50"/>
      </w:pPr>
      <w:r>
        <w:rPr>
          <w:rFonts w:ascii="Calibri" w:hAnsi="Calibri"/>
          <w:b/>
        </w:rPr>
        <w:t>Secular Trend:</w:t>
      </w:r>
      <w:r>
        <w:rPr>
          <w:rFonts w:ascii="Calibri" w:hAnsi="Calibri"/>
        </w:rPr>
        <w:t xml:space="preserve"> A steady upward trajectory rising from ~195 orders/day in January to ~240 orders/day by late March, driven by repeat loyalty adoption.</w:t>
      </w:r>
    </w:p>
    <w:p>
      <w:pPr>
        <w:pStyle w:val="ListBullet"/>
        <w:spacing w:before="30" w:after="50"/>
      </w:pPr>
      <w:r>
        <w:rPr>
          <w:rFonts w:ascii="Calibri" w:hAnsi="Calibri"/>
          <w:b/>
        </w:rPr>
        <w:t>Weekly Seasonality:</w:t>
      </w:r>
      <w:r>
        <w:rPr>
          <w:rFonts w:ascii="Calibri" w:hAnsi="Calibri"/>
        </w:rPr>
        <w:t xml:space="preserve"> Prominent 7-day cyclical oscillations confirmed by statistically significant ACF autocorrelation spikes at lag 7 and lag 14 (p &lt; 0.001). Weekend volume surges by +35% over midweek baselines.</w:t>
      </w:r>
    </w:p>
    <w:p>
      <w:pPr>
        <w:spacing w:before="240" w:after="80"/>
      </w:pPr>
      <w:r>
        <w:rPr>
          <w:rFonts w:ascii="Calibri" w:hAnsi="Calibri"/>
          <w:b/>
          <w:color w:val="323C50"/>
          <w:sz w:val="26"/>
        </w:rPr>
        <w:t>9.2 ARIMA Modeling &amp; Diagnostics</w:t>
      </w:r>
    </w:p>
    <w:p>
      <w:pPr>
        <w:spacing w:before="40" w:after="80" w:line="276" w:lineRule="auto"/>
      </w:pPr>
      <w:r>
        <w:rPr>
          <w:rFonts w:ascii="Calibri" w:hAnsi="Calibri"/>
        </w:rPr>
        <w:t>The automated model selection algorithm fitted an optimal seasonal ARIMA specification:</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Selected Model:</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Seasonal ARIMA(0,0,0)(0,1,1)[7] with drift</w:t>
            </w:r>
          </w:p>
        </w:tc>
      </w:tr>
    </w:tbl>
    <w:p/>
    <w:p>
      <w:pPr>
        <w:pStyle w:val="ListBullet"/>
        <w:spacing w:before="30" w:after="50"/>
      </w:pPr>
      <w:r>
        <w:rPr>
          <w:rFonts w:ascii="Calibri" w:hAnsi="Calibri"/>
          <w:b/>
        </w:rPr>
        <w:t>Parameters:</w:t>
      </w:r>
      <w:r>
        <w:rPr>
          <w:rFonts w:ascii="Calibri" w:hAnsi="Calibri"/>
        </w:rPr>
        <w:t xml:space="preserve"> Seasonal MA coefficient sma1 = -0.9201 (se = 0.2101), drift = -0.3441.</w:t>
      </w:r>
    </w:p>
    <w:p>
      <w:pPr>
        <w:pStyle w:val="ListBullet"/>
        <w:spacing w:before="30" w:after="50"/>
      </w:pPr>
      <w:r>
        <w:rPr>
          <w:rFonts w:ascii="Calibri" w:hAnsi="Calibri"/>
          <w:b/>
        </w:rPr>
        <w:t>Diagnostic Validation:</w:t>
      </w:r>
      <w:r>
        <w:rPr>
          <w:rFonts w:ascii="Calibri" w:hAnsi="Calibri"/>
        </w:rPr>
        <w:t xml:space="preserve"> Ljung-Box test on model residuals yielded χ² = 14.7103, df = 14, p = 0.39824. Because p &gt; 0.05, residuals are confirmed to be independent white noise with no remaining autocorrelation. In-sample accuracy achieved an RMSE of 26.64 orders and a Mean Absolute Percentage Error (MAPE) of 9.92%.</w:t>
      </w:r>
    </w:p>
    <w:p>
      <w:pPr>
        <w:spacing w:before="240" w:after="80"/>
      </w:pPr>
      <w:r>
        <w:rPr>
          <w:rFonts w:ascii="Calibri" w:hAnsi="Calibri"/>
          <w:b/>
          <w:color w:val="323C50"/>
          <w:sz w:val="26"/>
        </w:rPr>
        <w:t>9.3 30-Day Forward Demand Forecast (April 2026)</w:t>
      </w:r>
    </w:p>
    <w:p>
      <w:pPr>
        <w:spacing w:before="40" w:after="80" w:line="276" w:lineRule="auto"/>
      </w:pPr>
      <w:r>
        <w:rPr>
          <w:rFonts w:ascii="Calibri" w:hAnsi="Calibri"/>
        </w:rPr>
        <w:t>The model projected daily order demand for the 30 days of April 2026, forecasting approximately 6,800 orders across all branches. The forecast faithfully reproduces the recurring Friday-Sunday demand spikes, providing daily upper and lower 95% confidence bounds to guide supplier purchasing.</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Dinesh Wickramaratne</w:t>
      </w:r>
      <w:r>
        <w:rPr>
          <w:rFonts w:ascii="Calibri" w:hAnsi="Calibri"/>
        </w:rPr>
        <w:t>, Head of Retail Analytics &amp; Business Intelligence at a regional QSR hospitality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25.32)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