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Production Incident Response Runbook</w:t>
      </w:r>
    </w:p>
    <w:p>
      <w:pPr>
        <w:pStyle w:val="Heading2"/>
      </w:pPr>
      <w:r>
        <w:t>Severity Levels Overview</w:t>
      </w:r>
    </w:p>
    <w:p>
      <w:r>
        <w:t>SEV-1 (Critical Outage): Core FloCard service down, customer data impacted, or zero authentication. MTTR target &lt; 30 minutes. SEV-2 (Major Degradation): High latency (&gt;2s), key integration failure, or analytics pipeline paused. MTTR target &lt; 2 hours. SEV-3 (Minor): Non-blocking UI glitch or delayed background sync. MTTR target &lt; 24 hours.</w:t>
      </w:r>
    </w:p>
    <w:p>
      <w:pPr>
        <w:pStyle w:val="Heading2"/>
      </w:pPr>
      <w:r>
        <w:t>Incident Command Roles</w:t>
      </w:r>
    </w:p>
    <w:p>
      <w:r>
        <w:t>Incident Commander (IC): Coordinates triage and directs engineering investigation. Communications Lead (CL): Posts status updates to #incident-status every 15 minutes. Operations Lead (OL): Executes rollbacks, restarts, and infrastructure traffic rerouting.</w:t>
      </w:r>
    </w:p>
    <w:p>
      <w:pPr>
        <w:pStyle w:val="Heading2"/>
      </w:pPr>
      <w:r>
        <w:t>Post-Mortem Policy &amp; Blameless Reviews</w:t>
      </w:r>
    </w:p>
    <w:p>
      <w:r>
        <w:t>For all SEV-1 and SEV-2 incidents, a blameless post-mortem document must be drafted in Confluence within 48 business hours. The review meeting takes place weekly on Wednesdays to extract actionable prevention tickets.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