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D289" w14:textId="77777777" w:rsidR="00896EED" w:rsidRDefault="00896EED"/>
    <w:p w14:paraId="607AD365" w14:textId="259BA0B4" w:rsidR="00896EED" w:rsidRPr="001A7EBE" w:rsidRDefault="007235FC">
      <w:pPr>
        <w:rPr>
          <w:b/>
          <w:bCs/>
        </w:rPr>
      </w:pPr>
      <w:r w:rsidRPr="001A7EBE">
        <w:rPr>
          <w:b/>
          <w:bCs/>
        </w:rPr>
        <w:t>Assessment</w:t>
      </w:r>
      <w:r w:rsidR="00ED2FF4" w:rsidRPr="001A7EBE">
        <w:rPr>
          <w:b/>
          <w:bCs/>
        </w:rPr>
        <w:t xml:space="preserve"> for </w:t>
      </w:r>
      <w:r w:rsidR="001A7EBE" w:rsidRPr="001A7EBE">
        <w:rPr>
          <w:b/>
          <w:bCs/>
        </w:rPr>
        <w:t>Measure</w:t>
      </w:r>
      <w:r w:rsidR="00ED2FF4" w:rsidRPr="001A7EBE">
        <w:rPr>
          <w:b/>
          <w:bCs/>
        </w:rPr>
        <w:t xml:space="preserve"> of central tendency</w:t>
      </w:r>
      <w:r w:rsidRPr="001A7EBE">
        <w:rPr>
          <w:b/>
          <w:bCs/>
        </w:rPr>
        <w:t>:</w:t>
      </w:r>
    </w:p>
    <w:p w14:paraId="058FEF3D" w14:textId="1A264E2B" w:rsidR="003A0DCE" w:rsidRDefault="003A0DCE">
      <w:r w:rsidRPr="003A0DCE">
        <w:drawing>
          <wp:inline distT="0" distB="0" distL="0" distR="0" wp14:anchorId="4A918DD4" wp14:editId="3A4D044D">
            <wp:extent cx="5731510" cy="1184910"/>
            <wp:effectExtent l="0" t="0" r="2540" b="0"/>
            <wp:docPr id="20829208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0814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3BC8" w14:textId="77777777" w:rsidR="007235FC" w:rsidRPr="007235FC" w:rsidRDefault="007235FC" w:rsidP="007235FC">
      <w:r w:rsidRPr="007235FC">
        <w:t xml:space="preserve">The </w:t>
      </w:r>
      <w:r w:rsidRPr="007235FC">
        <w:rPr>
          <w:b/>
          <w:bCs/>
        </w:rPr>
        <w:t>mean</w:t>
      </w:r>
      <w:r w:rsidRPr="007235FC">
        <w:t xml:space="preserve"> scores of </w:t>
      </w:r>
      <w:proofErr w:type="spellStart"/>
      <w:r w:rsidRPr="007235FC">
        <w:rPr>
          <w:i/>
          <w:iCs/>
        </w:rPr>
        <w:t>ssc_p</w:t>
      </w:r>
      <w:proofErr w:type="spellEnd"/>
      <w:r w:rsidRPr="007235FC">
        <w:rPr>
          <w:i/>
          <w:iCs/>
        </w:rPr>
        <w:t xml:space="preserve">, </w:t>
      </w:r>
      <w:proofErr w:type="spellStart"/>
      <w:r w:rsidRPr="007235FC">
        <w:rPr>
          <w:i/>
          <w:iCs/>
        </w:rPr>
        <w:t>hsc_p</w:t>
      </w:r>
      <w:proofErr w:type="spellEnd"/>
      <w:r w:rsidRPr="007235FC">
        <w:rPr>
          <w:i/>
          <w:iCs/>
        </w:rPr>
        <w:t xml:space="preserve">, </w:t>
      </w:r>
      <w:proofErr w:type="spellStart"/>
      <w:r w:rsidRPr="007235FC">
        <w:rPr>
          <w:i/>
          <w:iCs/>
        </w:rPr>
        <w:t>degree_p</w:t>
      </w:r>
      <w:proofErr w:type="spellEnd"/>
      <w:r w:rsidRPr="007235FC">
        <w:rPr>
          <w:i/>
          <w:iCs/>
        </w:rPr>
        <w:t xml:space="preserve">, </w:t>
      </w:r>
      <w:proofErr w:type="spellStart"/>
      <w:r w:rsidRPr="007235FC">
        <w:rPr>
          <w:i/>
          <w:iCs/>
        </w:rPr>
        <w:t>etest_p</w:t>
      </w:r>
      <w:proofErr w:type="spellEnd"/>
      <w:r w:rsidRPr="007235FC">
        <w:rPr>
          <w:i/>
          <w:iCs/>
        </w:rPr>
        <w:t>,</w:t>
      </w:r>
      <w:r w:rsidRPr="007235FC">
        <w:t xml:space="preserve"> and </w:t>
      </w:r>
      <w:proofErr w:type="spellStart"/>
      <w:r w:rsidRPr="007235FC">
        <w:rPr>
          <w:i/>
          <w:iCs/>
        </w:rPr>
        <w:t>mba_p</w:t>
      </w:r>
      <w:proofErr w:type="spellEnd"/>
      <w:r w:rsidRPr="007235FC">
        <w:t xml:space="preserve"> range from </w:t>
      </w:r>
      <w:r w:rsidRPr="007235FC">
        <w:rPr>
          <w:b/>
          <w:bCs/>
        </w:rPr>
        <w:t>62% to 72%</w:t>
      </w:r>
      <w:r w:rsidRPr="007235FC">
        <w:t>, indicating an overall average performance.</w:t>
      </w:r>
    </w:p>
    <w:p w14:paraId="065F5B59" w14:textId="77777777" w:rsidR="007235FC" w:rsidRPr="007235FC" w:rsidRDefault="007235FC" w:rsidP="007235FC">
      <w:r w:rsidRPr="007235FC">
        <w:t xml:space="preserve">The </w:t>
      </w:r>
      <w:r w:rsidRPr="007235FC">
        <w:rPr>
          <w:b/>
          <w:bCs/>
        </w:rPr>
        <w:t>median</w:t>
      </w:r>
      <w:r w:rsidRPr="007235FC">
        <w:t xml:space="preserve"> scores are similar to the </w:t>
      </w:r>
      <w:r w:rsidRPr="007235FC">
        <w:rPr>
          <w:b/>
          <w:bCs/>
        </w:rPr>
        <w:t>mean</w:t>
      </w:r>
      <w:r w:rsidRPr="007235FC">
        <w:t xml:space="preserve">, with a value of </w:t>
      </w:r>
      <w:r w:rsidRPr="007235FC">
        <w:rPr>
          <w:b/>
          <w:bCs/>
        </w:rPr>
        <w:t>60%</w:t>
      </w:r>
      <w:r w:rsidRPr="007235FC">
        <w:t>, suggesting that performance across candidates is fairly uniform.</w:t>
      </w:r>
    </w:p>
    <w:p w14:paraId="13402A32" w14:textId="77777777" w:rsidR="007235FC" w:rsidRPr="007235FC" w:rsidRDefault="007235FC" w:rsidP="007235FC">
      <w:r w:rsidRPr="007235FC">
        <w:t xml:space="preserve">The </w:t>
      </w:r>
      <w:r w:rsidRPr="007235FC">
        <w:rPr>
          <w:b/>
          <w:bCs/>
        </w:rPr>
        <w:t>mode</w:t>
      </w:r>
      <w:r w:rsidRPr="007235FC">
        <w:t xml:space="preserve"> represents the most frequently occurring marks, showing that the most common scores range from </w:t>
      </w:r>
      <w:r w:rsidRPr="007235FC">
        <w:rPr>
          <w:b/>
          <w:bCs/>
        </w:rPr>
        <w:t>56.7% to 65%</w:t>
      </w:r>
      <w:r w:rsidRPr="007235FC">
        <w:t>, reflecting variations in performance from higher to lower.</w:t>
      </w:r>
    </w:p>
    <w:p w14:paraId="1F9F70DF" w14:textId="77777777" w:rsidR="007235FC" w:rsidRPr="007235FC" w:rsidRDefault="007235FC" w:rsidP="007235FC">
      <w:r w:rsidRPr="007235FC">
        <w:t xml:space="preserve">The </w:t>
      </w:r>
      <w:r w:rsidRPr="007235FC">
        <w:rPr>
          <w:b/>
          <w:bCs/>
        </w:rPr>
        <w:t>mean salary</w:t>
      </w:r>
      <w:r w:rsidRPr="007235FC">
        <w:t xml:space="preserve"> is </w:t>
      </w:r>
      <w:r w:rsidRPr="007235FC">
        <w:rPr>
          <w:b/>
          <w:bCs/>
        </w:rPr>
        <w:t>₹288,655</w:t>
      </w:r>
      <w:r w:rsidRPr="007235FC">
        <w:t xml:space="preserve">, while the </w:t>
      </w:r>
      <w:r w:rsidRPr="007235FC">
        <w:rPr>
          <w:b/>
          <w:bCs/>
        </w:rPr>
        <w:t>median salary</w:t>
      </w:r>
      <w:r w:rsidRPr="007235FC">
        <w:t xml:space="preserve"> is </w:t>
      </w:r>
      <w:r w:rsidRPr="007235FC">
        <w:rPr>
          <w:b/>
          <w:bCs/>
        </w:rPr>
        <w:t>₹265,000</w:t>
      </w:r>
      <w:r w:rsidRPr="007235FC">
        <w:t>, indicating the presence of a few higher-paying outliers that are pulling the average salary upwards.</w:t>
      </w:r>
    </w:p>
    <w:p w14:paraId="30D2907A" w14:textId="77777777" w:rsidR="003A0DCE" w:rsidRDefault="003A0DCE"/>
    <w:p w14:paraId="28FE2D88" w14:textId="77777777" w:rsidR="008E53E5" w:rsidRDefault="008E53E5"/>
    <w:p w14:paraId="4BB2A938" w14:textId="2C634BF5" w:rsidR="008E53E5" w:rsidRPr="00DC3E86" w:rsidRDefault="008E53E5">
      <w:pPr>
        <w:rPr>
          <w:b/>
          <w:bCs/>
        </w:rPr>
      </w:pPr>
      <w:r w:rsidRPr="00DC3E86">
        <w:rPr>
          <w:b/>
          <w:bCs/>
        </w:rPr>
        <w:t>Assess</w:t>
      </w:r>
      <w:r w:rsidR="006963BA" w:rsidRPr="00DC3E86">
        <w:rPr>
          <w:b/>
          <w:bCs/>
        </w:rPr>
        <w:t>ment</w:t>
      </w:r>
      <w:r w:rsidR="00ED2FF4" w:rsidRPr="00DC3E86">
        <w:rPr>
          <w:b/>
          <w:bCs/>
        </w:rPr>
        <w:t xml:space="preserve"> </w:t>
      </w:r>
      <w:r w:rsidR="00DC3E86" w:rsidRPr="00DC3E86">
        <w:rPr>
          <w:b/>
          <w:bCs/>
        </w:rPr>
        <w:t>for</w:t>
      </w:r>
      <w:r w:rsidR="007625BC" w:rsidRPr="00DC3E86">
        <w:rPr>
          <w:b/>
          <w:bCs/>
        </w:rPr>
        <w:t xml:space="preserve"> Measure </w:t>
      </w:r>
      <w:r w:rsidR="00DC3E86" w:rsidRPr="00DC3E86">
        <w:rPr>
          <w:b/>
          <w:bCs/>
        </w:rPr>
        <w:t>of location</w:t>
      </w:r>
      <w:r w:rsidRPr="00DC3E86">
        <w:rPr>
          <w:b/>
          <w:bCs/>
        </w:rPr>
        <w:t>: 2</w:t>
      </w:r>
    </w:p>
    <w:p w14:paraId="610A5D0A" w14:textId="0E912B81" w:rsidR="008E53E5" w:rsidRDefault="008E53E5">
      <w:r w:rsidRPr="008E53E5">
        <w:drawing>
          <wp:inline distT="0" distB="0" distL="0" distR="0" wp14:anchorId="723EAF21" wp14:editId="24152FF7">
            <wp:extent cx="4597636" cy="1587582"/>
            <wp:effectExtent l="0" t="0" r="0" b="0"/>
            <wp:docPr id="182088299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299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B59A" w14:textId="77777777" w:rsidR="005B78C3" w:rsidRDefault="005B78C3"/>
    <w:p w14:paraId="0B3EA506" w14:textId="2E288988" w:rsidR="005B78C3" w:rsidRPr="005B78C3" w:rsidRDefault="005B78C3" w:rsidP="005B78C3">
      <w:r w:rsidRPr="005B78C3">
        <w:rPr>
          <w:b/>
          <w:bCs/>
        </w:rPr>
        <w:t>growth from Q1 to Q3</w:t>
      </w:r>
      <w:r w:rsidRPr="005B78C3">
        <w:t>:</w:t>
      </w:r>
    </w:p>
    <w:p w14:paraId="7D4D8A5A" w14:textId="77777777" w:rsidR="005B78C3" w:rsidRPr="005B78C3" w:rsidRDefault="005B78C3" w:rsidP="005B78C3">
      <w:pPr>
        <w:numPr>
          <w:ilvl w:val="0"/>
          <w:numId w:val="1"/>
        </w:numPr>
      </w:pPr>
      <w:r w:rsidRPr="005B78C3">
        <w:t xml:space="preserve">For example, </w:t>
      </w:r>
      <w:proofErr w:type="spellStart"/>
      <w:r w:rsidRPr="005B78C3">
        <w:rPr>
          <w:i/>
          <w:iCs/>
        </w:rPr>
        <w:t>ssc_p</w:t>
      </w:r>
      <w:proofErr w:type="spellEnd"/>
      <w:r w:rsidRPr="005B78C3">
        <w:t xml:space="preserve"> rises from </w:t>
      </w:r>
      <w:r w:rsidRPr="005B78C3">
        <w:rPr>
          <w:b/>
          <w:bCs/>
        </w:rPr>
        <w:t>60.6% (Q1)</w:t>
      </w:r>
      <w:r w:rsidRPr="005B78C3">
        <w:t xml:space="preserve"> to </w:t>
      </w:r>
      <w:r w:rsidRPr="005B78C3">
        <w:rPr>
          <w:b/>
          <w:bCs/>
        </w:rPr>
        <w:t>75.7% (Q3)</w:t>
      </w:r>
      <w:r w:rsidRPr="005B78C3">
        <w:t>.</w:t>
      </w:r>
    </w:p>
    <w:p w14:paraId="22C1A139" w14:textId="77777777" w:rsidR="005B78C3" w:rsidRPr="005B78C3" w:rsidRDefault="005B78C3" w:rsidP="005B78C3">
      <w:pPr>
        <w:numPr>
          <w:ilvl w:val="0"/>
          <w:numId w:val="1"/>
        </w:numPr>
      </w:pPr>
      <w:proofErr w:type="spellStart"/>
      <w:r w:rsidRPr="005B78C3">
        <w:rPr>
          <w:i/>
          <w:iCs/>
        </w:rPr>
        <w:t>mba_p</w:t>
      </w:r>
      <w:proofErr w:type="spellEnd"/>
      <w:r w:rsidRPr="005B78C3">
        <w:t xml:space="preserve"> follows suit, increasing from </w:t>
      </w:r>
      <w:r w:rsidRPr="005B78C3">
        <w:rPr>
          <w:b/>
          <w:bCs/>
        </w:rPr>
        <w:t>60.0%</w:t>
      </w:r>
      <w:r w:rsidRPr="005B78C3">
        <w:t xml:space="preserve"> to </w:t>
      </w:r>
      <w:r w:rsidRPr="005B78C3">
        <w:rPr>
          <w:b/>
          <w:bCs/>
        </w:rPr>
        <w:t>66.26%</w:t>
      </w:r>
      <w:r w:rsidRPr="005B78C3">
        <w:t xml:space="preserve">, with a max of </w:t>
      </w:r>
      <w:r w:rsidRPr="005B78C3">
        <w:rPr>
          <w:b/>
          <w:bCs/>
        </w:rPr>
        <w:t>77.89%</w:t>
      </w:r>
      <w:r w:rsidRPr="005B78C3">
        <w:t>.</w:t>
      </w:r>
    </w:p>
    <w:p w14:paraId="7952CB5D" w14:textId="4E20B109" w:rsidR="005B78C3" w:rsidRPr="005B78C3" w:rsidRDefault="005B78C3" w:rsidP="00ED2FF4">
      <w:pPr>
        <w:ind w:firstLine="360"/>
      </w:pPr>
      <w:r w:rsidRPr="005B78C3">
        <w:t xml:space="preserve">The </w:t>
      </w:r>
      <w:r w:rsidRPr="005B78C3">
        <w:rPr>
          <w:b/>
          <w:bCs/>
        </w:rPr>
        <w:t>Q4 values show standout performers</w:t>
      </w:r>
      <w:r w:rsidRPr="005B78C3">
        <w:t xml:space="preserve">, especially in </w:t>
      </w:r>
      <w:proofErr w:type="spellStart"/>
      <w:r w:rsidRPr="005B78C3">
        <w:rPr>
          <w:i/>
          <w:iCs/>
        </w:rPr>
        <w:t>degree_p</w:t>
      </w:r>
      <w:proofErr w:type="spellEnd"/>
      <w:r w:rsidRPr="005B78C3">
        <w:t xml:space="preserve"> (up to 97.7%) and </w:t>
      </w:r>
      <w:proofErr w:type="spellStart"/>
      <w:r w:rsidRPr="005B78C3">
        <w:rPr>
          <w:i/>
          <w:iCs/>
        </w:rPr>
        <w:t>mba_p</w:t>
      </w:r>
      <w:proofErr w:type="spellEnd"/>
      <w:r w:rsidRPr="005B78C3">
        <w:t xml:space="preserve"> (up to 77.89%).</w:t>
      </w:r>
    </w:p>
    <w:p w14:paraId="71B0C121" w14:textId="77777777" w:rsidR="005B78C3" w:rsidRDefault="005B78C3"/>
    <w:p w14:paraId="54FCAF18" w14:textId="77777777" w:rsidR="006236C8" w:rsidRDefault="006236C8"/>
    <w:sectPr w:rsidR="006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54B12"/>
    <w:multiLevelType w:val="multilevel"/>
    <w:tmpl w:val="7DF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5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D"/>
    <w:rsid w:val="0002736F"/>
    <w:rsid w:val="000B1F17"/>
    <w:rsid w:val="000E628B"/>
    <w:rsid w:val="00174BA1"/>
    <w:rsid w:val="001A7EBE"/>
    <w:rsid w:val="00271C42"/>
    <w:rsid w:val="00393A0B"/>
    <w:rsid w:val="003A0DCE"/>
    <w:rsid w:val="00431D2F"/>
    <w:rsid w:val="005B78C3"/>
    <w:rsid w:val="005E2227"/>
    <w:rsid w:val="006236C8"/>
    <w:rsid w:val="00634959"/>
    <w:rsid w:val="0065098A"/>
    <w:rsid w:val="006963BA"/>
    <w:rsid w:val="007235FC"/>
    <w:rsid w:val="007625BC"/>
    <w:rsid w:val="007F65E0"/>
    <w:rsid w:val="00896EED"/>
    <w:rsid w:val="008E53E5"/>
    <w:rsid w:val="00A965D9"/>
    <w:rsid w:val="00C27C1D"/>
    <w:rsid w:val="00CF755B"/>
    <w:rsid w:val="00DC3E86"/>
    <w:rsid w:val="00E52A9F"/>
    <w:rsid w:val="00EB65BC"/>
    <w:rsid w:val="00ED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A97C"/>
  <w15:chartTrackingRefBased/>
  <w15:docId w15:val="{92B3C60A-9595-49E9-8325-7D1309AF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</dc:creator>
  <cp:keywords/>
  <dc:description/>
  <cp:lastModifiedBy>Ranjana R</cp:lastModifiedBy>
  <cp:revision>23</cp:revision>
  <dcterms:created xsi:type="dcterms:W3CDTF">2025-06-16T17:40:00Z</dcterms:created>
  <dcterms:modified xsi:type="dcterms:W3CDTF">2025-06-17T15:33:00Z</dcterms:modified>
</cp:coreProperties>
</file>