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color w:val="000000" w:themeColor="text1"/>
        </w:rPr>
      </w:pPr>
      <w:r>
        <w:rPr>
          <w:rFonts w:ascii="Arial" w:hAnsi="Arial" w:eastAsia="Arial" w:cs="Arial"/>
          <w:b/>
          <w:bCs/>
          <w:color w:val="000000" w:themeColor="text1"/>
          <w:sz w:val="36"/>
          <w:szCs w:val="36"/>
        </w:rPr>
        <w:t xml:space="preserve">Updated Hypotheses and Model Notations</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Site Classification</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Sites are classified into two edge-type categories based on the nature of the surrounding matrix:</w:t>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680"/>
        <w:gridCol w:w="4680"/>
      </w:tblGrid>
      <w:tr>
        <w:trPr/>
        <w:tc>
          <w:tcPr>
            <w:shd w:val="clear" w:color="auto" w:fill="2e509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pPr>
              <w:pBdr/>
              <w:spacing/>
              <w:ind/>
              <w:rPr>
                <w:color w:val="000000" w:themeColor="text1"/>
              </w:rPr>
            </w:pPr>
            <w:r>
              <w:rPr>
                <w:rFonts w:ascii="Arial" w:hAnsi="Arial" w:eastAsia="Arial" w:cs="Arial"/>
                <w:b/>
                <w:bCs/>
                <w:color w:val="000000" w:themeColor="text1"/>
                <w:sz w:val="20"/>
                <w:szCs w:val="20"/>
              </w:rPr>
              <w:t xml:space="preserve">Edge Type</w:t>
            </w:r>
            <w:r>
              <w:rPr>
                <w:color w:val="000000" w:themeColor="text1"/>
              </w:rPr>
            </w:r>
          </w:p>
        </w:tc>
        <w:tc>
          <w:tcPr>
            <w:shd w:val="clear" w:color="auto" w:fill="2e509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80" w:type="dxa"/>
            <w:vAlign w:val="center"/>
          </w:tcPr>
          <w:p>
            <w:pPr>
              <w:pBdr/>
              <w:spacing/>
              <w:ind/>
              <w:rPr>
                <w:color w:val="000000" w:themeColor="text1"/>
              </w:rPr>
            </w:pPr>
            <w:r>
              <w:rPr>
                <w:rFonts w:ascii="Arial" w:hAnsi="Arial" w:eastAsia="Arial" w:cs="Arial"/>
                <w:b/>
                <w:bCs/>
                <w:color w:val="000000" w:themeColor="text1"/>
                <w:sz w:val="20"/>
                <w:szCs w:val="20"/>
              </w:rPr>
              <w:t xml:space="preserve">Sites</w:t>
            </w:r>
            <w:r>
              <w:rPr>
                <w:color w:val="000000" w:themeColor="text1"/>
              </w:rPr>
            </w:r>
          </w:p>
        </w:tc>
        <w:tc>
          <w:tcPr>
            <w:shd w:val="clear" w:color="auto" w:fill="2e509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vAlign w:val="center"/>
          </w:tcPr>
          <w:p>
            <w:pPr>
              <w:pBdr/>
              <w:spacing/>
              <w:ind/>
              <w:rPr>
                <w:color w:val="000000" w:themeColor="text1"/>
              </w:rPr>
            </w:pPr>
            <w:r>
              <w:rPr>
                <w:rFonts w:ascii="Arial" w:hAnsi="Arial" w:eastAsia="Arial" w:cs="Arial"/>
                <w:b/>
                <w:bCs/>
                <w:color w:val="000000" w:themeColor="text1"/>
                <w:sz w:val="20"/>
                <w:szCs w:val="20"/>
              </w:rPr>
              <w:t xml:space="preserve">Description</w:t>
            </w:r>
            <w:r>
              <w:rPr>
                <w:color w:val="000000" w:themeColor="text1"/>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color w:val="000000" w:themeColor="text1"/>
              </w:rPr>
            </w:pPr>
            <w:r>
              <w:rPr>
                <w:rFonts w:ascii="Arial" w:hAnsi="Arial" w:eastAsia="Arial" w:cs="Arial"/>
                <w:b/>
                <w:bCs/>
                <w:color w:val="000000" w:themeColor="text1"/>
                <w:sz w:val="20"/>
                <w:szCs w:val="20"/>
              </w:rPr>
              <w:t xml:space="preserve">Open</w:t>
            </w:r>
            <w:r>
              <w:rPr>
                <w:color w:val="000000" w:themeColor="text1"/>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80" w:type="dxa"/>
          </w:tcPr>
          <w:p>
            <w:pPr>
              <w:pBdr/>
              <w:spacing/>
              <w:ind/>
              <w:rPr>
                <w:color w:val="000000" w:themeColor="text1"/>
              </w:rPr>
            </w:pPr>
            <w:r>
              <w:rPr>
                <w:rFonts w:ascii="Arial" w:hAnsi="Arial" w:eastAsia="Arial" w:cs="Arial"/>
                <w:color w:val="000000" w:themeColor="text1"/>
                <w:sz w:val="20"/>
                <w:szCs w:val="20"/>
              </w:rPr>
              <w:t xml:space="preserve">KT20, KT21, KDM</w:t>
            </w:r>
            <w:r>
              <w:rPr>
                <w:color w:val="000000" w:themeColor="text1"/>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pPr>
              <w:pBdr/>
              <w:spacing/>
              <w:ind/>
              <w:rPr>
                <w:color w:val="000000" w:themeColor="text1"/>
              </w:rPr>
            </w:pPr>
            <w:r>
              <w:rPr>
                <w:rFonts w:ascii="Arial" w:hAnsi="Arial" w:eastAsia="Arial" w:cs="Arial"/>
                <w:color w:val="000000" w:themeColor="text1"/>
                <w:sz w:val="20"/>
                <w:szCs w:val="20"/>
              </w:rPr>
              <w:t xml:space="preserve">Hard edges bordered by roads, tea plantations, or grassland. Greater solar exposure and wind penetration expected.</w:t>
            </w:r>
            <w:r>
              <w:rPr>
                <w:color w:val="000000" w:themeColor="text1"/>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color w:val="000000" w:themeColor="text1"/>
              </w:rPr>
            </w:pPr>
            <w:r>
              <w:rPr>
                <w:rFonts w:ascii="Arial" w:hAnsi="Arial" w:eastAsia="Arial" w:cs="Arial"/>
                <w:b/>
                <w:bCs/>
                <w:color w:val="000000" w:themeColor="text1"/>
                <w:sz w:val="20"/>
                <w:szCs w:val="20"/>
              </w:rPr>
              <w:t xml:space="preserve">Closed</w:t>
            </w:r>
            <w:r>
              <w:rPr>
                <w:color w:val="000000" w:themeColor="text1"/>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80" w:type="dxa"/>
          </w:tcPr>
          <w:p>
            <w:pPr>
              <w:pBdr/>
              <w:spacing/>
              <w:ind/>
              <w:rPr>
                <w:color w:val="000000" w:themeColor="text1"/>
              </w:rPr>
            </w:pPr>
            <w:r>
              <w:rPr>
                <w:rFonts w:ascii="Arial" w:hAnsi="Arial" w:eastAsia="Arial" w:cs="Arial"/>
                <w:color w:val="000000" w:themeColor="text1"/>
                <w:sz w:val="20"/>
                <w:szCs w:val="20"/>
              </w:rPr>
              <w:t xml:space="preserve">MG, DG, NCF</w:t>
            </w:r>
            <w:r>
              <w:rPr>
                <w:color w:val="000000" w:themeColor="text1"/>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pPr>
              <w:pBdr/>
              <w:spacing/>
              <w:ind/>
              <w:rPr>
                <w:color w:val="000000" w:themeColor="text1"/>
              </w:rPr>
            </w:pPr>
            <w:r>
              <w:rPr>
                <w:rFonts w:ascii="Arial" w:hAnsi="Arial" w:eastAsia="Arial" w:cs="Arial"/>
                <w:color w:val="000000" w:themeColor="text1"/>
                <w:sz w:val="20"/>
                <w:szCs w:val="20"/>
              </w:rPr>
              <w:t xml:space="preserve">Forested edges or continuous forest interior. Canopy buffering expected to attenuate edge effects.</w:t>
            </w:r>
            <w:r>
              <w:rPr>
                <w:color w:val="000000" w:themeColor="text1"/>
              </w:rPr>
            </w:r>
          </w:p>
        </w:tc>
      </w:tr>
    </w:tbl>
    <w:p>
      <w:pPr>
        <w:pBdr/>
        <w:spacing w:after="80"/>
        <w:ind/>
        <w:rPr>
          <w:color w:val="000000" w:themeColor="text1"/>
        </w:rPr>
      </w:pPr>
      <w:r>
        <w:rPr>
          <w:color w:val="000000" w:themeColor="text1"/>
        </w:rPr>
      </w:r>
      <w:r>
        <w:rPr>
          <w:color w:val="000000" w:themeColor="text1"/>
        </w:rPr>
      </w:r>
    </w:p>
    <w:p>
      <w:pPr>
        <w:pStyle w:val="894"/>
        <w:pBdr/>
        <w:spacing w:after="120" w:before="240"/>
        <w:ind/>
        <w:rPr>
          <w:color w:val="000000" w:themeColor="text1"/>
        </w:rPr>
      </w:pPr>
      <w:r>
        <w:rPr>
          <w:rFonts w:ascii="Arial" w:hAnsi="Arial" w:eastAsia="Arial" w:cs="Arial"/>
          <w:color w:val="000000" w:themeColor="text1"/>
        </w:rPr>
        <w:t xml:space="preserve">Q1: Edge–Interior Temperature and Humidity Gradients</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Are forest-edge plots warmer and drier than interior plots during the dry season?</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Hypotheses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H1a (Temperature):</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Weekly mean temperature during the dry season decreases with </w:t>
      </w:r>
      <w:r>
        <w:rPr>
          <w:rFonts w:ascii="Arial" w:hAnsi="Arial" w:eastAsia="Arial" w:cs="Arial"/>
          <w:color w:val="000000" w:themeColor="text1"/>
          <w:sz w:val="22"/>
          <w:szCs w:val="22"/>
        </w:rPr>
        <w:t xml:space="preserve">increasing distance from the forest edge. Plots closer to the edge are expected to be warmer due to greater solar radiation penetration and reduced canopy buffering. </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H1b (Relative Humidity):</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Weekly mean relative humidity during the dry season increases with increasing distance from the forest edge. Edge plots are expected to be drier due to greater exposure to wind and solar heating. </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Analysis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Response variables:</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Weekly mean temperature (°C) per plot</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Weekly mean relative humidity (%) per plot</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Model specification (lme4 notation):</w:t>
      </w:r>
      <w:r>
        <w:rPr>
          <w:color w:val="000000" w:themeColor="text1"/>
        </w:rPr>
      </w:r>
    </w:p>
    <w:p>
      <w:pPr>
        <w:pBdr/>
        <w:spacing w:after="100"/>
        <w:ind w:left="360"/>
        <w:rPr>
          <w:color w:val="000000" w:themeColor="text1"/>
        </w:rPr>
      </w:pPr>
      <w:r>
        <w:rPr>
          <w:rFonts w:ascii="Consolas" w:hAnsi="Consolas" w:eastAsia="Consolas" w:cs="Consolas"/>
          <w:color w:val="000000" w:themeColor="text1"/>
          <w:sz w:val="20"/>
          <w:szCs w:val="20"/>
        </w:rPr>
        <w:t xml:space="preserve">weekly_mean_T ~ distance_to_edge_m * year + (1 | line/plot)</w:t>
      </w:r>
      <w:r>
        <w:rPr>
          <w:color w:val="000000" w:themeColor="text1"/>
        </w:rPr>
      </w:r>
    </w:p>
    <w:p>
      <w:pPr>
        <w:pBdr/>
        <w:spacing w:after="100"/>
        <w:ind w:left="360"/>
        <w:rPr>
          <w:color w:val="000000" w:themeColor="text1"/>
        </w:rPr>
      </w:pPr>
      <w:r>
        <w:rPr>
          <w:rFonts w:ascii="Consolas" w:hAnsi="Consolas" w:eastAsia="Consolas" w:cs="Consolas"/>
          <w:color w:val="000000" w:themeColor="text1"/>
          <w:sz w:val="20"/>
          <w:szCs w:val="20"/>
        </w:rPr>
        <w:t xml:space="preserve">weekly_mean_RH ~ distance_to_edge_m * year + (1 | line/plot)</w:t>
      </w:r>
      <w:r>
        <w:rPr>
          <w:color w:val="000000" w:themeColor="text1"/>
        </w:rPr>
      </w:r>
    </w:p>
    <w:p>
      <w:pPr>
        <w:pBdr/>
        <w:spacing w:after="40"/>
        <w:ind/>
        <w:rPr>
          <w:color w:val="000000" w:themeColor="text1"/>
        </w:rPr>
      </w:pPr>
      <w:r>
        <w:rPr>
          <w:color w:val="000000" w:themeColor="text1"/>
        </w:rPr>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Fixed effects:</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distance_to_edge_m: continuous predictor</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year: categorical (2023 vs 2024)</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distance_to_edge_m × year: interaction testing whether the edge gradient differs between years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Random effects:</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(1 | line/plot): plot nested within line as random intercept.</w:t>
      </w:r>
      <w:r>
        <w:rPr>
          <w:color w:val="000000" w:themeColor="text1"/>
        </w:rPr>
      </w:r>
    </w:p>
    <w:p>
      <w:pPr>
        <w:pStyle w:val="894"/>
        <w:pBdr/>
        <w:spacing w:after="120" w:before="240"/>
        <w:ind/>
        <w:rPr>
          <w:color w:val="000000" w:themeColor="text1"/>
        </w:rPr>
      </w:pPr>
      <w:r>
        <w:rPr>
          <w:rFonts w:ascii="Arial" w:hAnsi="Arial" w:eastAsia="Arial" w:cs="Arial"/>
          <w:color w:val="000000" w:themeColor="text1"/>
        </w:rPr>
        <w:t xml:space="preserve">Q2: Microclimatic Fluctuations Along the Edge Gradient</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Do edge plots experience stronger microclimatic fluctuations than interior plots?</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Hypotheses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Temperature fluctuation:</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Daily temperature range, standard deviation,</w:t>
      </w:r>
      <w:r>
        <w:rPr>
          <w:rFonts w:ascii="Arial" w:hAnsi="Arial" w:eastAsia="Arial" w:cs="Arial"/>
          <w:color w:val="000000" w:themeColor="text1"/>
          <w:sz w:val="22"/>
          <w:szCs w:val="22"/>
        </w:rPr>
        <w:t xml:space="preserve"> and coefficient of variation are larger at edge plots and decrease with increasing distance from the edge. Edge plots experience greater diurnal swings because they are exposed to direct solar heating during the day and greater radiative cooling at night.</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RH fluctuations:</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Daily RH range, standard deviation, and coefficient of variation are larger at edge plots. Edges experience sharper daytime RH declines driven by higher temperatures and greater air mixing with the drier external matrix.</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Analysis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Response variables (computed per plot-day):</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Daily temperature range (daily max – daily min)</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Daily temperature SD</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Daily RH range, SD, and CV (same structure)</w:t>
      </w:r>
      <w:r>
        <w:rPr>
          <w:color w:val="000000" w:themeColor="text1"/>
        </w:rPr>
      </w:r>
    </w:p>
    <w:p>
      <w:pPr>
        <w:pBdr/>
        <w:spacing w:after="40"/>
        <w:ind/>
        <w:rPr>
          <w:color w:val="000000" w:themeColor="text1"/>
        </w:rPr>
      </w:pPr>
      <w:r>
        <w:rPr>
          <w:color w:val="000000" w:themeColor="text1"/>
        </w:rPr>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Model specification:</w:t>
      </w:r>
      <w:r>
        <w:rPr>
          <w:color w:val="000000" w:themeColor="text1"/>
        </w:rPr>
      </w:r>
    </w:p>
    <w:p>
      <w:pPr>
        <w:pBdr/>
        <w:spacing w:after="100"/>
        <w:ind w:left="360"/>
        <w:rPr>
          <w:color w:val="000000" w:themeColor="text1"/>
        </w:rPr>
      </w:pPr>
      <w:r>
        <w:rPr>
          <w:rFonts w:ascii="Consolas" w:hAnsi="Consolas" w:eastAsia="Consolas" w:cs="Consolas"/>
          <w:color w:val="000000" w:themeColor="text1"/>
          <w:sz w:val="20"/>
          <w:szCs w:val="20"/>
        </w:rPr>
        <w:t xml:space="preserve">daily_temp_range ~ distance_to_edge_m * year + (1 | line/plot) + (1 | month)</w:t>
      </w:r>
      <w:r>
        <w:rPr>
          <w:color w:val="000000" w:themeColor="text1"/>
        </w:rPr>
      </w:r>
    </w:p>
    <w:p>
      <w:pPr>
        <w:pBdr/>
        <w:spacing w:after="100"/>
        <w:ind w:left="360"/>
        <w:rPr>
          <w:rFonts w:ascii="Consolas" w:hAnsi="Consolas" w:eastAsia="Consolas" w:cs="Consolas"/>
          <w:color w:val="000000" w:themeColor="text1"/>
          <w:sz w:val="20"/>
          <w:szCs w:val="20"/>
          <w:highlight w:val="none"/>
        </w:rPr>
      </w:pPr>
      <w:r>
        <w:rPr>
          <w:rFonts w:ascii="Consolas" w:hAnsi="Consolas" w:eastAsia="Consolas" w:cs="Consolas"/>
          <w:color w:val="000000" w:themeColor="text1"/>
          <w:sz w:val="20"/>
          <w:szCs w:val="20"/>
        </w:rPr>
        <w:t xml:space="preserve">daily_temp_SD   ~ distance_to_edge_m * year + (1 | line/plot) + (1 | month)</w:t>
      </w:r>
      <w:r>
        <w:rPr>
          <w:rFonts w:ascii="Consolas" w:hAnsi="Consolas" w:eastAsia="Consolas" w:cs="Consolas"/>
          <w:color w:val="000000" w:themeColor="text1"/>
          <w:sz w:val="20"/>
          <w:szCs w:val="20"/>
          <w:highlight w:val="none"/>
        </w:rPr>
      </w:r>
    </w:p>
    <w:p w14:paraId="30DF54FC">
      <w:pPr>
        <w:pBdr/>
        <w:spacing w:after="100"/>
        <w:ind w:left="360"/>
        <w:rPr>
          <w:color w:val="000000" w:themeColor="text1"/>
        </w:rPr>
      </w:pPr>
      <w:r>
        <w:rPr>
          <w:rFonts w:ascii="Consolas" w:hAnsi="Consolas" w:eastAsia="Consolas" w:cs="Consolas"/>
          <w:color w:val="000000" w:themeColor="text1"/>
          <w:sz w:val="20"/>
          <w:szCs w:val="20"/>
        </w:rPr>
        <w:t xml:space="preserve">daily_RH_range ~ distance_to_edge_m * year + (1 | line/plot) + (1 | month)</w:t>
      </w:r>
      <w:r>
        <w:rPr>
          <w:color w:val="000000" w:themeColor="text1"/>
        </w:rPr>
      </w:r>
    </w:p>
    <w:p w14:paraId="6ACCC0DC">
      <w:pPr>
        <w:pBdr/>
        <w:spacing w:after="100"/>
        <w:ind w:left="360"/>
        <w:rPr>
          <w:color w:val="000000" w:themeColor="text1"/>
        </w:rPr>
      </w:pPr>
      <w:r>
        <w:rPr>
          <w:rFonts w:ascii="Consolas" w:hAnsi="Consolas" w:eastAsia="Consolas" w:cs="Consolas"/>
          <w:color w:val="000000" w:themeColor="text1"/>
          <w:sz w:val="20"/>
          <w:szCs w:val="20"/>
        </w:rPr>
        <w:t xml:space="preserve">daily_RH_SD   ~ distance_to_edge_m * year + (1 | line/plot) + (1 | month)</w:t>
      </w:r>
      <w:r>
        <w:rPr>
          <w:color w:val="000000" w:themeColor="text1"/>
        </w:rPr>
      </w:r>
    </w:p>
    <w:p w14:paraId="14B5689D">
      <w:pPr>
        <w:pBdr/>
        <w:spacing w:after="100"/>
        <w:ind w:left="360"/>
        <w:rPr>
          <w:color w:val="000000" w:themeColor="text1"/>
        </w:rPr>
      </w:pPr>
      <w:r>
        <w:rPr>
          <w:rFonts w:ascii="Consolas" w:hAnsi="Consolas" w:eastAsia="Consolas" w:cs="Consolas"/>
          <w:color w:val="000000" w:themeColor="text1"/>
          <w:sz w:val="20"/>
          <w:szCs w:val="20"/>
          <w:highlight w:val="none"/>
        </w:rPr>
      </w:r>
      <w:r>
        <w:rPr>
          <w:rFonts w:ascii="Consolas" w:hAnsi="Consolas" w:eastAsia="Consolas" w:cs="Consolas"/>
          <w:color w:val="000000" w:themeColor="text1"/>
          <w:sz w:val="20"/>
          <w:szCs w:val="20"/>
          <w:highlight w:val="none"/>
        </w:rPr>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Fixed effects:</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distance_to_edge_m × year (same as Q1)</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Random effects:</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(1 | line/plot)</w:t>
      </w:r>
      <w:r>
        <w:rPr>
          <w:color w:val="000000" w:themeColor="text1"/>
        </w:rPr>
      </w:r>
    </w:p>
    <w:p>
      <w:pPr>
        <w:pStyle w:val="886"/>
        <w:numPr>
          <w:ilvl w:val="0"/>
          <w:numId w:val="2"/>
        </w:numPr>
        <w:pBdr/>
        <w:spacing w:after="60"/>
        <w:ind/>
        <w:rPr>
          <w:color w:val="000000" w:themeColor="text1"/>
        </w:rPr>
      </w:pPr>
      <w:r>
        <w:rPr>
          <w:rFonts w:ascii="Arial" w:hAnsi="Arial" w:eastAsia="Arial" w:cs="Arial"/>
          <w:color w:val="000000" w:themeColor="text1"/>
          <w:sz w:val="22"/>
          <w:szCs w:val="22"/>
        </w:rPr>
        <w:t xml:space="preserve">(1 | month)</w:t>
      </w:r>
      <w:r>
        <w:rPr>
          <w:color w:val="000000" w:themeColor="text1"/>
        </w:rPr>
      </w:r>
    </w:p>
    <w:p>
      <w:pPr>
        <w:pStyle w:val="894"/>
        <w:pBdr/>
        <w:spacing w:after="120" w:before="240"/>
        <w:ind/>
        <w:rPr>
          <w:color w:val="000000" w:themeColor="text1"/>
        </w:rPr>
      </w:pPr>
      <w:r>
        <w:rPr>
          <w:rFonts w:ascii="Arial" w:hAnsi="Arial" w:eastAsia="Arial" w:cs="Arial"/>
          <w:color w:val="000000" w:themeColor="text1"/>
        </w:rPr>
        <w:t xml:space="preserve">Q3: Open vs Closed Matrix — Edge Effect Strength</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Are edge effects on microclimate stronger in fragments bordered by open matrix (roads, tea, grassland) than in those bordered by forest?</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Hypotheses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Temperature</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The slope of temperature decline with distance from the edge </w:t>
      </w:r>
      <w:r>
        <w:rPr>
          <w:rFonts w:ascii="Arial" w:hAnsi="Arial" w:eastAsia="Arial" w:cs="Arial"/>
          <w:color w:val="000000" w:themeColor="text1"/>
          <w:sz w:val="22"/>
          <w:szCs w:val="22"/>
        </w:rPr>
        <w:t xml:space="preserve">is steeper at open-matrix sites (KT20, KT21, KDM) than at closed-canopy sites (MG, DG, NCF). Open edges allow greater penetration of solar radiation and hot, dry air from the surrounding matrix, creating a sharper thermal gradient into the forest interior.</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Relative Humidity:</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The slope of RH increase with distance from the edge is steeper at open-matrix sites. The drier, more exposed matrix at open sites drives a stronger humidity gradient.</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Fluctuations:</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Daily temperature and RH variability (range, SD, CV) decline more steeply with distance from the edge at open-matrix sites compared to closed-canopy sites.</w:t>
      </w:r>
      <w:r>
        <w:rPr>
          <w:color w:val="000000" w:themeColor="text1"/>
        </w:rPr>
      </w:r>
    </w:p>
    <w:p>
      <w:pPr>
        <w:pStyle w:val="895"/>
        <w:pBdr/>
        <w:spacing w:after="120" w:before="240"/>
        <w:ind/>
        <w:rPr>
          <w:color w:val="000000" w:themeColor="text1"/>
        </w:rPr>
      </w:pPr>
      <w:r>
        <w:rPr>
          <w:rFonts w:ascii="Arial" w:hAnsi="Arial" w:eastAsia="Arial" w:cs="Arial"/>
          <w:color w:val="000000" w:themeColor="text1"/>
        </w:rPr>
        <w:t xml:space="preserve">Analysis</w:t>
      </w:r>
      <w:r>
        <w:rPr>
          <w:color w:val="000000" w:themeColor="text1"/>
        </w:rPr>
      </w:r>
    </w:p>
    <w:p>
      <w:pPr>
        <w:pBdr/>
        <w:spacing w:after="80"/>
        <w:ind/>
        <w:rPr>
          <w:color w:val="000000" w:themeColor="text1"/>
        </w:rPr>
      </w:pPr>
      <w:r>
        <w:rPr>
          <w:rFonts w:ascii="Arial" w:hAnsi="Arial" w:eastAsia="Arial" w:cs="Arial"/>
          <w:b/>
          <w:bCs/>
          <w:color w:val="000000" w:themeColor="text1"/>
          <w:sz w:val="22"/>
          <w:szCs w:val="22"/>
        </w:rPr>
        <w:t xml:space="preserve">Model specification:</w:t>
      </w:r>
      <w:r>
        <w:rPr>
          <w:color w:val="000000" w:themeColor="text1"/>
        </w:rPr>
      </w:r>
    </w:p>
    <w:p>
      <w:pPr>
        <w:pBdr/>
        <w:spacing w:after="100"/>
        <w:ind w:left="360"/>
        <w:rPr>
          <w:color w:val="000000" w:themeColor="text1"/>
        </w:rPr>
      </w:pPr>
      <w:r>
        <w:rPr>
          <w:rFonts w:ascii="Consolas" w:hAnsi="Consolas" w:eastAsia="Consolas" w:cs="Consolas"/>
          <w:color w:val="000000" w:themeColor="text1"/>
          <w:sz w:val="20"/>
          <w:szCs w:val="20"/>
        </w:rPr>
        <w:t xml:space="preserve">weekly_mean_T ~ distance_to_edge_m * year * edge_type + (1 | line/plot)</w:t>
      </w:r>
      <w:r>
        <w:rPr>
          <w:color w:val="000000" w:themeColor="text1"/>
        </w:rPr>
      </w:r>
    </w:p>
    <w:p>
      <w:pPr>
        <w:pBdr/>
        <w:spacing w:after="100"/>
        <w:ind w:left="360"/>
        <w:rPr>
          <w:color w:val="000000" w:themeColor="text1"/>
        </w:rPr>
      </w:pPr>
      <w:r>
        <w:rPr>
          <w:rFonts w:ascii="Consolas" w:hAnsi="Consolas" w:eastAsia="Consolas" w:cs="Consolas"/>
          <w:color w:val="000000" w:themeColor="text1"/>
          <w:sz w:val="20"/>
          <w:szCs w:val="20"/>
        </w:rPr>
        <w:t xml:space="preserve">weekly_mean_RH ~ distance_to_edge_m * year * edge_type + (1 | line/plot)</w:t>
      </w:r>
      <w:r>
        <w:rPr>
          <w:color w:val="000000" w:themeColor="text1"/>
        </w:rPr>
      </w:r>
    </w:p>
    <w:p>
      <w:pPr>
        <w:pBdr/>
        <w:spacing w:after="100"/>
        <w:ind w:left="360"/>
        <w:rPr>
          <w:color w:val="000000" w:themeColor="text1"/>
        </w:rPr>
      </w:pPr>
      <w:r>
        <w:rPr>
          <w:rFonts w:ascii="Consolas" w:hAnsi="Consolas" w:eastAsia="Consolas" w:cs="Consolas"/>
          <w:color w:val="000000" w:themeColor="text1"/>
          <w:sz w:val="20"/>
          <w:szCs w:val="20"/>
        </w:rPr>
        <w:t xml:space="preserve">daily_temp_range ~ distance_to_edge_m * year * edge_type + (1 | line/plot) + (1 | month)</w:t>
      </w:r>
      <w:r>
        <w:rPr>
          <w:color w:val="000000" w:themeColor="text1"/>
        </w:rPr>
      </w:r>
    </w:p>
    <w:p>
      <w:pPr>
        <w:pBdr/>
        <w:spacing w:after="120"/>
        <w:ind/>
        <w:rPr>
          <w:color w:val="000000" w:themeColor="text1"/>
        </w:rPr>
      </w:pPr>
      <w:r>
        <w:rPr>
          <w:rFonts w:ascii="Arial" w:hAnsi="Arial" w:eastAsia="Arial" w:cs="Arial"/>
          <w:color w:val="000000" w:themeColor="text1"/>
          <w:sz w:val="22"/>
          <w:szCs w:val="22"/>
        </w:rPr>
        <w:t xml:space="preserve">Same structure for all response variables from Q1 and Q2.</w:t>
      </w:r>
      <w:r>
        <w:rPr>
          <w:color w:val="000000" w:themeColor="text1"/>
        </w:r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94"/>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95"/>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96"/>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2"/>
    <w:uiPriority w:val="9"/>
    <w:pPr>
      <w:pBdr/>
      <w:spacing/>
      <w:ind/>
    </w:pPr>
    <w:rPr>
      <w:rFonts w:ascii="Arial" w:hAnsi="Arial" w:eastAsia="Arial" w:cs="Arial"/>
      <w:i/>
      <w:iCs/>
      <w:color w:val="0f4761" w:themeColor="accent1" w:themeShade="BF"/>
    </w:rPr>
  </w:style>
  <w:style w:type="character" w:styleId="844">
    <w:name w:val="Heading 5 Char"/>
    <w:basedOn w:val="838"/>
    <w:link w:val="883"/>
    <w:uiPriority w:val="9"/>
    <w:pPr>
      <w:pBdr/>
      <w:spacing/>
      <w:ind/>
    </w:pPr>
    <w:rPr>
      <w:rFonts w:ascii="Arial" w:hAnsi="Arial" w:eastAsia="Arial" w:cs="Arial"/>
      <w:color w:val="0f4761" w:themeColor="accent1" w:themeShade="BF"/>
    </w:rPr>
  </w:style>
  <w:style w:type="character" w:styleId="845">
    <w:name w:val="Heading 6 Char"/>
    <w:basedOn w:val="838"/>
    <w:link w:val="884"/>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1"/>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character" w:styleId="868">
    <w:name w:val="FollowedHyperlink"/>
    <w:basedOn w:val="838"/>
    <w:uiPriority w:val="99"/>
    <w:semiHidden/>
    <w:unhideWhenUsed/>
    <w:pPr>
      <w:pBdr/>
      <w:spacing/>
      <w:ind/>
    </w:pPr>
    <w:rPr>
      <w:color w:val="954f72" w:themeColor="followedHyperlink"/>
      <w:u w:val="single"/>
    </w:rPr>
  </w:style>
  <w:style w:type="paragraph" w:styleId="869">
    <w:name w:val="toc 1"/>
    <w:basedOn w:val="834"/>
    <w:next w:val="834"/>
    <w:uiPriority w:val="39"/>
    <w:unhideWhenUsed/>
    <w:pPr>
      <w:pBdr/>
      <w:spacing w:after="100"/>
      <w:ind/>
    </w:pPr>
  </w:style>
  <w:style w:type="paragraph" w:styleId="870">
    <w:name w:val="toc 2"/>
    <w:basedOn w:val="834"/>
    <w:next w:val="834"/>
    <w:uiPriority w:val="39"/>
    <w:unhideWhenUsed/>
    <w:pPr>
      <w:pBdr/>
      <w:spacing w:after="100"/>
      <w:ind w:left="220"/>
    </w:pPr>
  </w:style>
  <w:style w:type="paragraph" w:styleId="871">
    <w:name w:val="toc 3"/>
    <w:basedOn w:val="834"/>
    <w:next w:val="834"/>
    <w:uiPriority w:val="39"/>
    <w:unhideWhenUsed/>
    <w:pPr>
      <w:pBdr/>
      <w:spacing w:after="100"/>
      <w:ind w:left="440"/>
    </w:pPr>
  </w:style>
  <w:style w:type="paragraph" w:styleId="872">
    <w:name w:val="toc 4"/>
    <w:basedOn w:val="834"/>
    <w:next w:val="834"/>
    <w:uiPriority w:val="39"/>
    <w:unhideWhenUsed/>
    <w:pPr>
      <w:pBdr/>
      <w:spacing w:after="100"/>
      <w:ind w:left="660"/>
    </w:pPr>
  </w:style>
  <w:style w:type="paragraph" w:styleId="873">
    <w:name w:val="toc 5"/>
    <w:basedOn w:val="834"/>
    <w:next w:val="834"/>
    <w:uiPriority w:val="39"/>
    <w:unhideWhenUsed/>
    <w:pPr>
      <w:pBdr/>
      <w:spacing w:after="100"/>
      <w:ind w:left="880"/>
    </w:pPr>
  </w:style>
  <w:style w:type="paragraph" w:styleId="874">
    <w:name w:val="toc 6"/>
    <w:basedOn w:val="834"/>
    <w:next w:val="834"/>
    <w:uiPriority w:val="39"/>
    <w:unhideWhenUsed/>
    <w:pPr>
      <w:pBdr/>
      <w:spacing w:after="100"/>
      <w:ind w:left="1100"/>
    </w:pPr>
  </w:style>
  <w:style w:type="paragraph" w:styleId="875">
    <w:name w:val="toc 7"/>
    <w:basedOn w:val="834"/>
    <w:next w:val="834"/>
    <w:uiPriority w:val="39"/>
    <w:unhideWhenUsed/>
    <w:pPr>
      <w:pBdr/>
      <w:spacing w:after="100"/>
      <w:ind w:left="1320"/>
    </w:pPr>
  </w:style>
  <w:style w:type="paragraph" w:styleId="876">
    <w:name w:val="toc 8"/>
    <w:basedOn w:val="834"/>
    <w:next w:val="834"/>
    <w:uiPriority w:val="39"/>
    <w:unhideWhenUsed/>
    <w:pPr>
      <w:pBdr/>
      <w:spacing w:after="100"/>
      <w:ind w:left="1540"/>
    </w:pPr>
  </w:style>
  <w:style w:type="paragraph" w:styleId="877">
    <w:name w:val="toc 9"/>
    <w:basedOn w:val="834"/>
    <w:next w:val="834"/>
    <w:uiPriority w:val="39"/>
    <w:unhideWhenUsed/>
    <w:pPr>
      <w:pBdr/>
      <w:spacing w:after="100"/>
      <w:ind w:left="1760"/>
    </w:pPr>
  </w:style>
  <w:style w:type="character" w:styleId="878">
    <w:name w:val="Placeholder Text"/>
    <w:basedOn w:val="838"/>
    <w:uiPriority w:val="99"/>
    <w:semiHidden/>
    <w:pPr>
      <w:pBdr/>
      <w:spacing/>
      <w:ind/>
    </w:pPr>
    <w:rPr>
      <w:color w:val="666666"/>
    </w:rPr>
  </w:style>
  <w:style w:type="paragraph" w:styleId="879">
    <w:name w:val="TOC Heading"/>
    <w:uiPriority w:val="39"/>
    <w:unhideWhenUsed/>
    <w:pPr>
      <w:pBdr/>
      <w:spacing/>
      <w:ind/>
    </w:pPr>
  </w:style>
  <w:style w:type="paragraph" w:styleId="880">
    <w:name w:val="table of figures"/>
    <w:basedOn w:val="834"/>
    <w:next w:val="834"/>
    <w:uiPriority w:val="99"/>
    <w:unhideWhenUsed/>
    <w:pPr>
      <w:pBdr/>
      <w:spacing w:after="0" w:afterAutospacing="0"/>
      <w:ind/>
    </w:pPr>
  </w:style>
  <w:style w:type="paragraph" w:styleId="881">
    <w:name w:val="Title"/>
    <w:qFormat/>
    <w:pPr>
      <w:pBdr/>
      <w:spacing/>
      <w:ind/>
    </w:pPr>
    <w:rPr>
      <w:sz w:val="56"/>
      <w:szCs w:val="56"/>
    </w:rPr>
  </w:style>
  <w:style w:type="paragraph" w:styleId="882">
    <w:name w:val="Heading 4"/>
    <w:qFormat/>
    <w:pPr>
      <w:pBdr/>
      <w:spacing/>
      <w:ind/>
    </w:pPr>
    <w:rPr>
      <w:i/>
      <w:iCs/>
      <w:color w:val="2e74b5"/>
    </w:rPr>
  </w:style>
  <w:style w:type="paragraph" w:styleId="883">
    <w:name w:val="Heading 5"/>
    <w:qFormat/>
    <w:pPr>
      <w:pBdr/>
      <w:spacing/>
      <w:ind/>
    </w:pPr>
    <w:rPr>
      <w:color w:val="2e74b5"/>
    </w:rPr>
  </w:style>
  <w:style w:type="paragraph" w:styleId="884">
    <w:name w:val="Heading 6"/>
    <w:qFormat/>
    <w:pPr>
      <w:pBdr/>
      <w:spacing/>
      <w:ind/>
    </w:pPr>
    <w:rPr>
      <w:color w:val="1f4d78"/>
    </w:rPr>
  </w:style>
  <w:style w:type="paragraph" w:styleId="885">
    <w:name w:val="Strong"/>
    <w:qFormat/>
    <w:pPr>
      <w:pBdr/>
      <w:spacing/>
      <w:ind/>
    </w:pPr>
    <w:rPr>
      <w:b/>
      <w:bCs/>
    </w:rPr>
  </w:style>
  <w:style w:type="paragraph" w:styleId="886">
    <w:name w:val="List Paragraph"/>
    <w:qFormat/>
    <w:pPr>
      <w:pBdr/>
      <w:spacing/>
      <w:ind/>
    </w:pPr>
  </w:style>
  <w:style w:type="character" w:styleId="887">
    <w:name w:val="Hyperlink"/>
    <w:uiPriority w:val="99"/>
    <w:unhideWhenUsed/>
    <w:pPr>
      <w:pBdr/>
      <w:spacing/>
      <w:ind/>
    </w:pPr>
    <w:rPr>
      <w:color w:val="0563c1"/>
      <w:u w:val="single"/>
    </w:rPr>
  </w:style>
  <w:style w:type="character" w:styleId="888">
    <w:name w:val="footnote reference"/>
    <w:uiPriority w:val="99"/>
    <w:semiHidden/>
    <w:unhideWhenUsed/>
    <w:pPr>
      <w:pBdr/>
      <w:spacing/>
      <w:ind/>
    </w:pPr>
    <w:rPr>
      <w:vertAlign w:val="superscript"/>
    </w:rPr>
  </w:style>
  <w:style w:type="paragraph" w:styleId="889">
    <w:name w:val="footnote text"/>
    <w:link w:val="890"/>
    <w:uiPriority w:val="99"/>
    <w:semiHidden/>
    <w:unhideWhenUsed/>
    <w:pPr>
      <w:pBdr/>
      <w:spacing w:after="0" w:line="240" w:lineRule="auto"/>
      <w:ind/>
    </w:pPr>
    <w:rPr>
      <w:sz w:val="20"/>
      <w:szCs w:val="20"/>
    </w:rPr>
  </w:style>
  <w:style w:type="character" w:styleId="890">
    <w:name w:val="Footnote Text Char"/>
    <w:link w:val="889"/>
    <w:uiPriority w:val="99"/>
    <w:semiHidden/>
    <w:unhideWhenUsed/>
    <w:pPr>
      <w:pBdr/>
      <w:spacing/>
      <w:ind/>
    </w:pPr>
    <w:rPr>
      <w:sz w:val="20"/>
      <w:szCs w:val="20"/>
    </w:rPr>
  </w:style>
  <w:style w:type="character" w:styleId="891">
    <w:name w:val="endnote reference"/>
    <w:uiPriority w:val="99"/>
    <w:semiHidden/>
    <w:unhideWhenUsed/>
    <w:pPr>
      <w:pBdr/>
      <w:spacing/>
      <w:ind/>
    </w:pPr>
    <w:rPr>
      <w:vertAlign w:val="superscript"/>
    </w:rPr>
  </w:style>
  <w:style w:type="paragraph" w:styleId="892">
    <w:name w:val="endnote text"/>
    <w:link w:val="893"/>
    <w:uiPriority w:val="99"/>
    <w:semiHidden/>
    <w:unhideWhenUsed/>
    <w:pPr>
      <w:pBdr/>
      <w:spacing w:after="0" w:line="240" w:lineRule="auto"/>
      <w:ind/>
    </w:pPr>
    <w:rPr>
      <w:sz w:val="20"/>
      <w:szCs w:val="20"/>
    </w:rPr>
  </w:style>
  <w:style w:type="character" w:styleId="893">
    <w:name w:val="Endnote Text Char"/>
    <w:link w:val="892"/>
    <w:uiPriority w:val="99"/>
    <w:semiHidden/>
    <w:unhideWhenUsed/>
    <w:pPr>
      <w:pBdr/>
      <w:spacing/>
      <w:ind/>
    </w:pPr>
    <w:rPr>
      <w:sz w:val="20"/>
      <w:szCs w:val="20"/>
    </w:rPr>
  </w:style>
  <w:style w:type="paragraph" w:styleId="894">
    <w:name w:val="Heading 1"/>
    <w:qFormat/>
    <w:pPr>
      <w:pBdr/>
      <w:spacing w:after="200" w:before="360"/>
      <w:ind/>
      <w:outlineLvl w:val="0"/>
    </w:pPr>
    <w:rPr>
      <w:rFonts w:ascii="Arial" w:hAnsi="Arial" w:eastAsia="Arial" w:cs="Arial"/>
      <w:b/>
      <w:bCs/>
      <w:color w:val="1f3864"/>
      <w:sz w:val="32"/>
      <w:szCs w:val="32"/>
    </w:rPr>
  </w:style>
  <w:style w:type="paragraph" w:styleId="895">
    <w:name w:val="Heading 2"/>
    <w:qFormat/>
    <w:pPr>
      <w:pBdr/>
      <w:spacing w:after="160" w:before="240"/>
      <w:ind/>
      <w:outlineLvl w:val="1"/>
    </w:pPr>
    <w:rPr>
      <w:rFonts w:ascii="Arial" w:hAnsi="Arial" w:eastAsia="Arial" w:cs="Arial"/>
      <w:b/>
      <w:bCs/>
      <w:color w:val="2e5090"/>
      <w:sz w:val="26"/>
      <w:szCs w:val="26"/>
    </w:rPr>
  </w:style>
  <w:style w:type="paragraph" w:styleId="896">
    <w:name w:val="Heading 3"/>
    <w:qFormat/>
    <w:pPr>
      <w:pBdr/>
      <w:spacing w:after="120" w:before="200"/>
      <w:ind/>
      <w:outlineLvl w:val="2"/>
    </w:pPr>
    <w:rPr>
      <w:rFonts w:ascii="Arial" w:hAnsi="Arial" w:eastAsia="Arial" w:cs="Arial"/>
      <w:b/>
      <w:bCs/>
      <w:color w:val="40404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2026-06-09T04:34:13Z</dcterms:created>
  <dcterms:modified xsi:type="dcterms:W3CDTF">2026-06-18T09:31:03Z</dcterms:modified>
</cp:coreProperties>
</file>