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pPr>
      <w:r>
        <w:rPr>
          <w:rFonts w:ascii="Arial" w:hAnsi="Arial" w:eastAsia="Arial" w:cs="Arial"/>
          <w:b/>
          <w:bCs/>
          <w:color w:val="1f3864"/>
          <w:sz w:val="36"/>
          <w:szCs w:val="36"/>
        </w:rPr>
        <w:t xml:space="preserve">Updated Research Questions, Hypotheses &amp; Analysis Plan</w:t>
      </w:r>
      <w:r/>
    </w:p>
    <w:p>
      <w:pPr>
        <w:pBdr/>
        <w:spacing w:after="120"/>
        <w:ind/>
        <w:jc w:val="center"/>
        <w:rPr/>
      </w:pPr>
      <w:r>
        <w:rPr>
          <w:rFonts w:ascii="Arial" w:hAnsi="Arial" w:eastAsia="Arial" w:cs="Arial"/>
          <w:i/>
          <w:iCs/>
          <w:color w:val="404040"/>
          <w:sz w:val="24"/>
          <w:szCs w:val="24"/>
        </w:rPr>
        <w:t xml:space="preserve">Forest-Edge Microclimate Effects on Temperature and Relative Humidity</w:t>
      </w:r>
      <w:r/>
    </w:p>
    <w:p>
      <w:pPr>
        <w:pStyle w:val="747"/>
        <w:pBdr/>
        <w:spacing w:after="120" w:before="240"/>
        <w:ind/>
        <w:rPr/>
      </w:pPr>
      <w:r>
        <w:rPr>
          <w:rFonts w:ascii="Arial" w:hAnsi="Arial" w:eastAsia="Arial" w:cs="Arial"/>
        </w:rPr>
        <w:t xml:space="preserve">Study Design Overview</w:t>
      </w:r>
      <w:r/>
    </w:p>
    <w:p>
      <w:pPr>
        <w:pBdr/>
        <w:spacing w:after="120"/>
        <w:ind/>
        <w:rPr/>
      </w:pPr>
      <w:r>
        <w:rPr>
          <w:rFonts w:ascii="Arial" w:hAnsi="Arial" w:eastAsia="Arial" w:cs="Arial"/>
          <w:sz w:val="22"/>
          <w:szCs w:val="22"/>
        </w:rPr>
        <w:t xml:space="preserve">Si</w:t>
      </w:r>
      <w:r>
        <w:rPr>
          <w:rFonts w:ascii="Arial" w:hAnsi="Arial" w:eastAsia="Arial" w:cs="Arial"/>
          <w:sz w:val="22"/>
          <w:szCs w:val="22"/>
        </w:rPr>
        <w:t xml:space="preserve">x study sites across a fragmentation gradient, each with edge-to-interior transects. Microclimate data (temperature and relative humidity) collected using iButton loggers (2023–2024, 2-hour intervals) and Kestrel DROP sensors (2024 only, 2-hour intervals).</w:t>
      </w:r>
      <w:r/>
    </w:p>
    <w:p>
      <w:pPr>
        <w:pStyle w:val="748"/>
        <w:pBdr/>
        <w:spacing w:after="120" w:before="240"/>
        <w:ind/>
        <w:rPr/>
      </w:pPr>
      <w:r>
        <w:rPr>
          <w:rFonts w:ascii="Arial" w:hAnsi="Arial" w:eastAsia="Arial" w:cs="Arial"/>
        </w:rPr>
        <w:t xml:space="preserve">Site Classification</w:t>
      </w:r>
      <w:r/>
    </w:p>
    <w:p>
      <w:pPr>
        <w:pBdr/>
        <w:spacing w:after="120"/>
        <w:ind/>
        <w:rPr/>
      </w:pPr>
      <w:r>
        <w:rPr>
          <w:rFonts w:ascii="Arial" w:hAnsi="Arial" w:eastAsia="Arial" w:cs="Arial"/>
          <w:sz w:val="22"/>
          <w:szCs w:val="22"/>
        </w:rPr>
        <w:t xml:space="preserve">Sites are classified into two edge-type categories based on the nature of the surrounding matrix:</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680"/>
        <w:gridCol w:w="4680"/>
      </w:tblGrid>
      <w:tr>
        <w:trPr/>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cPr>
          <w:p>
            <w:pPr>
              <w:pBdr/>
              <w:spacing/>
              <w:ind/>
              <w:rPr/>
            </w:pPr>
            <w:r>
              <w:rPr>
                <w:rFonts w:ascii="Arial" w:hAnsi="Arial" w:eastAsia="Arial" w:cs="Arial"/>
                <w:b/>
                <w:bCs/>
                <w:color w:val="ffffff"/>
                <w:sz w:val="20"/>
                <w:szCs w:val="20"/>
              </w:rPr>
              <w:t xml:space="preserve">Edge Type</w:t>
            </w:r>
            <w:r/>
          </w:p>
        </w:tc>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vAlign w:val="center"/>
          </w:tcPr>
          <w:p>
            <w:pPr>
              <w:pBdr/>
              <w:spacing/>
              <w:ind/>
              <w:rPr/>
            </w:pPr>
            <w:r>
              <w:rPr>
                <w:rFonts w:ascii="Arial" w:hAnsi="Arial" w:eastAsia="Arial" w:cs="Arial"/>
                <w:b/>
                <w:bCs/>
                <w:color w:val="ffffff"/>
                <w:sz w:val="20"/>
                <w:szCs w:val="20"/>
              </w:rPr>
              <w:t xml:space="preserve">Sites</w:t>
            </w:r>
            <w:r/>
          </w:p>
        </w:tc>
        <w:tc>
          <w:tcPr>
            <w:shd w:val="clear" w:color="auto" w:fill="2e5090"/>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vAlign w:val="center"/>
          </w:tcPr>
          <w:p>
            <w:pPr>
              <w:pBdr/>
              <w:spacing/>
              <w:ind/>
              <w:rPr/>
            </w:pPr>
            <w:r>
              <w:rPr>
                <w:rFonts w:ascii="Arial" w:hAnsi="Arial" w:eastAsia="Arial" w:cs="Arial"/>
                <w:b/>
                <w:bCs/>
                <w:color w:val="ffffff"/>
                <w:sz w:val="20"/>
                <w:szCs w:val="20"/>
              </w:rPr>
              <w:t xml:space="preserve">Description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Open</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tcPr>
          <w:p>
            <w:pPr>
              <w:pBdr/>
              <w:spacing/>
              <w:ind/>
              <w:rPr/>
            </w:pPr>
            <w:r>
              <w:rPr>
                <w:rFonts w:ascii="Arial" w:hAnsi="Arial" w:eastAsia="Arial" w:cs="Arial"/>
                <w:sz w:val="20"/>
                <w:szCs w:val="20"/>
              </w:rPr>
              <w:t xml:space="preserve">KT20, KT21, KDM</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pPr>
              <w:pBdr/>
              <w:spacing/>
              <w:ind/>
              <w:rPr/>
            </w:pPr>
            <w:r>
              <w:rPr>
                <w:rFonts w:ascii="Arial" w:hAnsi="Arial" w:eastAsia="Arial" w:cs="Arial"/>
                <w:sz w:val="20"/>
                <w:szCs w:val="20"/>
              </w:rPr>
              <w:t xml:space="preserve">Hard edges bordered by roads, tea plantations, or grassland. Greater solar exposure and wind penetration expected.</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Arial" w:hAnsi="Arial" w:eastAsia="Arial" w:cs="Arial"/>
                <w:b/>
                <w:bCs/>
                <w:sz w:val="20"/>
                <w:szCs w:val="20"/>
              </w:rPr>
              <w:t xml:space="preserve">Closed</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80" w:type="dxa"/>
          </w:tcPr>
          <w:p>
            <w:pPr>
              <w:pBdr/>
              <w:spacing/>
              <w:ind/>
              <w:rPr/>
            </w:pPr>
            <w:r>
              <w:rPr>
                <w:rFonts w:ascii="Arial" w:hAnsi="Arial" w:eastAsia="Arial" w:cs="Arial"/>
                <w:sz w:val="20"/>
                <w:szCs w:val="20"/>
              </w:rPr>
              <w:t xml:space="preserve">MG, DG, NCF</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pPr>
              <w:pBdr/>
              <w:spacing/>
              <w:ind/>
              <w:rPr/>
            </w:pPr>
            <w:r>
              <w:rPr>
                <w:rFonts w:ascii="Arial" w:hAnsi="Arial" w:eastAsia="Arial" w:cs="Arial"/>
                <w:sz w:val="20"/>
                <w:szCs w:val="20"/>
              </w:rPr>
              <w:t xml:space="preserve">Forested edges or continuous forest interior. Canopy buffering expected to attenuate edge effects.</w:t>
            </w:r>
            <w:r/>
          </w:p>
        </w:tc>
      </w:tr>
    </w:tbl>
    <w:p>
      <w:pPr>
        <w:pBdr/>
        <w:spacing w:after="80"/>
        <w:ind/>
        <w:rPr/>
      </w:pPr>
      <w:r/>
      <w:r/>
    </w:p>
    <w:p>
      <w:pPr>
        <w:pBdr/>
        <w:spacing w:after="80"/>
        <w:ind/>
        <w:rPr/>
      </w:pPr>
      <w:r>
        <w:rPr>
          <w:rFonts w:ascii="Arial" w:hAnsi="Arial" w:eastAsia="Arial" w:cs="Arial"/>
          <w:i/>
          <w:iCs/>
          <w:sz w:val="22"/>
          <w:szCs w:val="22"/>
        </w:rPr>
        <w:t xml:space="preserve">Note on NCF: NCF is continuous forest (interior reference) with limited variation in distance from edge. Including it as “closed” is appropriate since its pl</w:t>
      </w:r>
      <w:r>
        <w:rPr>
          <w:rFonts w:ascii="Arial" w:hAnsi="Arial" w:eastAsia="Arial" w:cs="Arial"/>
          <w:i/>
          <w:iCs/>
          <w:sz w:val="22"/>
          <w:szCs w:val="22"/>
        </w:rPr>
        <w:t xml:space="preserve">ots sit at the interior end of the distance gradient, contributing to the closed-canopy baseline. However, the distance × edge_type interaction will primarily be driven by MG and DG within the closed category, since NCF plots may cluster at high distances.</w:t>
      </w:r>
      <w:r/>
    </w:p>
    <w:p>
      <w:pPr>
        <w:pStyle w:val="747"/>
        <w:pBdr/>
        <w:spacing w:after="120" w:before="240"/>
        <w:ind/>
        <w:rPr/>
      </w:pPr>
      <w:r>
        <w:rPr>
          <w:rFonts w:ascii="Arial" w:hAnsi="Arial" w:eastAsia="Arial" w:cs="Arial"/>
        </w:rPr>
        <w:t xml:space="preserve">Question 1: Edge–Interior Temperature and Humidity Gradients</w:t>
      </w:r>
      <w:r/>
    </w:p>
    <w:p>
      <w:pPr>
        <w:pBdr/>
        <w:spacing w:after="120"/>
        <w:ind/>
        <w:rPr/>
      </w:pPr>
      <w:r>
        <w:rPr>
          <w:rFonts w:ascii="Arial" w:hAnsi="Arial" w:eastAsia="Arial" w:cs="Arial"/>
          <w:sz w:val="22"/>
          <w:szCs w:val="22"/>
        </w:rPr>
        <w:t xml:space="preserve">Are forest-edge plots warmer and drier than interior plots during the dry season?</w:t>
      </w:r>
      <w:r/>
    </w:p>
    <w:p>
      <w:pPr>
        <w:pStyle w:val="748"/>
        <w:pBdr/>
        <w:spacing w:after="120" w:before="240"/>
        <w:ind/>
        <w:rPr/>
      </w:pPr>
      <w:r>
        <w:rPr>
          <w:rFonts w:ascii="Arial" w:hAnsi="Arial" w:eastAsia="Arial" w:cs="Arial"/>
        </w:rPr>
        <w:t xml:space="preserve">Hypotheses</w:t>
      </w:r>
      <w:r/>
    </w:p>
    <w:p>
      <w:pPr>
        <w:pBdr/>
        <w:spacing w:after="80"/>
        <w:ind/>
        <w:rPr/>
      </w:pPr>
      <w:r>
        <w:rPr>
          <w:rFonts w:ascii="Arial" w:hAnsi="Arial" w:eastAsia="Arial" w:cs="Arial"/>
          <w:b/>
          <w:bCs/>
          <w:sz w:val="22"/>
          <w:szCs w:val="22"/>
        </w:rPr>
        <w:t xml:space="preserve">H1a (Temperature):</w:t>
      </w:r>
      <w:r/>
    </w:p>
    <w:p>
      <w:pPr>
        <w:pBdr/>
        <w:spacing w:after="120"/>
        <w:ind/>
        <w:rPr/>
      </w:pPr>
      <w:r>
        <w:rPr>
          <w:rFonts w:ascii="Arial" w:hAnsi="Arial" w:eastAsia="Arial" w:cs="Arial"/>
          <w:sz w:val="22"/>
          <w:szCs w:val="22"/>
        </w:rPr>
        <w:t xml:space="preserve">Weekly mean temperature during the dry season decreases with </w:t>
      </w:r>
      <w:r>
        <w:rPr>
          <w:rFonts w:ascii="Arial" w:hAnsi="Arial" w:eastAsia="Arial" w:cs="Arial"/>
          <w:sz w:val="22"/>
          <w:szCs w:val="22"/>
        </w:rPr>
        <w:t xml:space="preserve">increasing distance from the forest edge. Plots closer to the edge are expected to be warmer due to greater solar radiation penetration and reduced canopy buffering. This effect may vary between years (2023 vs 2024) due to interannual climatic differences.</w:t>
      </w:r>
      <w:r/>
    </w:p>
    <w:p>
      <w:pPr>
        <w:pBdr/>
        <w:spacing w:after="80"/>
        <w:ind/>
        <w:rPr/>
      </w:pPr>
      <w:r>
        <w:rPr>
          <w:rFonts w:ascii="Arial" w:hAnsi="Arial" w:eastAsia="Arial" w:cs="Arial"/>
          <w:b/>
          <w:bCs/>
          <w:sz w:val="22"/>
          <w:szCs w:val="22"/>
        </w:rPr>
        <w:t xml:space="preserve">H1b (Relative Humidity):</w:t>
      </w:r>
      <w:r/>
    </w:p>
    <w:p>
      <w:pPr>
        <w:pBdr/>
        <w:spacing w:after="120"/>
        <w:ind/>
        <w:rPr/>
      </w:pPr>
      <w:r>
        <w:rPr>
          <w:rFonts w:ascii="Arial" w:hAnsi="Arial" w:eastAsia="Arial" w:cs="Arial"/>
          <w:sz w:val="22"/>
          <w:szCs w:val="22"/>
        </w:rPr>
        <w:t xml:space="preserve">Weekly mean relative humidity during the dry season increases with increasing distance from the forest edge. Edge plots are expected to be drier due to greater exposure to wind and solar heating, which increases evaporative demand.</w:t>
      </w:r>
      <w:r/>
    </w:p>
    <w:p>
      <w:pPr>
        <w:pStyle w:val="748"/>
        <w:pBdr/>
        <w:spacing w:after="120" w:before="240"/>
        <w:ind/>
        <w:rPr/>
      </w:pPr>
      <w:r>
        <w:rPr>
          <w:rFonts w:ascii="Arial" w:hAnsi="Arial" w:eastAsia="Arial" w:cs="Arial"/>
        </w:rPr>
        <w:t xml:space="preserve">Analysis</w:t>
      </w:r>
      <w:r/>
    </w:p>
    <w:p>
      <w:pPr>
        <w:pBdr/>
        <w:spacing w:after="80"/>
        <w:ind/>
        <w:rPr/>
      </w:pPr>
      <w:r>
        <w:rPr>
          <w:rFonts w:ascii="Arial" w:hAnsi="Arial" w:eastAsia="Arial" w:cs="Arial"/>
          <w:b/>
          <w:bCs/>
          <w:sz w:val="22"/>
          <w:szCs w:val="22"/>
        </w:rPr>
        <w:t xml:space="preserve">Response variables:</w:t>
      </w:r>
      <w:r/>
    </w:p>
    <w:p>
      <w:pPr>
        <w:pStyle w:val="739"/>
        <w:numPr>
          <w:ilvl w:val="0"/>
          <w:numId w:val="2"/>
        </w:numPr>
        <w:pBdr/>
        <w:spacing w:after="60"/>
        <w:ind/>
        <w:rPr/>
      </w:pPr>
      <w:r>
        <w:rPr>
          <w:rFonts w:ascii="Arial" w:hAnsi="Arial" w:eastAsia="Arial" w:cs="Arial"/>
          <w:sz w:val="22"/>
          <w:szCs w:val="22"/>
        </w:rPr>
        <w:t xml:space="preserve">Weekly mean temperature (°C) per plot</w:t>
      </w:r>
      <w:r/>
    </w:p>
    <w:p>
      <w:pPr>
        <w:pStyle w:val="739"/>
        <w:numPr>
          <w:ilvl w:val="0"/>
          <w:numId w:val="2"/>
        </w:numPr>
        <w:pBdr/>
        <w:spacing w:after="60"/>
        <w:ind/>
        <w:rPr/>
      </w:pPr>
      <w:r>
        <w:rPr>
          <w:rFonts w:ascii="Arial" w:hAnsi="Arial" w:eastAsia="Arial" w:cs="Arial"/>
          <w:sz w:val="22"/>
          <w:szCs w:val="22"/>
        </w:rPr>
        <w:t xml:space="preserve">Weekly mean relative humidity (%) per plot</w:t>
      </w:r>
      <w:r/>
    </w:p>
    <w:p>
      <w:pPr>
        <w:pBdr/>
        <w:spacing w:after="80"/>
        <w:ind/>
        <w:rPr/>
      </w:pPr>
      <w:r>
        <w:rPr>
          <w:rFonts w:ascii="Arial" w:hAnsi="Arial" w:eastAsia="Arial" w:cs="Arial"/>
          <w:b/>
          <w:bCs/>
          <w:sz w:val="22"/>
          <w:szCs w:val="22"/>
        </w:rPr>
        <w:t xml:space="preserve">Data subset: Dry season only.</w:t>
      </w:r>
      <w:r/>
    </w:p>
    <w:p>
      <w:pPr>
        <w:pBdr/>
        <w:spacing w:after="40"/>
        <w:ind/>
        <w:rPr/>
      </w:pPr>
      <w:r/>
      <w:r/>
    </w:p>
    <w:p>
      <w:pPr>
        <w:pBdr/>
        <w:spacing w:after="80"/>
        <w:ind/>
        <w:rPr/>
      </w:pPr>
      <w:r>
        <w:rPr>
          <w:rFonts w:ascii="Arial" w:hAnsi="Arial" w:eastAsia="Arial" w:cs="Arial"/>
          <w:b/>
          <w:bCs/>
          <w:sz w:val="22"/>
          <w:szCs w:val="22"/>
        </w:rPr>
        <w:t xml:space="preserve">Model specification (lme4 notation):</w:t>
      </w:r>
      <w:r/>
    </w:p>
    <w:p>
      <w:pPr>
        <w:pBdr/>
        <w:spacing w:after="100"/>
        <w:ind w:left="360"/>
        <w:rPr/>
      </w:pPr>
      <w:r>
        <w:rPr>
          <w:rFonts w:ascii="Consolas" w:hAnsi="Consolas" w:eastAsia="Consolas" w:cs="Consolas"/>
          <w:color w:val="2e5090"/>
          <w:sz w:val="20"/>
          <w:szCs w:val="20"/>
        </w:rPr>
        <w:t xml:space="preserve">weekly_mean_T ~ distance_to_edge_m * year + (1 | line/plot)</w:t>
      </w:r>
      <w:r/>
    </w:p>
    <w:p>
      <w:pPr>
        <w:pBdr/>
        <w:spacing w:after="100"/>
        <w:ind w:left="360"/>
        <w:rPr/>
      </w:pPr>
      <w:r>
        <w:rPr>
          <w:rFonts w:ascii="Consolas" w:hAnsi="Consolas" w:eastAsia="Consolas" w:cs="Consolas"/>
          <w:color w:val="2e5090"/>
          <w:sz w:val="20"/>
          <w:szCs w:val="20"/>
        </w:rPr>
        <w:t xml:space="preserve">weekly_mean_RH ~ distance_to_edge_m * year + (1 | line/plot)</w:t>
      </w:r>
      <w:r/>
    </w:p>
    <w:p>
      <w:pPr>
        <w:pBdr/>
        <w:spacing w:after="40"/>
        <w:ind/>
        <w:rPr/>
      </w:pPr>
      <w:r/>
      <w:r/>
    </w:p>
    <w:p>
      <w:pPr>
        <w:pBdr/>
        <w:spacing w:after="80"/>
        <w:ind/>
        <w:rPr/>
      </w:pPr>
      <w:r>
        <w:rPr>
          <w:rFonts w:ascii="Arial" w:hAnsi="Arial" w:eastAsia="Arial" w:cs="Arial"/>
          <w:b/>
          <w:bCs/>
          <w:sz w:val="22"/>
          <w:szCs w:val="22"/>
        </w:rPr>
        <w:t xml:space="preserve">Fixed effects:</w:t>
      </w:r>
      <w:r/>
    </w:p>
    <w:p>
      <w:pPr>
        <w:pStyle w:val="739"/>
        <w:numPr>
          <w:ilvl w:val="0"/>
          <w:numId w:val="2"/>
        </w:numPr>
        <w:pBdr/>
        <w:spacing w:after="60"/>
        <w:ind/>
        <w:rPr/>
      </w:pPr>
      <w:r>
        <w:rPr>
          <w:rFonts w:ascii="Arial" w:hAnsi="Arial" w:eastAsia="Arial" w:cs="Arial"/>
          <w:sz w:val="22"/>
          <w:szCs w:val="22"/>
        </w:rPr>
        <w:t xml:space="preserve">distance_to_edge_m: continuous predictor (primary effect of interest)</w:t>
      </w:r>
      <w:r/>
    </w:p>
    <w:p>
      <w:pPr>
        <w:pStyle w:val="739"/>
        <w:numPr>
          <w:ilvl w:val="0"/>
          <w:numId w:val="2"/>
        </w:numPr>
        <w:pBdr/>
        <w:spacing w:after="60"/>
        <w:ind/>
        <w:rPr/>
      </w:pPr>
      <w:r>
        <w:rPr>
          <w:rFonts w:ascii="Arial" w:hAnsi="Arial" w:eastAsia="Arial" w:cs="Arial"/>
          <w:sz w:val="22"/>
          <w:szCs w:val="22"/>
        </w:rPr>
        <w:t xml:space="preserve">year: categorical (2023 vs 2024)</w:t>
      </w:r>
      <w:r/>
    </w:p>
    <w:p>
      <w:pPr>
        <w:pStyle w:val="739"/>
        <w:numPr>
          <w:ilvl w:val="0"/>
          <w:numId w:val="2"/>
        </w:numPr>
        <w:pBdr/>
        <w:spacing w:after="60"/>
        <w:ind/>
        <w:rPr/>
      </w:pPr>
      <w:r>
        <w:rPr>
          <w:rFonts w:ascii="Arial" w:hAnsi="Arial" w:eastAsia="Arial" w:cs="Arial"/>
          <w:sz w:val="22"/>
          <w:szCs w:val="22"/>
        </w:rPr>
        <w:t xml:space="preserve">distance_to_edge_m × year: interaction testing whether the edge gradient differs between years</w:t>
      </w:r>
      <w:r/>
    </w:p>
    <w:p>
      <w:pPr>
        <w:pBdr/>
        <w:spacing w:after="80"/>
        <w:ind/>
        <w:rPr/>
      </w:pPr>
      <w:r>
        <w:rPr>
          <w:rFonts w:ascii="Arial" w:hAnsi="Arial" w:eastAsia="Arial" w:cs="Arial"/>
          <w:b/>
          <w:bCs/>
          <w:sz w:val="22"/>
          <w:szCs w:val="22"/>
        </w:rPr>
        <w:t xml:space="preserve">Random effects:</w:t>
      </w:r>
      <w:r/>
    </w:p>
    <w:p>
      <w:pPr>
        <w:pStyle w:val="739"/>
        <w:numPr>
          <w:ilvl w:val="0"/>
          <w:numId w:val="2"/>
        </w:numPr>
        <w:pBdr/>
        <w:spacing w:after="60"/>
        <w:ind/>
        <w:rPr/>
      </w:pPr>
      <w:r>
        <w:rPr>
          <w:rFonts w:ascii="Arial" w:hAnsi="Arial" w:eastAsia="Arial" w:cs="Arial"/>
          <w:sz w:val="22"/>
          <w:szCs w:val="22"/>
        </w:rPr>
        <w:t xml:space="preserve">(1 | line/plot): plot nested within line as random intercept, accounting for spatial non-independence of repeated weekly measurements within the same plot</w:t>
      </w:r>
      <w:r/>
    </w:p>
    <w:p>
      <w:pPr>
        <w:pStyle w:val="747"/>
        <w:pBdr/>
        <w:spacing w:after="120" w:before="240"/>
        <w:ind/>
        <w:rPr/>
      </w:pPr>
      <w:r>
        <w:rPr>
          <w:rFonts w:ascii="Arial" w:hAnsi="Arial" w:eastAsia="Arial" w:cs="Arial"/>
        </w:rPr>
        <w:t xml:space="preserve">Question 2: Microclimatic Fluctuations Along the Edge Gradient</w:t>
      </w:r>
      <w:r/>
    </w:p>
    <w:p>
      <w:pPr>
        <w:pBdr/>
        <w:spacing w:after="120"/>
        <w:ind/>
        <w:rPr/>
      </w:pPr>
      <w:r>
        <w:rPr>
          <w:rFonts w:ascii="Arial" w:hAnsi="Arial" w:eastAsia="Arial" w:cs="Arial"/>
          <w:sz w:val="22"/>
          <w:szCs w:val="22"/>
        </w:rPr>
        <w:t xml:space="preserve">Do edge plots experience stronger microclimatic fluctuations than interior plots?</w:t>
      </w:r>
      <w:r/>
    </w:p>
    <w:p>
      <w:pPr>
        <w:pStyle w:val="748"/>
        <w:pBdr/>
        <w:spacing w:after="120" w:before="240"/>
        <w:ind/>
        <w:rPr/>
      </w:pPr>
      <w:r>
        <w:rPr>
          <w:rFonts w:ascii="Arial" w:hAnsi="Arial" w:eastAsia="Arial" w:cs="Arial"/>
        </w:rPr>
        <w:t xml:space="preserve">Hypotheses</w:t>
      </w:r>
      <w:r/>
    </w:p>
    <w:p>
      <w:pPr>
        <w:pBdr/>
        <w:spacing w:after="80"/>
        <w:ind/>
        <w:rPr/>
      </w:pPr>
      <w:r>
        <w:rPr>
          <w:rFonts w:ascii="Arial" w:hAnsi="Arial" w:eastAsia="Arial" w:cs="Arial"/>
          <w:b/>
          <w:bCs/>
          <w:sz w:val="22"/>
          <w:szCs w:val="22"/>
        </w:rPr>
        <w:t xml:space="preserve">H2a (Temperature fluctuations):</w:t>
      </w:r>
      <w:r/>
    </w:p>
    <w:p>
      <w:pPr>
        <w:pBdr/>
        <w:spacing w:after="120"/>
        <w:ind/>
        <w:rPr/>
      </w:pPr>
      <w:r>
        <w:rPr>
          <w:rFonts w:ascii="Arial" w:hAnsi="Arial" w:eastAsia="Arial" w:cs="Arial"/>
          <w:sz w:val="22"/>
          <w:szCs w:val="22"/>
        </w:rPr>
        <w:t xml:space="preserve">Daily temperature range, standard deviation,</w:t>
      </w:r>
      <w:r>
        <w:rPr>
          <w:rFonts w:ascii="Arial" w:hAnsi="Arial" w:eastAsia="Arial" w:cs="Arial"/>
          <w:sz w:val="22"/>
          <w:szCs w:val="22"/>
        </w:rPr>
        <w:t xml:space="preserve"> and coefficient of variation are larger at edge plots and decrease with increasing distance from the edge. Edge plots experience greater diurnal swings because they are exposed to direct solar heating during the day and greater radiative cooling at night.</w:t>
      </w:r>
      <w:r/>
    </w:p>
    <w:p>
      <w:pPr>
        <w:pBdr/>
        <w:spacing w:after="80"/>
        <w:ind/>
        <w:rPr/>
      </w:pPr>
      <w:r>
        <w:rPr>
          <w:rFonts w:ascii="Arial" w:hAnsi="Arial" w:eastAsia="Arial" w:cs="Arial"/>
          <w:b/>
          <w:bCs/>
          <w:sz w:val="22"/>
          <w:szCs w:val="22"/>
        </w:rPr>
        <w:t xml:space="preserve">H2b (Relative Humidity fluctuations):</w:t>
      </w:r>
      <w:r/>
    </w:p>
    <w:p>
      <w:pPr>
        <w:pBdr/>
        <w:spacing w:after="120"/>
        <w:ind/>
        <w:rPr/>
      </w:pPr>
      <w:r>
        <w:rPr>
          <w:rFonts w:ascii="Arial" w:hAnsi="Arial" w:eastAsia="Arial" w:cs="Arial"/>
          <w:sz w:val="22"/>
          <w:szCs w:val="22"/>
        </w:rPr>
        <w:t xml:space="preserve">Daily RH range, standard deviation, and coefficient of variation are larger at edge plots. Edges experience sharper daytime RH declines driven by higher temperatures and greater air mixing with the drier external matrix.</w:t>
      </w:r>
      <w:r/>
    </w:p>
    <w:p>
      <w:pPr>
        <w:pStyle w:val="748"/>
        <w:pBdr/>
        <w:spacing w:after="120" w:before="240"/>
        <w:ind/>
        <w:rPr/>
      </w:pPr>
      <w:r>
        <w:rPr>
          <w:rFonts w:ascii="Arial" w:hAnsi="Arial" w:eastAsia="Arial" w:cs="Arial"/>
        </w:rPr>
        <w:t xml:space="preserve">Analysis</w:t>
      </w:r>
      <w:r/>
    </w:p>
    <w:p>
      <w:pPr>
        <w:pBdr/>
        <w:spacing w:after="80"/>
        <w:ind/>
        <w:rPr/>
      </w:pPr>
      <w:r>
        <w:rPr>
          <w:rFonts w:ascii="Arial" w:hAnsi="Arial" w:eastAsia="Arial" w:cs="Arial"/>
          <w:b/>
          <w:bCs/>
          <w:sz w:val="22"/>
          <w:szCs w:val="22"/>
        </w:rPr>
        <w:t xml:space="preserve">Response variables (computed per plot-day):</w:t>
      </w:r>
      <w:r/>
    </w:p>
    <w:p>
      <w:pPr>
        <w:pStyle w:val="739"/>
        <w:numPr>
          <w:ilvl w:val="0"/>
          <w:numId w:val="2"/>
        </w:numPr>
        <w:pBdr/>
        <w:spacing w:after="60"/>
        <w:ind/>
        <w:rPr/>
      </w:pPr>
      <w:r>
        <w:rPr>
          <w:rFonts w:ascii="Arial" w:hAnsi="Arial" w:eastAsia="Arial" w:cs="Arial"/>
          <w:sz w:val="22"/>
          <w:szCs w:val="22"/>
        </w:rPr>
        <w:t xml:space="preserve">Daily temperature range (daily max – daily min)</w:t>
      </w:r>
      <w:r/>
    </w:p>
    <w:p>
      <w:pPr>
        <w:pStyle w:val="739"/>
        <w:numPr>
          <w:ilvl w:val="0"/>
          <w:numId w:val="2"/>
        </w:numPr>
        <w:pBdr/>
        <w:spacing w:after="60"/>
        <w:ind/>
        <w:rPr/>
      </w:pPr>
      <w:r>
        <w:rPr>
          <w:rFonts w:ascii="Arial" w:hAnsi="Arial" w:eastAsia="Arial" w:cs="Arial"/>
          <w:sz w:val="22"/>
          <w:szCs w:val="22"/>
        </w:rPr>
        <w:t xml:space="preserve">Daily temperature SD</w:t>
      </w:r>
      <w:r/>
    </w:p>
    <w:p>
      <w:pPr>
        <w:pStyle w:val="739"/>
        <w:numPr>
          <w:ilvl w:val="0"/>
          <w:numId w:val="2"/>
        </w:numPr>
        <w:pBdr/>
        <w:spacing w:after="60"/>
        <w:ind/>
        <w:rPr/>
      </w:pPr>
      <w:r>
        <w:rPr>
          <w:rFonts w:ascii="Arial" w:hAnsi="Arial" w:eastAsia="Arial" w:cs="Arial"/>
          <w:sz w:val="22"/>
          <w:szCs w:val="22"/>
        </w:rPr>
        <w:t xml:space="preserve">Daily temperature CV (SD / mean × 100)</w:t>
      </w:r>
      <w:r/>
    </w:p>
    <w:p>
      <w:pPr>
        <w:pStyle w:val="739"/>
        <w:numPr>
          <w:ilvl w:val="0"/>
          <w:numId w:val="2"/>
        </w:numPr>
        <w:pBdr/>
        <w:spacing w:after="60"/>
        <w:ind/>
        <w:rPr/>
      </w:pPr>
      <w:r>
        <w:rPr>
          <w:rFonts w:ascii="Arial" w:hAnsi="Arial" w:eastAsia="Arial" w:cs="Arial"/>
          <w:sz w:val="22"/>
          <w:szCs w:val="22"/>
        </w:rPr>
        <w:t xml:space="preserve">Daily RH range, SD, and CV (same structure)</w:t>
      </w:r>
      <w:r/>
    </w:p>
    <w:p>
      <w:pPr>
        <w:pBdr/>
        <w:spacing w:after="80"/>
        <w:ind/>
        <w:rPr/>
      </w:pPr>
      <w:r>
        <w:rPr>
          <w:rFonts w:ascii="Arial" w:hAnsi="Arial" w:eastAsia="Arial" w:cs="Arial"/>
          <w:i/>
          <w:iCs/>
          <w:sz w:val="22"/>
          <w:szCs w:val="22"/>
        </w:rPr>
        <w:t xml:space="preserve">Note: Daily max and min are computed but not modelled individually (per supervisor guidance). They feed into range, SD, and CV calculations.</w:t>
      </w:r>
      <w:r/>
    </w:p>
    <w:p>
      <w:pPr>
        <w:pBdr/>
        <w:spacing w:after="40"/>
        <w:ind/>
        <w:rPr/>
      </w:pPr>
      <w:r/>
      <w:r/>
    </w:p>
    <w:p>
      <w:pPr>
        <w:pBdr/>
        <w:spacing w:after="80"/>
        <w:ind/>
        <w:rPr/>
      </w:pPr>
      <w:r>
        <w:rPr>
          <w:rFonts w:ascii="Arial" w:hAnsi="Arial" w:eastAsia="Arial" w:cs="Arial"/>
          <w:b/>
          <w:bCs/>
          <w:sz w:val="22"/>
          <w:szCs w:val="22"/>
        </w:rPr>
        <w:t xml:space="preserve">Data subset: Dry season only.</w:t>
      </w:r>
      <w:r/>
    </w:p>
    <w:p>
      <w:pPr>
        <w:pBdr/>
        <w:spacing w:after="40"/>
        <w:ind/>
        <w:rPr/>
      </w:pPr>
      <w:r/>
      <w:r/>
    </w:p>
    <w:p>
      <w:pPr>
        <w:pBdr/>
        <w:spacing w:after="80"/>
        <w:ind/>
        <w:rPr/>
      </w:pPr>
      <w:r>
        <w:rPr>
          <w:rFonts w:ascii="Arial" w:hAnsi="Arial" w:eastAsia="Arial" w:cs="Arial"/>
          <w:b/>
          <w:bCs/>
          <w:sz w:val="22"/>
          <w:szCs w:val="22"/>
        </w:rPr>
        <w:t xml:space="preserve">Model specification (example for temperature range):</w:t>
      </w:r>
      <w:r/>
    </w:p>
    <w:p>
      <w:pPr>
        <w:pBdr/>
        <w:spacing w:after="100"/>
        <w:ind w:left="360"/>
        <w:rPr/>
      </w:pPr>
      <w:r>
        <w:rPr>
          <w:rFonts w:ascii="Consolas" w:hAnsi="Consolas" w:eastAsia="Consolas" w:cs="Consolas"/>
          <w:color w:val="2e5090"/>
          <w:sz w:val="20"/>
          <w:szCs w:val="20"/>
        </w:rPr>
        <w:t xml:space="preserve">daily_temp_range ~ distance_to_edge_m * year + (1 | line/plot) + (1 | month)</w:t>
      </w:r>
      <w:r/>
    </w:p>
    <w:p>
      <w:pPr>
        <w:pBdr/>
        <w:spacing w:after="100"/>
        <w:ind w:left="360"/>
        <w:rPr/>
      </w:pPr>
      <w:r>
        <w:rPr>
          <w:rFonts w:ascii="Consolas" w:hAnsi="Consolas" w:eastAsia="Consolas" w:cs="Consolas"/>
          <w:color w:val="2e5090"/>
          <w:sz w:val="20"/>
          <w:szCs w:val="20"/>
        </w:rPr>
        <w:t xml:space="preserve">daily_temp_SD   ~ distance_to_edge_m * year + (1 | line/plot) + (1 | month)</w:t>
      </w:r>
      <w:r/>
    </w:p>
    <w:p>
      <w:pPr>
        <w:pBdr/>
        <w:spacing w:after="100"/>
        <w:ind w:left="360"/>
        <w:rPr/>
      </w:pPr>
      <w:r>
        <w:rPr>
          <w:rFonts w:ascii="Consolas" w:hAnsi="Consolas" w:eastAsia="Consolas" w:cs="Consolas"/>
          <w:color w:val="2e5090"/>
          <w:sz w:val="20"/>
          <w:szCs w:val="20"/>
        </w:rPr>
        <w:t xml:space="preserve">daily_temp_CV   ~ distance_to_edge_m * year + (1 | line/plot) + (1 | month)</w:t>
      </w:r>
      <w:r/>
    </w:p>
    <w:p>
      <w:pPr>
        <w:pBdr/>
        <w:spacing w:after="120"/>
        <w:ind/>
        <w:rPr/>
      </w:pPr>
      <w:r>
        <w:rPr>
          <w:rFonts w:ascii="Arial" w:hAnsi="Arial" w:eastAsia="Arial" w:cs="Arial"/>
          <w:sz w:val="22"/>
          <w:szCs w:val="22"/>
        </w:rPr>
        <w:t xml:space="preserve">Same structure repeated for daily_rh_range, daily_rh_SD, daily_rh_CV.</w:t>
      </w:r>
      <w:r/>
    </w:p>
    <w:p>
      <w:pPr>
        <w:pBdr/>
        <w:spacing w:after="80"/>
        <w:ind/>
        <w:rPr/>
      </w:pPr>
      <w:r>
        <w:rPr>
          <w:rFonts w:ascii="Arial" w:hAnsi="Arial" w:eastAsia="Arial" w:cs="Arial"/>
          <w:b/>
          <w:bCs/>
          <w:sz w:val="22"/>
          <w:szCs w:val="22"/>
        </w:rPr>
        <w:t xml:space="preserve">Fixed effects:</w:t>
      </w:r>
      <w:r/>
    </w:p>
    <w:p>
      <w:pPr>
        <w:pStyle w:val="739"/>
        <w:numPr>
          <w:ilvl w:val="0"/>
          <w:numId w:val="2"/>
        </w:numPr>
        <w:pBdr/>
        <w:spacing w:after="60"/>
        <w:ind/>
        <w:rPr/>
      </w:pPr>
      <w:r>
        <w:rPr>
          <w:rFonts w:ascii="Arial" w:hAnsi="Arial" w:eastAsia="Arial" w:cs="Arial"/>
          <w:sz w:val="22"/>
          <w:szCs w:val="22"/>
        </w:rPr>
        <w:t xml:space="preserve">distance_to_edge_m × year (same as Q1)</w:t>
      </w:r>
      <w:r/>
    </w:p>
    <w:p>
      <w:pPr>
        <w:pBdr/>
        <w:spacing w:after="80"/>
        <w:ind/>
        <w:rPr/>
      </w:pPr>
      <w:r>
        <w:rPr>
          <w:rFonts w:ascii="Arial" w:hAnsi="Arial" w:eastAsia="Arial" w:cs="Arial"/>
          <w:b/>
          <w:bCs/>
          <w:sz w:val="22"/>
          <w:szCs w:val="22"/>
        </w:rPr>
        <w:t xml:space="preserve">Random effects:</w:t>
      </w:r>
      <w:r/>
    </w:p>
    <w:p>
      <w:pPr>
        <w:pStyle w:val="739"/>
        <w:numPr>
          <w:ilvl w:val="0"/>
          <w:numId w:val="2"/>
        </w:numPr>
        <w:pBdr/>
        <w:spacing w:after="60"/>
        <w:ind/>
        <w:rPr/>
      </w:pPr>
      <w:r>
        <w:rPr>
          <w:rFonts w:ascii="Arial" w:hAnsi="Arial" w:eastAsia="Arial" w:cs="Arial"/>
          <w:sz w:val="22"/>
          <w:szCs w:val="22"/>
        </w:rPr>
        <w:t xml:space="preserve">(1 | line/plot): spatial nesting</w:t>
      </w:r>
      <w:r/>
    </w:p>
    <w:p>
      <w:pPr>
        <w:pStyle w:val="739"/>
        <w:numPr>
          <w:ilvl w:val="0"/>
          <w:numId w:val="2"/>
        </w:numPr>
        <w:pBdr/>
        <w:spacing w:after="60"/>
        <w:ind/>
        <w:rPr/>
      </w:pPr>
      <w:r>
        <w:rPr>
          <w:rFonts w:ascii="Arial" w:hAnsi="Arial" w:eastAsia="Arial" w:cs="Arial"/>
          <w:sz w:val="22"/>
          <w:szCs w:val="22"/>
        </w:rPr>
        <w:t xml:space="preserve">(1 | month): accounts for baseline climate differences across dry-season months (e.g., January is cooler than March; late-season rain showers in May may dampen daily fluctuations)</w:t>
      </w:r>
      <w:r/>
    </w:p>
    <w:p>
      <w:pPr>
        <w:pStyle w:val="747"/>
        <w:pBdr/>
        <w:spacing w:after="120" w:before="240"/>
        <w:ind/>
        <w:rPr/>
      </w:pPr>
      <w:r>
        <w:rPr>
          <w:rFonts w:ascii="Arial" w:hAnsi="Arial" w:eastAsia="Arial" w:cs="Arial"/>
        </w:rPr>
        <w:t xml:space="preserve">Question 3: Open vs Closed Matrix — Edge Effect Strength</w:t>
      </w:r>
      <w:r/>
    </w:p>
    <w:p>
      <w:pPr>
        <w:pBdr/>
        <w:spacing w:after="120"/>
        <w:ind/>
        <w:rPr/>
      </w:pPr>
      <w:r>
        <w:rPr>
          <w:rFonts w:ascii="Arial" w:hAnsi="Arial" w:eastAsia="Arial" w:cs="Arial"/>
          <w:sz w:val="22"/>
          <w:szCs w:val="22"/>
        </w:rPr>
        <w:t xml:space="preserve">Are edge effects on microclimate stronger in fragments bordered by open matrix (roads, tea, grassland) than in those bordered by forest?</w:t>
      </w:r>
      <w:r/>
    </w:p>
    <w:p>
      <w:pPr>
        <w:pStyle w:val="748"/>
        <w:pBdr/>
        <w:spacing w:after="120" w:before="240"/>
        <w:ind/>
        <w:rPr/>
      </w:pPr>
      <w:r>
        <w:rPr>
          <w:rFonts w:ascii="Arial" w:hAnsi="Arial" w:eastAsia="Arial" w:cs="Arial"/>
        </w:rPr>
        <w:t xml:space="preserve">Hypotheses</w:t>
      </w:r>
      <w:r/>
    </w:p>
    <w:p>
      <w:pPr>
        <w:pBdr/>
        <w:spacing w:after="80"/>
        <w:ind/>
        <w:rPr/>
      </w:pPr>
      <w:r>
        <w:rPr>
          <w:rFonts w:ascii="Arial" w:hAnsi="Arial" w:eastAsia="Arial" w:cs="Arial"/>
          <w:b/>
          <w:bCs/>
          <w:sz w:val="22"/>
          <w:szCs w:val="22"/>
        </w:rPr>
        <w:t xml:space="preserve">H3a (Temperature):</w:t>
      </w:r>
      <w:r/>
    </w:p>
    <w:p>
      <w:pPr>
        <w:pBdr/>
        <w:spacing w:after="120"/>
        <w:ind/>
        <w:rPr/>
      </w:pPr>
      <w:r>
        <w:rPr>
          <w:rFonts w:ascii="Arial" w:hAnsi="Arial" w:eastAsia="Arial" w:cs="Arial"/>
          <w:sz w:val="22"/>
          <w:szCs w:val="22"/>
        </w:rPr>
        <w:t xml:space="preserve">The slope of temperature decline with distance from the edge </w:t>
      </w:r>
      <w:r>
        <w:rPr>
          <w:rFonts w:ascii="Arial" w:hAnsi="Arial" w:eastAsia="Arial" w:cs="Arial"/>
          <w:sz w:val="22"/>
          <w:szCs w:val="22"/>
        </w:rPr>
        <w:t xml:space="preserve">is steeper at open-matrix sites (KT20, KT21, KDM) than at closed-canopy sites (MG, DG, NCF). Open edges allow greater penetration of solar radiation and hot, dry air from the surrounding matrix, creating a sharper thermal gradient into the forest interior.</w:t>
      </w:r>
      <w:r/>
    </w:p>
    <w:p>
      <w:pPr>
        <w:pBdr/>
        <w:spacing w:after="80"/>
        <w:ind/>
        <w:rPr/>
      </w:pPr>
      <w:r>
        <w:rPr>
          <w:rFonts w:ascii="Arial" w:hAnsi="Arial" w:eastAsia="Arial" w:cs="Arial"/>
          <w:b/>
          <w:bCs/>
          <w:sz w:val="22"/>
          <w:szCs w:val="22"/>
        </w:rPr>
        <w:t xml:space="preserve">H3b (Relative Humidity):</w:t>
      </w:r>
      <w:r/>
    </w:p>
    <w:p>
      <w:pPr>
        <w:pBdr/>
        <w:spacing w:after="120"/>
        <w:ind/>
        <w:rPr/>
      </w:pPr>
      <w:r>
        <w:rPr>
          <w:rFonts w:ascii="Arial" w:hAnsi="Arial" w:eastAsia="Arial" w:cs="Arial"/>
          <w:sz w:val="22"/>
          <w:szCs w:val="22"/>
        </w:rPr>
        <w:t xml:space="preserve">The slope of RH increase with distance from the edge is steeper at open-matrix sites. The drier, more exposed matrix at open sites drives a stronger humidity gradient.</w:t>
      </w:r>
      <w:r/>
    </w:p>
    <w:p>
      <w:pPr>
        <w:pBdr/>
        <w:spacing w:after="80"/>
        <w:ind/>
        <w:rPr/>
      </w:pPr>
      <w:r>
        <w:rPr>
          <w:rFonts w:ascii="Arial" w:hAnsi="Arial" w:eastAsia="Arial" w:cs="Arial"/>
          <w:b/>
          <w:bCs/>
          <w:sz w:val="22"/>
          <w:szCs w:val="22"/>
        </w:rPr>
        <w:t xml:space="preserve">H3c (Fluctuations):</w:t>
      </w:r>
      <w:r/>
    </w:p>
    <w:p>
      <w:pPr>
        <w:pBdr/>
        <w:spacing w:after="120"/>
        <w:ind/>
        <w:rPr/>
      </w:pPr>
      <w:r>
        <w:rPr>
          <w:rFonts w:ascii="Arial" w:hAnsi="Arial" w:eastAsia="Arial" w:cs="Arial"/>
          <w:sz w:val="22"/>
          <w:szCs w:val="22"/>
        </w:rPr>
        <w:t xml:space="preserve">Daily temperature and RH variability (range, SD, CV) decline more steeply with distance from the edge at open-matrix sites compared to closed-canopy sites.</w:t>
      </w:r>
      <w:r/>
    </w:p>
    <w:p>
      <w:pPr>
        <w:pStyle w:val="748"/>
        <w:pBdr/>
        <w:spacing w:after="120" w:before="240"/>
        <w:ind/>
        <w:rPr/>
      </w:pPr>
      <w:r>
        <w:rPr>
          <w:rFonts w:ascii="Arial" w:hAnsi="Arial" w:eastAsia="Arial" w:cs="Arial"/>
        </w:rPr>
        <w:t xml:space="preserve">Analysis</w:t>
      </w:r>
      <w:r/>
    </w:p>
    <w:p>
      <w:pPr>
        <w:pBdr/>
        <w:spacing w:after="80"/>
        <w:ind/>
        <w:rPr/>
      </w:pPr>
      <w:r>
        <w:rPr>
          <w:rFonts w:ascii="Arial" w:hAnsi="Arial" w:eastAsia="Arial" w:cs="Arial"/>
          <w:b/>
          <w:bCs/>
          <w:sz w:val="22"/>
          <w:szCs w:val="22"/>
        </w:rPr>
        <w:t xml:space="preserve">Approach: add edge_type (open/closed) as a binary categorical fixed effect interacted with distance.</w:t>
      </w:r>
      <w:r/>
    </w:p>
    <w:p>
      <w:pPr>
        <w:pBdr/>
        <w:spacing w:after="40"/>
        <w:ind/>
        <w:rPr/>
      </w:pPr>
      <w:r/>
      <w:r/>
    </w:p>
    <w:p>
      <w:pPr>
        <w:pBdr/>
        <w:spacing w:after="80"/>
        <w:ind/>
        <w:rPr/>
      </w:pPr>
      <w:r>
        <w:rPr>
          <w:rFonts w:ascii="Arial" w:hAnsi="Arial" w:eastAsia="Arial" w:cs="Arial"/>
          <w:b/>
          <w:bCs/>
          <w:sz w:val="22"/>
          <w:szCs w:val="22"/>
        </w:rPr>
        <w:t xml:space="preserve">Model specification:</w:t>
      </w:r>
      <w:r/>
    </w:p>
    <w:p>
      <w:pPr>
        <w:pBdr/>
        <w:spacing w:after="100"/>
        <w:ind w:left="360"/>
        <w:rPr/>
      </w:pPr>
      <w:r>
        <w:rPr>
          <w:rFonts w:ascii="Consolas" w:hAnsi="Consolas" w:eastAsia="Consolas" w:cs="Consolas"/>
          <w:color w:val="2e5090"/>
          <w:sz w:val="20"/>
          <w:szCs w:val="20"/>
        </w:rPr>
        <w:t xml:space="preserve">weekly_mean_T ~ distance_to_edge_m * year * edge_type + (1 | line/plot)</w:t>
      </w:r>
      <w:r/>
    </w:p>
    <w:p>
      <w:pPr>
        <w:pBdr/>
        <w:spacing w:after="100"/>
        <w:ind w:left="360"/>
        <w:rPr/>
      </w:pPr>
      <w:r>
        <w:rPr>
          <w:rFonts w:ascii="Consolas" w:hAnsi="Consolas" w:eastAsia="Consolas" w:cs="Consolas"/>
          <w:color w:val="2e5090"/>
          <w:sz w:val="20"/>
          <w:szCs w:val="20"/>
        </w:rPr>
        <w:t xml:space="preserve">weekly_mean_RH ~ distance_to_edge_m * year * edge_type + (1 | line/plot)</w:t>
      </w:r>
      <w:r/>
    </w:p>
    <w:p>
      <w:pPr>
        <w:pBdr/>
        <w:spacing w:after="100"/>
        <w:ind w:left="360"/>
        <w:rPr/>
      </w:pPr>
      <w:r>
        <w:rPr>
          <w:rFonts w:ascii="Consolas" w:hAnsi="Consolas" w:eastAsia="Consolas" w:cs="Consolas"/>
          <w:color w:val="2e5090"/>
          <w:sz w:val="20"/>
          <w:szCs w:val="20"/>
        </w:rPr>
        <w:t xml:space="preserve">daily_temp_range ~ distance_to_edge_m * year * edge_type + (1 | line/plot) + (1 | month)</w:t>
      </w:r>
      <w:r/>
    </w:p>
    <w:p>
      <w:pPr>
        <w:pBdr/>
        <w:spacing w:after="120"/>
        <w:ind/>
        <w:rPr/>
      </w:pPr>
      <w:r>
        <w:rPr>
          <w:rFonts w:ascii="Arial" w:hAnsi="Arial" w:eastAsia="Arial" w:cs="Arial"/>
          <w:sz w:val="22"/>
          <w:szCs w:val="22"/>
        </w:rPr>
        <w:t xml:space="preserve">Same structure for all response variables from Q1 and Q2.</w:t>
      </w:r>
      <w:r/>
    </w:p>
    <w:p>
      <w:pPr>
        <w:pBdr/>
        <w:spacing w:after="80"/>
        <w:ind/>
        <w:rPr/>
      </w:pPr>
      <w:r>
        <w:rPr>
          <w:rFonts w:ascii="Arial" w:hAnsi="Arial" w:eastAsia="Arial" w:cs="Arial"/>
          <w:b/>
          <w:bCs/>
          <w:sz w:val="22"/>
          <w:szCs w:val="22"/>
        </w:rPr>
        <w:t xml:space="preserve">Key interaction to test:</w:t>
      </w:r>
      <w:r/>
    </w:p>
    <w:p>
      <w:pPr>
        <w:pStyle w:val="739"/>
        <w:numPr>
          <w:ilvl w:val="0"/>
          <w:numId w:val="2"/>
        </w:numPr>
        <w:pBdr/>
        <w:spacing w:after="60"/>
        <w:ind/>
        <w:rPr/>
      </w:pPr>
      <w:r>
        <w:rPr>
          <w:rFonts w:ascii="Arial" w:hAnsi="Arial" w:eastAsia="Arial" w:cs="Arial"/>
          <w:sz w:val="22"/>
          <w:szCs w:val="22"/>
        </w:rPr>
        <w:t xml:space="preserve">distance_to_edge_m × edge_type: tests whether the microclimate gradient differs between open and closed sites. A significant interaction means edge effects are stronger (steeper slope) in one category.</w:t>
      </w:r>
      <w:r/>
    </w:p>
    <w:p>
      <w:pPr>
        <w:pStyle w:val="739"/>
        <w:numPr>
          <w:ilvl w:val="0"/>
          <w:numId w:val="2"/>
        </w:numPr>
        <w:pBdr/>
        <w:spacing w:after="60"/>
        <w:ind/>
        <w:rPr/>
      </w:pPr>
      <w:r>
        <w:rPr>
          <w:rFonts w:ascii="Arial" w:hAnsi="Arial" w:eastAsia="Arial" w:cs="Arial"/>
          <w:sz w:val="22"/>
          <w:szCs w:val="22"/>
        </w:rPr>
        <w:t xml:space="preserve">Three-way interaction (distance × year × edge_type): tests whether the open/closed difference itself changed between years.</w:t>
      </w:r>
      <w:r/>
    </w:p>
    <w:p>
      <w:pPr>
        <w:pBdr/>
        <w:spacing w:after="80"/>
        <w:ind/>
        <w:rPr/>
      </w:pPr>
      <w:r>
        <w:rPr>
          <w:rFonts w:ascii="Arial" w:hAnsi="Arial" w:eastAsia="Arial" w:cs="Arial"/>
          <w:i/>
          <w:iCs/>
          <w:sz w:val="22"/>
          <w:szCs w:val="22"/>
        </w:rPr>
        <w:t xml:space="preserve">Note: This questi</w:t>
      </w:r>
      <w:r>
        <w:rPr>
          <w:rFonts w:ascii="Arial" w:hAnsi="Arial" w:eastAsia="Arial" w:cs="Arial"/>
          <w:i/>
          <w:iCs/>
          <w:sz w:val="22"/>
          <w:szCs w:val="22"/>
        </w:rPr>
        <w:t xml:space="preserve">on was originally marked as optional due to sample size concerns. The binary open/closed classification (rather than a 3-category scheme) maximises statistical power. If the three-way interaction is not significant, it can be dropped to simplify the model.</w:t>
      </w:r>
      <w:r/>
    </w:p>
    <w:p>
      <w:pPr>
        <w:pStyle w:val="747"/>
        <w:pBdr/>
        <w:spacing w:after="120" w:before="240"/>
        <w:ind/>
        <w:rPr/>
      </w:pPr>
      <w:r>
        <w:rPr>
          <w:rFonts w:ascii="Arial" w:hAnsi="Arial" w:eastAsia="Arial" w:cs="Arial"/>
        </w:rPr>
        <w:t xml:space="preserve">Execution Plan</w:t>
      </w:r>
      <w:r/>
    </w:p>
    <w:p>
      <w:pPr>
        <w:pStyle w:val="748"/>
        <w:pBdr/>
        <w:spacing w:after="120" w:before="240"/>
        <w:ind/>
        <w:rPr/>
      </w:pPr>
      <w:r>
        <w:rPr>
          <w:rFonts w:ascii="Arial" w:hAnsi="Arial" w:eastAsia="Arial" w:cs="Arial"/>
        </w:rPr>
        <w:t xml:space="preserve">Phase 1: Data Preparation</w:t>
      </w:r>
      <w:r/>
    </w:p>
    <w:p>
      <w:pPr>
        <w:pStyle w:val="739"/>
        <w:numPr>
          <w:ilvl w:val="0"/>
          <w:numId w:val="3"/>
        </w:numPr>
        <w:pBdr/>
        <w:spacing w:after="60"/>
        <w:ind/>
        <w:rPr/>
      </w:pPr>
      <w:r>
        <w:rPr>
          <w:rFonts w:ascii="Arial" w:hAnsi="Arial" w:eastAsia="Arial" w:cs="Arial"/>
          <w:sz w:val="22"/>
          <w:szCs w:val="22"/>
        </w:rPr>
        <w:t xml:space="preserve">Read all raw iButton CSVs (2023 + 2024) and Kestrel CSVs (2024) using the existing R data-pulling script as a starting point.</w:t>
      </w:r>
      <w:r/>
    </w:p>
    <w:p>
      <w:pPr>
        <w:pStyle w:val="739"/>
        <w:numPr>
          <w:ilvl w:val="0"/>
          <w:numId w:val="3"/>
        </w:numPr>
        <w:pBdr/>
        <w:spacing w:after="60"/>
        <w:ind/>
        <w:rPr/>
      </w:pPr>
      <w:r>
        <w:rPr>
          <w:rFonts w:ascii="Arial" w:hAnsi="Arial" w:eastAsia="Arial" w:cs="Arial"/>
          <w:sz w:val="22"/>
          <w:szCs w:val="22"/>
        </w:rPr>
        <w:t xml:space="preserve">Join sensor readings to plot metadata (deployment sheets) to get Plot_ID, site, line, and distance_to_edge_m for each observation.</w:t>
      </w:r>
      <w:r/>
    </w:p>
    <w:p>
      <w:pPr>
        <w:pStyle w:val="739"/>
        <w:numPr>
          <w:ilvl w:val="0"/>
          <w:numId w:val="3"/>
        </w:numPr>
        <w:pBdr/>
        <w:spacing w:after="60"/>
        <w:ind/>
        <w:rPr/>
      </w:pPr>
      <w:r>
        <w:rPr>
          <w:rFonts w:ascii="Arial" w:hAnsi="Arial" w:eastAsia="Arial" w:cs="Arial"/>
          <w:sz w:val="22"/>
          <w:szCs w:val="22"/>
        </w:rPr>
        <w:t xml:space="preserve">Convert Kestrel temperatures from Fahrenheit to Celsius. Harmonise column names across instruments.</w:t>
      </w:r>
      <w:r/>
    </w:p>
    <w:p>
      <w:pPr>
        <w:pStyle w:val="739"/>
        <w:numPr>
          <w:ilvl w:val="0"/>
          <w:numId w:val="3"/>
        </w:numPr>
        <w:pBdr/>
        <w:spacing w:after="60"/>
        <w:ind/>
        <w:rPr/>
      </w:pPr>
      <w:r>
        <w:rPr>
          <w:rFonts w:ascii="Arial" w:hAnsi="Arial" w:eastAsia="Arial" w:cs="Arial"/>
          <w:sz w:val="22"/>
          <w:szCs w:val="22"/>
        </w:rPr>
        <w:t xml:space="preserve">Flag and handle quality issues: negative RH values (April 2023), RH &gt; 100% (March 2023), spurious dates (year 2000 entries in Kestrel).</w:t>
      </w:r>
      <w:r/>
    </w:p>
    <w:p>
      <w:pPr>
        <w:pStyle w:val="739"/>
        <w:numPr>
          <w:ilvl w:val="0"/>
          <w:numId w:val="3"/>
        </w:numPr>
        <w:pBdr/>
        <w:spacing w:after="60"/>
        <w:ind/>
        <w:rPr/>
      </w:pPr>
      <w:r>
        <w:rPr>
          <w:rFonts w:ascii="Arial" w:hAnsi="Arial" w:eastAsia="Arial" w:cs="Arial"/>
          <w:sz w:val="22"/>
          <w:szCs w:val="22"/>
        </w:rPr>
        <w:t xml:space="preserve">Add derived columns: edge_type (open/closed), week number, month, year.</w:t>
      </w:r>
      <w:r/>
    </w:p>
    <w:p>
      <w:pPr>
        <w:pStyle w:val="739"/>
        <w:numPr>
          <w:ilvl w:val="0"/>
          <w:numId w:val="3"/>
        </w:numPr>
        <w:pBdr/>
        <w:spacing w:after="60"/>
        <w:ind/>
        <w:rPr/>
      </w:pPr>
      <w:r>
        <w:rPr>
          <w:rFonts w:ascii="Arial" w:hAnsi="Arial" w:eastAsia="Arial" w:cs="Arial"/>
          <w:sz w:val="22"/>
          <w:szCs w:val="22"/>
        </w:rPr>
        <w:t xml:space="preserve">Filter to dry season months only (define dry season boundaries for the study region).</w:t>
      </w:r>
      <w:r/>
    </w:p>
    <w:p>
      <w:pPr>
        <w:pStyle w:val="748"/>
        <w:pBdr/>
        <w:spacing w:after="120" w:before="240"/>
        <w:ind/>
        <w:rPr/>
      </w:pPr>
      <w:r>
        <w:rPr>
          <w:rFonts w:ascii="Arial" w:hAnsi="Arial" w:eastAsia="Arial" w:cs="Arial"/>
        </w:rPr>
        <w:t xml:space="preserve">Phase 2: Summary Statistics</w:t>
      </w:r>
      <w:r/>
    </w:p>
    <w:p>
      <w:pPr>
        <w:pStyle w:val="739"/>
        <w:numPr>
          <w:ilvl w:val="0"/>
          <w:numId w:val="3"/>
        </w:numPr>
        <w:pBdr/>
        <w:spacing w:after="60"/>
        <w:ind/>
        <w:rPr/>
      </w:pPr>
      <w:r>
        <w:rPr>
          <w:rFonts w:ascii="Arial" w:hAnsi="Arial" w:eastAsia="Arial" w:cs="Arial"/>
          <w:sz w:val="22"/>
          <w:szCs w:val="22"/>
        </w:rPr>
        <w:t xml:space="preserve">Compute weekly means of T and RH per plot (for Q1 and Q3).</w:t>
      </w:r>
      <w:r/>
    </w:p>
    <w:p>
      <w:pPr>
        <w:pStyle w:val="739"/>
        <w:numPr>
          <w:ilvl w:val="0"/>
          <w:numId w:val="3"/>
        </w:numPr>
        <w:pBdr/>
        <w:spacing w:after="60"/>
        <w:ind/>
        <w:rPr/>
      </w:pPr>
      <w:r>
        <w:rPr>
          <w:rFonts w:ascii="Arial" w:hAnsi="Arial" w:eastAsia="Arial" w:cs="Arial"/>
          <w:sz w:val="22"/>
          <w:szCs w:val="22"/>
        </w:rPr>
        <w:t xml:space="preserve">Compute daily max, min, range, SD, and CV for T and RH per plot-day (for Q2 and Q3).</w:t>
      </w:r>
      <w:r/>
    </w:p>
    <w:p>
      <w:pPr>
        <w:pStyle w:val="739"/>
        <w:numPr>
          <w:ilvl w:val="0"/>
          <w:numId w:val="3"/>
        </w:numPr>
        <w:pBdr/>
        <w:spacing w:after="60"/>
        <w:ind/>
        <w:rPr/>
      </w:pPr>
      <w:r>
        <w:rPr>
          <w:rFonts w:ascii="Arial" w:hAnsi="Arial" w:eastAsia="Arial" w:cs="Arial"/>
          <w:sz w:val="22"/>
          <w:szCs w:val="22"/>
        </w:rPr>
        <w:t xml:space="preserve">Generate a data-quality summary: observation counts per plot-week, temporal coverage gaps, sensor failures.</w:t>
      </w:r>
      <w:r/>
    </w:p>
    <w:p>
      <w:pPr>
        <w:pStyle w:val="748"/>
        <w:pBdr/>
        <w:spacing w:after="120" w:before="240"/>
        <w:ind/>
        <w:rPr/>
      </w:pPr>
      <w:r>
        <w:rPr>
          <w:rFonts w:ascii="Arial" w:hAnsi="Arial" w:eastAsia="Arial" w:cs="Arial"/>
        </w:rPr>
        <w:t xml:space="preserve">Phase 3: Exploratory Visualisation</w:t>
      </w:r>
      <w:r/>
    </w:p>
    <w:p>
      <w:pPr>
        <w:pStyle w:val="739"/>
        <w:numPr>
          <w:ilvl w:val="0"/>
          <w:numId w:val="3"/>
        </w:numPr>
        <w:pBdr/>
        <w:spacing w:after="60"/>
        <w:ind/>
        <w:rPr/>
      </w:pPr>
      <w:r>
        <w:rPr>
          <w:rFonts w:ascii="Arial" w:hAnsi="Arial" w:eastAsia="Arial" w:cs="Arial"/>
          <w:sz w:val="22"/>
          <w:szCs w:val="22"/>
        </w:rPr>
        <w:t xml:space="preserve">Plot weekly mean T and RH against distance_to_edge_m, faceted by site or edge_type, coloured by year.</w:t>
      </w:r>
      <w:r/>
    </w:p>
    <w:p>
      <w:pPr>
        <w:pStyle w:val="739"/>
        <w:numPr>
          <w:ilvl w:val="0"/>
          <w:numId w:val="3"/>
        </w:numPr>
        <w:pBdr/>
        <w:spacing w:after="60"/>
        <w:ind/>
        <w:rPr/>
      </w:pPr>
      <w:r>
        <w:rPr>
          <w:rFonts w:ascii="Arial" w:hAnsi="Arial" w:eastAsia="Arial" w:cs="Arial"/>
          <w:sz w:val="22"/>
          <w:szCs w:val="22"/>
        </w:rPr>
        <w:t xml:space="preserve">Plot daily range/SD/CV against distance, faceted by month.</w:t>
      </w:r>
      <w:r/>
    </w:p>
    <w:p>
      <w:pPr>
        <w:pStyle w:val="739"/>
        <w:numPr>
          <w:ilvl w:val="0"/>
          <w:numId w:val="3"/>
        </w:numPr>
        <w:pBdr/>
        <w:spacing w:after="60"/>
        <w:ind/>
        <w:rPr/>
      </w:pPr>
      <w:r>
        <w:rPr>
          <w:rFonts w:ascii="Arial" w:hAnsi="Arial" w:eastAsia="Arial" w:cs="Arial"/>
          <w:sz w:val="22"/>
          <w:szCs w:val="22"/>
        </w:rPr>
        <w:t xml:space="preserve">Check distributions of response variables for normality/transformation needs.</w:t>
      </w:r>
      <w:r/>
    </w:p>
    <w:p>
      <w:pPr>
        <w:pStyle w:val="748"/>
        <w:pBdr/>
        <w:spacing w:after="120" w:before="240"/>
        <w:ind/>
        <w:rPr/>
      </w:pPr>
      <w:r>
        <w:rPr>
          <w:rFonts w:ascii="Arial" w:hAnsi="Arial" w:eastAsia="Arial" w:cs="Arial"/>
        </w:rPr>
        <w:t xml:space="preserve">Phase 4: Statistical Modelling</w:t>
      </w:r>
      <w:r/>
    </w:p>
    <w:p>
      <w:pPr>
        <w:pStyle w:val="739"/>
        <w:numPr>
          <w:ilvl w:val="0"/>
          <w:numId w:val="3"/>
        </w:numPr>
        <w:pBdr/>
        <w:spacing w:after="60"/>
        <w:ind/>
        <w:rPr/>
      </w:pPr>
      <w:r>
        <w:rPr>
          <w:rFonts w:ascii="Arial" w:hAnsi="Arial" w:eastAsia="Arial" w:cs="Arial"/>
          <w:sz w:val="22"/>
          <w:szCs w:val="22"/>
        </w:rPr>
        <w:t xml:space="preserve">Fit Q1 models (weekly mean T and RH) using lme4::lmer or equivalent.</w:t>
      </w:r>
      <w:r/>
    </w:p>
    <w:p>
      <w:pPr>
        <w:pStyle w:val="739"/>
        <w:numPr>
          <w:ilvl w:val="0"/>
          <w:numId w:val="3"/>
        </w:numPr>
        <w:pBdr/>
        <w:spacing w:after="60"/>
        <w:ind/>
        <w:rPr/>
      </w:pPr>
      <w:r>
        <w:rPr>
          <w:rFonts w:ascii="Arial" w:hAnsi="Arial" w:eastAsia="Arial" w:cs="Arial"/>
          <w:sz w:val="22"/>
          <w:szCs w:val="22"/>
        </w:rPr>
        <w:t xml:space="preserve">Fit Q2 models (daily range, SD, CV for T and RH).</w:t>
      </w:r>
      <w:r/>
    </w:p>
    <w:p>
      <w:pPr>
        <w:pStyle w:val="739"/>
        <w:numPr>
          <w:ilvl w:val="0"/>
          <w:numId w:val="3"/>
        </w:numPr>
        <w:pBdr/>
        <w:spacing w:after="60"/>
        <w:ind/>
        <w:rPr/>
      </w:pPr>
      <w:r>
        <w:rPr>
          <w:rFonts w:ascii="Arial" w:hAnsi="Arial" w:eastAsia="Arial" w:cs="Arial"/>
          <w:sz w:val="22"/>
          <w:szCs w:val="22"/>
        </w:rPr>
        <w:t xml:space="preserve">Fit Q3 models (add edge_type interaction to Q1 and Q2 models).</w:t>
      </w:r>
      <w:r/>
    </w:p>
    <w:p>
      <w:pPr>
        <w:pStyle w:val="739"/>
        <w:numPr>
          <w:ilvl w:val="0"/>
          <w:numId w:val="3"/>
        </w:numPr>
        <w:pBdr/>
        <w:spacing w:after="60"/>
        <w:ind/>
        <w:rPr/>
      </w:pPr>
      <w:r>
        <w:rPr>
          <w:rFonts w:ascii="Arial" w:hAnsi="Arial" w:eastAsia="Arial" w:cs="Arial"/>
          <w:sz w:val="22"/>
          <w:szCs w:val="22"/>
        </w:rPr>
        <w:t xml:space="preserve">Model diagnostics: residual plots, VIF for collinearity, random effects variance checks. Consider transformations or GLMM if assumptions are violated.</w:t>
      </w:r>
      <w:r/>
    </w:p>
    <w:p>
      <w:pPr>
        <w:pStyle w:val="739"/>
        <w:numPr>
          <w:ilvl w:val="0"/>
          <w:numId w:val="3"/>
        </w:numPr>
        <w:pBdr/>
        <w:spacing w:after="60"/>
        <w:ind/>
        <w:rPr/>
      </w:pPr>
      <w:r>
        <w:rPr>
          <w:rFonts w:ascii="Arial" w:hAnsi="Arial" w:eastAsia="Arial" w:cs="Arial"/>
          <w:sz w:val="22"/>
          <w:szCs w:val="22"/>
        </w:rPr>
        <w:t xml:space="preserve">If three-way interactions (distance × year × edge_type) are non-significant, refit simplified models.</w:t>
      </w:r>
      <w:r/>
    </w:p>
    <w:p>
      <w:pPr>
        <w:pStyle w:val="748"/>
        <w:pBdr/>
        <w:spacing w:after="120" w:before="240"/>
        <w:ind/>
        <w:rPr/>
      </w:pPr>
      <w:r>
        <w:rPr>
          <w:rFonts w:ascii="Arial" w:hAnsi="Arial" w:eastAsia="Arial" w:cs="Arial"/>
        </w:rPr>
        <w:t xml:space="preserve">Phase 5: Results &amp; Reporting</w:t>
      </w:r>
      <w:r/>
    </w:p>
    <w:p>
      <w:pPr>
        <w:pStyle w:val="739"/>
        <w:numPr>
          <w:ilvl w:val="0"/>
          <w:numId w:val="3"/>
        </w:numPr>
        <w:pBdr/>
        <w:spacing w:after="60"/>
        <w:ind/>
        <w:rPr/>
      </w:pPr>
      <w:r>
        <w:rPr>
          <w:rFonts w:ascii="Arial" w:hAnsi="Arial" w:eastAsia="Arial" w:cs="Arial"/>
          <w:sz w:val="22"/>
          <w:szCs w:val="22"/>
        </w:rPr>
        <w:t xml:space="preserve">Summary tables of model coefficients, confidence intervals, and p-values.</w:t>
      </w:r>
      <w:r/>
    </w:p>
    <w:p>
      <w:pPr>
        <w:pStyle w:val="739"/>
        <w:numPr>
          <w:ilvl w:val="0"/>
          <w:numId w:val="3"/>
        </w:numPr>
        <w:pBdr/>
        <w:spacing w:after="60"/>
        <w:ind/>
        <w:rPr/>
      </w:pPr>
      <w:r>
        <w:rPr>
          <w:rFonts w:ascii="Arial" w:hAnsi="Arial" w:eastAsia="Arial" w:cs="Arial"/>
          <w:sz w:val="22"/>
          <w:szCs w:val="22"/>
        </w:rPr>
        <w:t xml:space="preserve">Publication-quality figures: interaction plots, predicted gradient curves with confidence bands.</w:t>
      </w:r>
      <w:r/>
    </w:p>
    <w:p>
      <w:pPr>
        <w:pStyle w:val="739"/>
        <w:numPr>
          <w:ilvl w:val="0"/>
          <w:numId w:val="3"/>
        </w:numPr>
        <w:pBdr/>
        <w:spacing w:after="60"/>
        <w:ind/>
        <w:rPr/>
      </w:pPr>
      <w:r>
        <w:rPr>
          <w:rFonts w:ascii="Arial" w:hAnsi="Arial" w:eastAsia="Arial" w:cs="Arial"/>
          <w:sz w:val="22"/>
          <w:szCs w:val="22"/>
        </w:rPr>
        <w:t xml:space="preserve">Compare canopy openness data (from hemispherical photos) with microclimate patterns as supporting evidence.</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808080"/>
        <w:sz w:val="18"/>
        <w:szCs w:val="18"/>
      </w:rPr>
      <w:t xml:space="preserve">Page </w:t>
    </w:r>
    <w:r>
      <w:rPr>
        <w:rFonts w:ascii="Arial" w:hAnsi="Arial" w:eastAsia="Arial" w:cs="Arial"/>
        <w:color w:val="808080"/>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Arial" w:hAnsi="Arial" w:eastAsia="Arial" w:cs="Arial"/>
        <w:i/>
        <w:iCs/>
        <w:color w:val="808080"/>
        <w:sz w:val="18"/>
        <w:szCs w:val="18"/>
      </w:rPr>
      <w:t xml:space="preserve">Microclimate Thesis — Updated Hypotheses &amp; Analysis Plan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5"/>
    <w:uiPriority w:val="9"/>
    <w:pPr>
      <w:pBdr/>
      <w:spacing/>
      <w:ind/>
    </w:pPr>
    <w:rPr>
      <w:rFonts w:ascii="Arial" w:hAnsi="Arial" w:eastAsia="Arial" w:cs="Arial"/>
      <w:i/>
      <w:iCs/>
      <w:color w:val="0f4761" w:themeColor="accent1" w:themeShade="BF"/>
    </w:rPr>
  </w:style>
  <w:style w:type="character" w:styleId="154">
    <w:name w:val="Heading 5 Char"/>
    <w:basedOn w:val="148"/>
    <w:link w:val="736"/>
    <w:uiPriority w:val="9"/>
    <w:pPr>
      <w:pBdr/>
      <w:spacing/>
      <w:ind/>
    </w:pPr>
    <w:rPr>
      <w:rFonts w:ascii="Arial" w:hAnsi="Arial" w:eastAsia="Arial" w:cs="Arial"/>
      <w:color w:val="0f4761" w:themeColor="accent1" w:themeShade="BF"/>
    </w:rPr>
  </w:style>
  <w:style w:type="character" w:styleId="155">
    <w:name w:val="Heading 6 Char"/>
    <w:basedOn w:val="148"/>
    <w:link w:val="73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1">
    <w:name w:val="Title"/>
    <w:qFormat/>
    <w:pPr>
      <w:pBdr/>
      <w:spacing/>
      <w:ind/>
    </w:pPr>
    <w:rPr>
      <w:sz w:val="56"/>
      <w:szCs w:val="56"/>
    </w:rPr>
  </w:style>
  <w:style w:type="paragraph" w:styleId="735">
    <w:name w:val="Heading 4"/>
    <w:qFormat/>
    <w:pPr>
      <w:pBdr/>
      <w:spacing/>
      <w:ind/>
    </w:pPr>
    <w:rPr>
      <w:i/>
      <w:iCs/>
      <w:color w:val="2e74b5"/>
    </w:rPr>
  </w:style>
  <w:style w:type="paragraph" w:styleId="736">
    <w:name w:val="Heading 5"/>
    <w:qFormat/>
    <w:pPr>
      <w:pBdr/>
      <w:spacing/>
      <w:ind/>
    </w:pPr>
    <w:rPr>
      <w:color w:val="2e74b5"/>
    </w:rPr>
  </w:style>
  <w:style w:type="paragraph" w:styleId="737">
    <w:name w:val="Heading 6"/>
    <w:qFormat/>
    <w:pPr>
      <w:pBdr/>
      <w:spacing/>
      <w:ind/>
    </w:pPr>
    <w:rPr>
      <w:color w:val="1f4d78"/>
    </w:rPr>
  </w:style>
  <w:style w:type="paragraph" w:styleId="738">
    <w:name w:val="Strong"/>
    <w:qFormat/>
    <w:pPr>
      <w:pBdr/>
      <w:spacing/>
      <w:ind/>
    </w:pPr>
    <w:rPr>
      <w:b/>
      <w:bCs/>
    </w:rPr>
  </w:style>
  <w:style w:type="paragraph" w:styleId="739">
    <w:name w:val="List Paragraph"/>
    <w:qFormat/>
    <w:pPr>
      <w:pBdr/>
      <w:spacing/>
      <w:ind/>
    </w:pPr>
  </w:style>
  <w:style w:type="character" w:styleId="740">
    <w:name w:val="Hyperlink"/>
    <w:uiPriority w:val="99"/>
    <w:unhideWhenUsed/>
    <w:pPr>
      <w:pBdr/>
      <w:spacing/>
      <w:ind/>
    </w:pPr>
    <w:rPr>
      <w:color w:val="0563c1"/>
      <w:u w:val="single"/>
    </w:rPr>
  </w:style>
  <w:style w:type="character" w:styleId="741">
    <w:name w:val="footnote reference"/>
    <w:uiPriority w:val="99"/>
    <w:semiHidden/>
    <w:unhideWhenUsed/>
    <w:pPr>
      <w:pBdr/>
      <w:spacing/>
      <w:ind/>
    </w:pPr>
    <w:rPr>
      <w:vertAlign w:val="superscript"/>
    </w:rPr>
  </w:style>
  <w:style w:type="paragraph" w:styleId="742">
    <w:name w:val="footnote text"/>
    <w:link w:val="743"/>
    <w:uiPriority w:val="99"/>
    <w:semiHidden/>
    <w:unhideWhenUsed/>
    <w:pPr>
      <w:pBdr/>
      <w:spacing w:after="0" w:line="240" w:lineRule="auto"/>
      <w:ind/>
    </w:pPr>
    <w:rPr>
      <w:sz w:val="20"/>
      <w:szCs w:val="20"/>
    </w:rPr>
  </w:style>
  <w:style w:type="character" w:styleId="743">
    <w:name w:val="Footnote Text Char"/>
    <w:link w:val="742"/>
    <w:uiPriority w:val="99"/>
    <w:semiHidden/>
    <w:unhideWhenUsed/>
    <w:pPr>
      <w:pBdr/>
      <w:spacing/>
      <w:ind/>
    </w:pPr>
    <w:rPr>
      <w:sz w:val="20"/>
      <w:szCs w:val="20"/>
    </w:rPr>
  </w:style>
  <w:style w:type="character" w:styleId="744">
    <w:name w:val="endnote reference"/>
    <w:uiPriority w:val="99"/>
    <w:semiHidden/>
    <w:unhideWhenUsed/>
    <w:pPr>
      <w:pBdr/>
      <w:spacing/>
      <w:ind/>
    </w:pPr>
    <w:rPr>
      <w:vertAlign w:val="superscript"/>
    </w:rPr>
  </w:style>
  <w:style w:type="paragraph" w:styleId="745">
    <w:name w:val="endnote text"/>
    <w:link w:val="746"/>
    <w:uiPriority w:val="99"/>
    <w:semiHidden/>
    <w:unhideWhenUsed/>
    <w:pPr>
      <w:pBdr/>
      <w:spacing w:after="0" w:line="240" w:lineRule="auto"/>
      <w:ind/>
    </w:pPr>
    <w:rPr>
      <w:sz w:val="20"/>
      <w:szCs w:val="20"/>
    </w:rPr>
  </w:style>
  <w:style w:type="character" w:styleId="746">
    <w:name w:val="Endnote Text Char"/>
    <w:link w:val="745"/>
    <w:uiPriority w:val="99"/>
    <w:semiHidden/>
    <w:unhideWhenUsed/>
    <w:pPr>
      <w:pBdr/>
      <w:spacing/>
      <w:ind/>
    </w:pPr>
    <w:rPr>
      <w:sz w:val="20"/>
      <w:szCs w:val="20"/>
    </w:rPr>
  </w:style>
  <w:style w:type="paragraph" w:styleId="747">
    <w:name w:val="Heading 1"/>
    <w:qFormat/>
    <w:pPr>
      <w:pBdr/>
      <w:spacing w:after="200" w:before="360"/>
      <w:ind/>
      <w:outlineLvl w:val="0"/>
    </w:pPr>
    <w:rPr>
      <w:rFonts w:ascii="Arial" w:hAnsi="Arial" w:eastAsia="Arial" w:cs="Arial"/>
      <w:b/>
      <w:bCs/>
      <w:color w:val="1f3864"/>
      <w:sz w:val="32"/>
      <w:szCs w:val="32"/>
    </w:rPr>
  </w:style>
  <w:style w:type="paragraph" w:styleId="748">
    <w:name w:val="Heading 2"/>
    <w:qFormat/>
    <w:pPr>
      <w:pBdr/>
      <w:spacing w:after="160" w:before="240"/>
      <w:ind/>
      <w:outlineLvl w:val="1"/>
    </w:pPr>
    <w:rPr>
      <w:rFonts w:ascii="Arial" w:hAnsi="Arial" w:eastAsia="Arial" w:cs="Arial"/>
      <w:b/>
      <w:bCs/>
      <w:color w:val="2e5090"/>
      <w:sz w:val="26"/>
      <w:szCs w:val="26"/>
    </w:rPr>
  </w:style>
  <w:style w:type="paragraph" w:styleId="749">
    <w:name w:val="Heading 3"/>
    <w:qFormat/>
    <w:pPr>
      <w:pBdr/>
      <w:spacing w:after="120" w:before="20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2026-06-09T04:34:13Z</dcterms:created>
  <dcterms:modified xsi:type="dcterms:W3CDTF">2026-06-17T17:34:35Z</dcterms:modified>
</cp:coreProperties>
</file>