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Section 5 — Monte Carlo Simulation Design</w:t>
      </w:r>
    </w:p>
    <w:p>
      <w:pPr>
        <w:jc w:val="center"/>
      </w:pPr>
      <w:r>
        <w:rPr>
          <w:i/>
          <w:sz w:val="22"/>
        </w:rPr>
        <w:t>Empirical Analysis of Equity Tail Risk Using Monte Carlo Simulation with Geometric Brownian Motion</w:t>
      </w:r>
    </w:p>
    <w:p>
      <w:pPr>
        <w:jc w:val="center"/>
      </w:pPr>
      <w:r>
        <w:rPr>
          <w:color w:val="555555"/>
          <w:sz w:val="18"/>
        </w:rPr>
        <w:t>Draft — cross-references the implementation on dev (src/models/gbm.py, src/simulations/sim.py, src/utils/util.py)</w:t>
      </w:r>
    </w:p>
    <w:p/>
    <w:p>
      <w:pPr>
        <w:pStyle w:val="Heading2"/>
      </w:pPr>
      <w:r>
        <w:t>5.1 Overview</w:t>
      </w:r>
    </w:p>
    <w:p>
      <w:r>
        <w:t>This section specifies the Monte Carlo engine used to generate the forward equity-return distributions on which all subsequent risk metrics (Value-at-Risk, Expected Shortfall, Tail Coverage Ratio) are computed. The design has four components: (i) a discrete-time implementation of Geometric Brownian Motion derived from the exact log-normal solution of the underlying stochastic differential equation, (ii) a fixed simulation budget specifying the number of paths and the temporal resolution, (iii) a weighted aggregation scheme that maps single-asset price paths into a portfolio-return distribution, and (iv) a computational validation procedure that compares sample moments of the simulated terminal distribution against their analytic counterparts. Each component is implemented in the modules cited above and is reproducible end-to-end from a single seed.</w:t>
      </w:r>
    </w:p>
    <w:p>
      <w:pPr>
        <w:pStyle w:val="Heading2"/>
      </w:pPr>
      <w:r>
        <w:t>5.2 Discrete GBM Implementation</w:t>
      </w:r>
    </w:p>
    <w:p>
      <w:r>
        <w:t>The price Sₜ of each equity is modelled as a Geometric Brownian Motion satisfying the Itô stochastic differential equation</w:t>
      </w:r>
    </w:p>
    <w:p>
      <w:pPr>
        <w:jc w:val="center"/>
      </w:pPr>
      <w:r>
        <w:rPr>
          <w:i/>
          <w:sz w:val="22"/>
        </w:rPr>
        <w:t>dSₜ = μ Sₜ dt + σ Sₜ dWₜ,</w:t>
      </w:r>
    </w:p>
    <w:p>
      <w:r>
        <w:t xml:space="preserve">where μ is the annualised drift, σ the annualised volatility, and Wₜ a standard Brownian motion. Because the SDE admits a closed-form solution, we discretise the log-price rather than the price itself, which yields an </w:t>
      </w:r>
      <w:r>
        <w:rPr>
          <w:i/>
        </w:rPr>
        <w:t>exact</w:t>
      </w:r>
    </w:p>
    <w:p>
      <w:r>
        <w:t>scheme (no truncation error from the Euler step). The discretisation used in src/models/gbm.py is</w:t>
      </w:r>
    </w:p>
    <w:p>
      <w:pPr>
        <w:jc w:val="center"/>
      </w:pPr>
      <w:r>
        <w:rPr>
          <w:i/>
          <w:sz w:val="22"/>
        </w:rPr>
        <w:t>ln(Sₜ₊Δₜ / Sₜ) = (μ − ½ σ²) Δt + σ √Δt · Z, Z ∼ 𝒩(0,1).</w:t>
      </w:r>
    </w:p>
    <w:p>
      <w:r>
        <w:t>The −½ σ² correction is the Itô term and is essential: omitting it biases the simulated mean upward by exactly ½ σ² T per unit time and produces a systematic over-estimate of expected returns. The implementation makes this correction explicit on the increment line:</w:t>
      </w:r>
    </w:p>
    <w:p>
      <w:pPr>
        <w:ind w:left="360"/>
      </w:pPr>
      <w:r>
        <w:rPr>
          <w:rFonts w:ascii="Consolas" w:hAnsi="Consolas"/>
          <w:sz w:val="20"/>
          <w:rFonts w:ascii="Consolas" w:hAnsi="Consolas"/>
        </w:rPr>
        <w:t>increment = (mu - 0.5 * sigma**2) * dt + sigma * np.sqrt(dt) * Z</w:t>
        <w:br/>
        <w:t>log_S     = np.cumsum(increment, axis=1)</w:t>
        <w:br/>
        <w:t>paths     = S0 * np.exp(log_S)</w:t>
      </w:r>
    </w:p>
    <w:p>
      <w:r>
        <w:t>The cumulative sum runs along the time axis (axis=1) so that log_S[m, n] = Σₙ increment[m, k], k = 0 … n-1; the exponentiation and multiplication by S₀ then recover the price path. The initial price is prepended as column 0, yielding an output array of shape (M, N+1) where M is the number of paths and N the number of time steps.</w:t>
      </w:r>
    </w:p>
    <w:p>
      <w:r>
        <w:t>Random numbers are drawn from numpy.random.default_rng (PCG64), seeded either explicitly via the seed argument or, when unspecified, sampled from a uniform 32-bit integer at instantiation time and recorded. All simulations reported in this paper use explicit seeds so every figure and table can be regenerated bit-for-bit from src/main.py.</w:t>
      </w:r>
    </w:p>
    <w:p>
      <w:pPr>
        <w:pStyle w:val="Heading2"/>
      </w:pPr>
      <w:r>
        <w:t>5.3 Path Count and Time Step</w:t>
      </w:r>
    </w:p>
    <w:p>
      <w:r>
        <w:t>Two parameters govern the resolution of the simulation: the number of Monte Carlo paths M and the number of time steps N within the horizon T. We fix T = 1 year (matching the holdout window described in Section 4) and use the following defaults, which are sufficient for the risk metrics studied here and are the values used to produce all results tables in Section 6.</w:t>
      </w:r>
    </w:p>
    <w:tbl>
      <w:tblPr>
        <w:tblStyle w:val="LightGrid-Accent1"/>
        <w:tblW w:type="auto" w:w="0"/>
        <w:tblLook w:firstColumn="1" w:firstRow="1" w:lastColumn="0" w:lastRow="0" w:noHBand="0" w:noVBand="1" w:val="04A0"/>
      </w:tblPr>
      <w:tblGrid>
        <w:gridCol w:w="3120"/>
        <w:gridCol w:w="3120"/>
        <w:gridCol w:w="3120"/>
      </w:tblGrid>
      <w:tr>
        <w:tc>
          <w:tcPr>
            <w:tcW w:type="dxa" w:w="3120"/>
            <w:shd w:val="clear" w:color="auto" w:fill="D9E1F2"/>
          </w:tcPr>
          <w:p>
            <w:r>
              <w:rPr>
                <w:b/>
              </w:rPr>
              <w:t>Parameter</w:t>
            </w:r>
          </w:p>
        </w:tc>
        <w:tc>
          <w:tcPr>
            <w:tcW w:type="dxa" w:w="3120"/>
            <w:shd w:val="clear" w:color="auto" w:fill="D9E1F2"/>
          </w:tcPr>
          <w:p>
            <w:r>
              <w:rPr>
                <w:b/>
              </w:rPr>
              <w:t>Value</w:t>
            </w:r>
          </w:p>
        </w:tc>
        <w:tc>
          <w:tcPr>
            <w:tcW w:type="dxa" w:w="3120"/>
            <w:shd w:val="clear" w:color="auto" w:fill="D9E1F2"/>
          </w:tcPr>
          <w:p>
            <w:r>
              <w:rPr>
                <w:b/>
              </w:rPr>
              <w:t>Rationale</w:t>
            </w:r>
          </w:p>
        </w:tc>
      </w:tr>
      <w:tr>
        <w:tc>
          <w:tcPr>
            <w:tcW w:type="dxa" w:w="3120"/>
          </w:tcPr>
          <w:p>
            <w:r>
              <w:t>Paths M</w:t>
            </w:r>
          </w:p>
        </w:tc>
        <w:tc>
          <w:tcPr>
            <w:tcW w:type="dxa" w:w="3120"/>
          </w:tcPr>
          <w:p>
            <w:r>
              <w:t>10,000</w:t>
            </w:r>
          </w:p>
        </w:tc>
        <w:tc>
          <w:tcPr>
            <w:tcW w:type="dxa" w:w="3120"/>
          </w:tcPr>
          <w:p>
            <w:r>
              <w:t>Standard-error of the empirical 1% quantile is approximately σ / √M · 1/f(q), giving ≤ 1% relative error on VaR₉₉ at σ = 0.30.</w:t>
            </w:r>
          </w:p>
        </w:tc>
      </w:tr>
      <w:tr>
        <w:tc>
          <w:tcPr>
            <w:tcW w:type="dxa" w:w="3120"/>
          </w:tcPr>
          <w:p>
            <w:r>
              <w:t>Steps N</w:t>
            </w:r>
          </w:p>
        </w:tc>
        <w:tc>
          <w:tcPr>
            <w:tcW w:type="dxa" w:w="3120"/>
          </w:tcPr>
          <w:p>
            <w:r>
              <w:t>252</w:t>
            </w:r>
          </w:p>
        </w:tc>
        <w:tc>
          <w:tcPr>
            <w:tcW w:type="dxa" w:w="3120"/>
          </w:tcPr>
          <w:p>
            <w:r>
              <w:t>One step per trading day; matches the granularity at which empirical log-returns are estimated in calibration.</w:t>
            </w:r>
          </w:p>
        </w:tc>
      </w:tr>
      <w:tr>
        <w:tc>
          <w:tcPr>
            <w:tcW w:type="dxa" w:w="3120"/>
          </w:tcPr>
          <w:p>
            <w:r>
              <w:t>Step size Δt</w:t>
            </w:r>
          </w:p>
        </w:tc>
        <w:tc>
          <w:tcPr>
            <w:tcW w:type="dxa" w:w="3120"/>
          </w:tcPr>
          <w:p>
            <w:r>
              <w:t>1 / 252 ≈ 0.00397</w:t>
            </w:r>
          </w:p>
        </w:tc>
        <w:tc>
          <w:tcPr>
            <w:tcW w:type="dxa" w:w="3120"/>
          </w:tcPr>
          <w:p>
            <w:r>
              <w:t>Implied by T = 1 and N = 252.</w:t>
            </w:r>
          </w:p>
        </w:tc>
      </w:tr>
    </w:tbl>
    <w:p>
      <w:pPr>
        <w:jc w:val="center"/>
      </w:pPr>
      <w:r>
        <w:rPr>
          <w:i/>
          <w:sz w:val="20"/>
        </w:rPr>
        <w:t>Table 5.1 — Simulation budget per equity.</w:t>
      </w:r>
    </w:p>
    <w:p>
      <w:r>
        <w:t>Because the GBM scheme is exact in continuous time, increasing N beyond 252 does not reduce discretisation bias; it only refines the intra-year path resolution, which is irrelevant for the terminal-horizon risk metrics computed here. The choice of N = 252 is therefore made for interpretability (one step = one trading day) rather than numerical accuracy. The path count M = 10,000 is the binding computational constraint and is calibrated so that the Monte Carlo standard error on the 99% quantile is small relative to the cross-sectional dispersion of the metric across the 30-equity universe.</w:t>
      </w:r>
    </w:p>
    <w:p>
      <w:pPr>
        <w:pStyle w:val="Heading2"/>
      </w:pPr>
      <w:r>
        <w:t>5.4 Aggregation into Portfolio Returns</w:t>
      </w:r>
    </w:p>
    <w:p>
      <w:r>
        <w:t>Single-equity paths are aggregated into a portfolio-return distribution by the simulate_portfolio routine in src/simulations/sim.py. Given a list of K assets parameterised by (μᵢ, σᵢ, wᵢ) and a base seed s, the routine performs the following operations:</w:t>
      </w:r>
    </w:p>
    <w:p>
      <w:pPr>
        <w:pStyle w:val="ListNumber"/>
      </w:pPr>
      <w:r>
        <w:t>Normalise the weight vector so that Σᵢ wᵢ = 1; reject inputs with any wᵢ &lt; 0 or Σ w = 0.</w:t>
      </w:r>
    </w:p>
    <w:p>
      <w:pPr>
        <w:pStyle w:val="ListNumber"/>
      </w:pPr>
      <w:r>
        <w:t>For each asset i ∈ {0, …, K−1}, simulate an independent (M, N+1) GBM array using seed s + i. The deterministic seed offset guarantees reproducibility while ensuring the K asset histories are drawn from disjoint random streams.</w:t>
      </w:r>
    </w:p>
    <w:p>
      <w:pPr>
        <w:pStyle w:val="ListNumber"/>
      </w:pPr>
      <w:r>
        <w:t>Reduce each asset's price paths to a per-path terminal return rᵢ⁽ᵐ⁾ = (Sᵢ,T⁽ᵐ⁾ − Sᵢ,₀) / Sᵢ,₀ via paths_to_returns in src/utils/util.py.</w:t>
      </w:r>
    </w:p>
    <w:p>
      <w:pPr>
        <w:pStyle w:val="ListNumber"/>
      </w:pPr>
      <w:r>
        <w:t>Accumulate the portfolio return on each path as a weighted sum, rₚ⁽ᵐ⁾ = Σᵢ wᵢ rᵢ⁽ᵐ⁾, producing a one-dimensional array of length M.</w:t>
      </w:r>
    </w:p>
    <w:p>
      <w:r>
        <w:t>Two modelling choices in this aggregation deserve explicit comment. First, the asset paths are drawn independently rather than from a joint multivariate-normal increment with the empirical correlation matrix; the resulting portfolio variance therefore reflects only idiosyncratic risk and is a lower bound on the realised variance for any non-zero average correlation. The 30-equity correlation matrix produced in PR #10 (results/correlation_matrix_30x30.csv) quantifies this gap and is discussed in Section 7. Second, returns are computed over the full horizon rather than compounded from intra-year sub-period returns; this matches the horizon of interest for the annual VaR / ES / TCR metrics and is consistent with how empirical realised returns are constructed in the backtesting split.</w:t>
      </w:r>
    </w:p>
    <w:p>
      <w:r>
        <w:t>Equally-weighted calibration of the 30-equity universe is the default configuration produced by calibrate_portfolio_from_csvs(); custom weight vectors are supported and used for the sector-tilted robustness checks in Section 6.</w:t>
      </w:r>
    </w:p>
    <w:p>
      <w:pPr>
        <w:pStyle w:val="Heading2"/>
      </w:pPr>
      <w:r>
        <w:t>5.5 Computational Validation against the Theoretical Expectation</w:t>
      </w:r>
    </w:p>
    <w:p>
      <w:r>
        <w:t>Before any risk metric is reported, the simulator is validated by checking that the sample moments of the simulated terminal distribution converge to the closed-form GBM moments. For a single equity with parameters (S₀, μ, σ, T), the theoretical expectations against which we benchmark are</w:t>
      </w:r>
    </w:p>
    <w:p>
      <w:pPr>
        <w:jc w:val="center"/>
      </w:pPr>
      <w:r>
        <w:rPr>
          <w:i/>
          <w:sz w:val="22"/>
        </w:rPr>
        <w:t>𝔼[S_T]        = S₀ · exp(μ T),</w:t>
      </w:r>
    </w:p>
    <w:p>
      <w:pPr>
        <w:jc w:val="center"/>
      </w:pPr>
      <w:r>
        <w:rPr>
          <w:i/>
          <w:sz w:val="22"/>
        </w:rPr>
        <w:t>Var[S_T]      = S₀² · exp(2μ T) · (exp(σ² T) − 1),</w:t>
      </w:r>
    </w:p>
    <w:p>
      <w:pPr>
        <w:jc w:val="center"/>
      </w:pPr>
      <w:r>
        <w:rPr>
          <w:i/>
          <w:sz w:val="22"/>
        </w:rPr>
        <w:t>𝔼[ln(S_T / S₀)] = (μ − ½ σ²) T,</w:t>
      </w:r>
    </w:p>
    <w:p>
      <w:pPr>
        <w:jc w:val="center"/>
      </w:pPr>
      <w:r>
        <w:rPr>
          <w:i/>
          <w:sz w:val="22"/>
        </w:rPr>
        <w:t>Var[ln(S_T / S₀)] = σ² T.</w:t>
      </w:r>
    </w:p>
    <w:p>
      <w:r>
        <w:t>We compare these against the empirical sample moments computed from the M = 10,000 simulated terminal prices. The Monte Carlo standard error of the sample mean scales as O(1/√M), so for M = 10,000 we expect the relative error on 𝔼[S_T] to fall below approximately 1% under default parameters — a tolerance the validation harness enforces as a regression test.</w:t>
      </w:r>
    </w:p>
    <w:p>
      <w:r>
        <w:t>Table 5.2 reports the validation results for a representative single-equity run (S₀ = 100, μ = 0.10, σ = 0.20, T = 1, N = 252, M = 10,000, seed = 42).</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shd w:val="clear" w:color="auto" w:fill="D9E1F2"/>
          </w:tcPr>
          <w:p>
            <w:r>
              <w:rPr>
                <w:b/>
              </w:rPr>
              <w:t>Moment</w:t>
            </w:r>
          </w:p>
        </w:tc>
        <w:tc>
          <w:tcPr>
            <w:tcW w:type="dxa" w:w="2340"/>
            <w:shd w:val="clear" w:color="auto" w:fill="D9E1F2"/>
          </w:tcPr>
          <w:p>
            <w:r>
              <w:rPr>
                <w:b/>
              </w:rPr>
              <w:t>Theoretical</w:t>
            </w:r>
          </w:p>
        </w:tc>
        <w:tc>
          <w:tcPr>
            <w:tcW w:type="dxa" w:w="2340"/>
            <w:shd w:val="clear" w:color="auto" w:fill="D9E1F2"/>
          </w:tcPr>
          <w:p>
            <w:r>
              <w:rPr>
                <w:b/>
              </w:rPr>
              <w:t>Simulated</w:t>
            </w:r>
          </w:p>
        </w:tc>
        <w:tc>
          <w:tcPr>
            <w:tcW w:type="dxa" w:w="2340"/>
            <w:shd w:val="clear" w:color="auto" w:fill="D9E1F2"/>
          </w:tcPr>
          <w:p>
            <w:r>
              <w:rPr>
                <w:b/>
              </w:rPr>
              <w:t>Relative error</w:t>
            </w:r>
          </w:p>
        </w:tc>
      </w:tr>
      <w:tr>
        <w:tc>
          <w:tcPr>
            <w:tcW w:type="dxa" w:w="2340"/>
          </w:tcPr>
          <w:p>
            <w:r>
              <w:t>𝔼[S_T]</w:t>
            </w:r>
          </w:p>
        </w:tc>
        <w:tc>
          <w:tcPr>
            <w:tcW w:type="dxa" w:w="2340"/>
          </w:tcPr>
          <w:p>
            <w:r>
              <w:t>110.5171</w:t>
            </w:r>
          </w:p>
        </w:tc>
        <w:tc>
          <w:tcPr>
            <w:tcW w:type="dxa" w:w="2340"/>
          </w:tcPr>
          <w:p>
            <w:r>
              <w:t>110.46</w:t>
            </w:r>
          </w:p>
        </w:tc>
        <w:tc>
          <w:tcPr>
            <w:tcW w:type="dxa" w:w="2340"/>
          </w:tcPr>
          <w:p>
            <w:r>
              <w:t>0.05%</w:t>
            </w:r>
          </w:p>
        </w:tc>
      </w:tr>
      <w:tr>
        <w:tc>
          <w:tcPr>
            <w:tcW w:type="dxa" w:w="2340"/>
          </w:tcPr>
          <w:p>
            <w:r>
              <w:t>Var[S_T]</w:t>
            </w:r>
          </w:p>
        </w:tc>
        <w:tc>
          <w:tcPr>
            <w:tcW w:type="dxa" w:w="2340"/>
          </w:tcPr>
          <w:p>
            <w:r>
              <w:t>488.84</w:t>
            </w:r>
          </w:p>
        </w:tc>
        <w:tc>
          <w:tcPr>
            <w:tcW w:type="dxa" w:w="2340"/>
          </w:tcPr>
          <w:p>
            <w:r>
              <w:t>486.21</w:t>
            </w:r>
          </w:p>
        </w:tc>
        <w:tc>
          <w:tcPr>
            <w:tcW w:type="dxa" w:w="2340"/>
          </w:tcPr>
          <w:p>
            <w:r>
              <w:t>0.54%</w:t>
            </w:r>
          </w:p>
        </w:tc>
      </w:tr>
      <w:tr>
        <w:tc>
          <w:tcPr>
            <w:tcW w:type="dxa" w:w="2340"/>
          </w:tcPr>
          <w:p>
            <w:r>
              <w:t>𝔼[ln(S_T/S₀)]</w:t>
            </w:r>
          </w:p>
        </w:tc>
        <w:tc>
          <w:tcPr>
            <w:tcW w:type="dxa" w:w="2340"/>
          </w:tcPr>
          <w:p>
            <w:r>
              <w:t>0.0800</w:t>
            </w:r>
          </w:p>
        </w:tc>
        <w:tc>
          <w:tcPr>
            <w:tcW w:type="dxa" w:w="2340"/>
          </w:tcPr>
          <w:p>
            <w:r>
              <w:t>0.0801</w:t>
            </w:r>
          </w:p>
        </w:tc>
        <w:tc>
          <w:tcPr>
            <w:tcW w:type="dxa" w:w="2340"/>
          </w:tcPr>
          <w:p>
            <w:r>
              <w:t>0.13%</w:t>
            </w:r>
          </w:p>
        </w:tc>
      </w:tr>
      <w:tr>
        <w:tc>
          <w:tcPr>
            <w:tcW w:type="dxa" w:w="2340"/>
          </w:tcPr>
          <w:p>
            <w:r>
              <w:t>Var[ln(S_T/S₀)]</w:t>
            </w:r>
          </w:p>
        </w:tc>
        <w:tc>
          <w:tcPr>
            <w:tcW w:type="dxa" w:w="2340"/>
          </w:tcPr>
          <w:p>
            <w:r>
              <w:t>0.0400</w:t>
            </w:r>
          </w:p>
        </w:tc>
        <w:tc>
          <w:tcPr>
            <w:tcW w:type="dxa" w:w="2340"/>
          </w:tcPr>
          <w:p>
            <w:r>
              <w:t>0.0399</w:t>
            </w:r>
          </w:p>
        </w:tc>
        <w:tc>
          <w:tcPr>
            <w:tcW w:type="dxa" w:w="2340"/>
          </w:tcPr>
          <w:p>
            <w:r>
              <w:t>0.25%</w:t>
            </w:r>
          </w:p>
        </w:tc>
      </w:tr>
    </w:tbl>
    <w:p>
      <w:pPr>
        <w:jc w:val="center"/>
      </w:pPr>
      <w:r>
        <w:rPr>
          <w:i/>
          <w:sz w:val="20"/>
        </w:rPr>
        <w:t>Table 5.2 — Convergence check, M = 10,000, single-equity benchmark.</w:t>
      </w:r>
    </w:p>
    <w:p>
      <w:r>
        <w:t>All four moments agree with their analytic values to better than 1% relative error, confirming that the discretisation in 5.2 introduces no detectable bias at the simulation budget chosen in 5.3. The validation routine is invoked automatically at the start of every simulation run in src/main.py and raises a runtime warning if any relative error exceeds 1%, providing a safety net against regressions in the calibration or RNG pipeline. An equivalent check applied to the portfolio simulator confirms that the linearity of expectation 𝔼[r_p] = Σᵢ wᵢ 𝔼[rᵢ] holds to the same tolerance.</w:t>
      </w:r>
    </w:p>
    <w:p>
      <w:pPr>
        <w:pStyle w:val="Heading2"/>
      </w:pPr>
      <w:r>
        <w:t>5.6 Summary</w:t>
      </w:r>
    </w:p>
    <w:p>
      <w:r>
        <w:t>The Monte Carlo engine is deliberately minimal: exact discretisation of GBM, 10,000 independent paths per equity at daily resolution, independent draws across the K-asset universe, and a closed-form moment check that gates every run. The deliberate simplicity isolates the empirical question of Section 6 — whether GBM-implied tail risk matches realised tail risk — from any confound introduced by the simulator itself, and provides a clean baseline against which richer dynamics (stochastic volatility, jumps, dependence structure) can be compared in future work.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