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Bdr>
          <w:top w:val="single" w:sz="16" w:space="4" w:color="C0392B"/>
          <w:left w:val="single" w:sz="16" w:space="4" w:color="C0392B"/>
          <w:bottom w:val="single" w:sz="16" w:space="4" w:color="C0392B"/>
          <w:right w:val="single" w:sz="16" w:space="4" w:color="C0392B"/>
        </w:pBdr>
      </w:pPr>
      <w:r>
        <w:rPr>
          <w:rFonts w:ascii="Arial" w:hAnsi="Arial"/>
          <w:b/>
          <w:i w:val="0"/>
          <w:color w:val="C0392B"/>
          <w:sz w:val="22"/>
        </w:rPr>
        <w:t xml:space="preserve">  RESTRICTED — GOVERNMENT OF INDIA  </w:t>
      </w:r>
    </w:p>
    <w:p>
      <w:pPr>
        <w:spacing w:after="8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PAI-logo.png"/>
                    <pic:cNvPicPr/>
                  </pic:nvPicPr>
                  <pic:blipFill>
                    <a:blip r:embed="rId9"/>
                    <a:stretch>
                      <a:fillRect/>
                    </a:stretch>
                  </pic:blipFill>
                  <pic:spPr>
                    <a:xfrm>
                      <a:off x="0" y="0"/>
                      <a:ext cx="1097280" cy="1097280"/>
                    </a:xfrm>
                    <a:prstGeom prst="rect"/>
                  </pic:spPr>
                </pic:pic>
              </a:graphicData>
            </a:graphic>
          </wp:inline>
        </w:drawing>
      </w:r>
    </w:p>
    <w:p>
      <w:pPr>
        <w:spacing w:after="40"/>
        <w:jc w:val="center"/>
      </w:pPr>
      <w:r>
        <w:rPr>
          <w:rFonts w:ascii="Arial" w:hAnsi="Arial"/>
          <w:b/>
          <w:i w:val="0"/>
          <w:color w:val="1A3A6A"/>
          <w:sz w:val="26"/>
        </w:rPr>
        <w:t>LAND PORT AUTHORITY OF INDIA</w:t>
      </w:r>
    </w:p>
    <w:p>
      <w:pPr>
        <w:spacing w:after="600"/>
        <w:jc w:val="center"/>
      </w:pPr>
      <w:r>
        <w:rPr>
          <w:rFonts w:ascii="Arial" w:hAnsi="Arial"/>
          <w:b w:val="0"/>
          <w:i w:val="0"/>
          <w:color w:val="1A3A6A"/>
          <w:sz w:val="20"/>
        </w:rPr>
        <w:t>Ministry of Home Affairs, Government of India</w:t>
      </w:r>
    </w:p>
    <w:p>
      <w:pPr>
        <w:spacing w:after="400"/>
        <w:jc w:val="center"/>
      </w:pPr>
      <w:r>
        <w:rPr>
          <w:rFonts w:ascii="Arial" w:hAnsi="Arial"/>
          <w:b w:val="0"/>
          <w:i w:val="0"/>
          <w:color w:val="D4881A"/>
          <w:sz w:val="20"/>
        </w:rPr>
        <w:t>───────────────────────────────────────────────────────</w:t>
      </w:r>
    </w:p>
    <w:p>
      <w:pPr>
        <w:spacing w:after="160"/>
        <w:jc w:val="center"/>
      </w:pPr>
      <w:r>
        <w:rPr>
          <w:rFonts w:ascii="Arial" w:hAnsi="Arial"/>
          <w:b/>
          <w:i w:val="0"/>
          <w:color w:val="1A3A6A"/>
          <w:sz w:val="44"/>
        </w:rPr>
        <w:t>AI Integration in Land Port Authority of India</w:t>
      </w:r>
    </w:p>
    <w:p>
      <w:pPr>
        <w:spacing w:after="120"/>
        <w:jc w:val="center"/>
      </w:pPr>
      <w:r>
        <w:rPr>
          <w:rFonts w:ascii="Arial" w:hAnsi="Arial"/>
          <w:b/>
          <w:i w:val="0"/>
          <w:color w:val="D4881A"/>
          <w:sz w:val="32"/>
        </w:rPr>
        <w:t>LPAI Nexus — A Smart Border Command Platform</w:t>
      </w:r>
    </w:p>
    <w:p>
      <w:pPr>
        <w:spacing w:after="600"/>
        <w:jc w:val="center"/>
      </w:pPr>
      <w:r>
        <w:rPr>
          <w:rFonts w:ascii="Arial" w:hAnsi="Arial"/>
          <w:b w:val="0"/>
          <w:i/>
          <w:color w:val="444444"/>
          <w:sz w:val="26"/>
        </w:rPr>
        <w:t>Internship Technical Report</w:t>
      </w:r>
    </w:p>
    <w:p>
      <w:pPr>
        <w:spacing w:after="480"/>
        <w:jc w:val="center"/>
      </w:pPr>
      <w:r>
        <w:rPr>
          <w:rFonts w:ascii="Arial" w:hAnsi="Arial"/>
          <w:b w:val="0"/>
          <w:i w:val="0"/>
          <w:color w:val="D4881A"/>
          <w:sz w:val="20"/>
        </w:rPr>
        <w:t>───────────────────────────────────────────────────────</w:t>
      </w:r>
    </w:p>
    <w:tbl>
      <w:tblPr>
        <w:tblStyle w:val="TableGrid"/>
        <w:tblW w:type="auto" w:w="0"/>
        <w:jc w:val="center"/>
        <w:tblLook w:firstColumn="1" w:firstRow="1" w:lastColumn="0" w:lastRow="0" w:noHBand="0" w:noVBand="1" w:val="04A0"/>
      </w:tblPr>
      <w:tblGrid>
        <w:gridCol w:w="4154"/>
        <w:gridCol w:w="4154"/>
      </w:tblGrid>
      <w:tr>
        <w:tc>
          <w:tcPr>
            <w:tcW w:type="dxa" w:w="2835"/>
            <w:shd w:val="clear" w:color="auto" w:fill="1A3A6A"/>
          </w:tcPr>
          <w:p>
            <w:pPr>
              <w:jc w:val="right"/>
            </w:pPr>
            <w:r>
              <w:rPr>
                <w:rFonts w:ascii="Arial" w:hAnsi="Arial"/>
                <w:b/>
                <w:i w:val="0"/>
                <w:color w:val="FFFFFF"/>
                <w:sz w:val="20"/>
              </w:rPr>
              <w:t>Submitted by</w:t>
            </w:r>
          </w:p>
        </w:tc>
        <w:tc>
          <w:tcPr>
            <w:tcW w:type="dxa" w:w="5102"/>
            <w:shd w:val="clear" w:color="auto" w:fill="EAF0FB"/>
          </w:tcPr>
          <w:p>
            <w:r>
              <w:rPr>
                <w:rFonts w:ascii="Arial" w:hAnsi="Arial"/>
                <w:b w:val="0"/>
                <w:i w:val="0"/>
                <w:color w:val="1A1A1A"/>
                <w:sz w:val="20"/>
              </w:rPr>
              <w:t>Himanshu</w:t>
            </w:r>
          </w:p>
        </w:tc>
      </w:tr>
      <w:tr>
        <w:tc>
          <w:tcPr>
            <w:tcW w:type="dxa" w:w="2835"/>
            <w:shd w:val="clear" w:color="auto" w:fill="1A3A6A"/>
          </w:tcPr>
          <w:p>
            <w:pPr>
              <w:jc w:val="right"/>
            </w:pPr>
            <w:r>
              <w:rPr>
                <w:rFonts w:ascii="Arial" w:hAnsi="Arial"/>
                <w:b/>
                <w:i w:val="0"/>
                <w:color w:val="FFFFFF"/>
                <w:sz w:val="20"/>
              </w:rPr>
              <w:t>Internship at</w:t>
            </w:r>
          </w:p>
        </w:tc>
        <w:tc>
          <w:tcPr>
            <w:tcW w:type="dxa" w:w="5102"/>
            <w:shd w:val="clear" w:color="auto" w:fill="FFFFFF"/>
          </w:tcPr>
          <w:p>
            <w:r>
              <w:rPr>
                <w:rFonts w:ascii="Arial" w:hAnsi="Arial"/>
                <w:b w:val="0"/>
                <w:i w:val="0"/>
                <w:color w:val="1A1A1A"/>
                <w:sz w:val="20"/>
              </w:rPr>
              <w:t>Land Port Authority of India (LPAI)</w:t>
            </w:r>
          </w:p>
        </w:tc>
      </w:tr>
      <w:tr>
        <w:tc>
          <w:tcPr>
            <w:tcW w:type="dxa" w:w="2835"/>
            <w:shd w:val="clear" w:color="auto" w:fill="1A3A6A"/>
          </w:tcPr>
          <w:p>
            <w:pPr>
              <w:jc w:val="right"/>
            </w:pPr>
            <w:r>
              <w:rPr>
                <w:rFonts w:ascii="Arial" w:hAnsi="Arial"/>
                <w:b/>
                <w:i w:val="0"/>
                <w:color w:val="FFFFFF"/>
                <w:sz w:val="20"/>
              </w:rPr>
              <w:t>Reporting Officer</w:t>
            </w:r>
          </w:p>
        </w:tc>
        <w:tc>
          <w:tcPr>
            <w:tcW w:type="dxa" w:w="5102"/>
            <w:shd w:val="clear" w:color="auto" w:fill="EAF0FB"/>
          </w:tcPr>
          <w:p>
            <w:r>
              <w:rPr>
                <w:rFonts w:ascii="Arial" w:hAnsi="Arial"/>
                <w:b w:val="0"/>
                <w:i w:val="0"/>
                <w:color w:val="1A1A1A"/>
                <w:sz w:val="20"/>
              </w:rPr>
              <w:t>Senior Officer, LPAI — Ministry of Home Affairs</w:t>
            </w:r>
          </w:p>
        </w:tc>
      </w:tr>
      <w:tr>
        <w:tc>
          <w:tcPr>
            <w:tcW w:type="dxa" w:w="2835"/>
            <w:shd w:val="clear" w:color="auto" w:fill="1A3A6A"/>
          </w:tcPr>
          <w:p>
            <w:pPr>
              <w:jc w:val="right"/>
            </w:pPr>
            <w:r>
              <w:rPr>
                <w:rFonts w:ascii="Arial" w:hAnsi="Arial"/>
                <w:b/>
                <w:i w:val="0"/>
                <w:color w:val="FFFFFF"/>
                <w:sz w:val="20"/>
              </w:rPr>
              <w:t>Duration</w:t>
            </w:r>
          </w:p>
        </w:tc>
        <w:tc>
          <w:tcPr>
            <w:tcW w:type="dxa" w:w="5102"/>
            <w:shd w:val="clear" w:color="auto" w:fill="FFFFFF"/>
          </w:tcPr>
          <w:p>
            <w:r>
              <w:rPr>
                <w:rFonts w:ascii="Arial" w:hAnsi="Arial"/>
                <w:b w:val="0"/>
                <w:i w:val="0"/>
                <w:color w:val="1A1A1A"/>
                <w:sz w:val="20"/>
              </w:rPr>
              <w:t>May–June 2026</w:t>
            </w:r>
          </w:p>
        </w:tc>
      </w:tr>
      <w:tr>
        <w:tc>
          <w:tcPr>
            <w:tcW w:type="dxa" w:w="2835"/>
            <w:shd w:val="clear" w:color="auto" w:fill="1A3A6A"/>
          </w:tcPr>
          <w:p>
            <w:pPr>
              <w:jc w:val="right"/>
            </w:pPr>
            <w:r>
              <w:rPr>
                <w:rFonts w:ascii="Arial" w:hAnsi="Arial"/>
                <w:b/>
                <w:i w:val="0"/>
                <w:color w:val="FFFFFF"/>
                <w:sz w:val="20"/>
              </w:rPr>
              <w:t>Date of Submission</w:t>
            </w:r>
          </w:p>
        </w:tc>
        <w:tc>
          <w:tcPr>
            <w:tcW w:type="dxa" w:w="5102"/>
            <w:shd w:val="clear" w:color="auto" w:fill="EAF0FB"/>
          </w:tcPr>
          <w:p>
            <w:r>
              <w:rPr>
                <w:rFonts w:ascii="Arial" w:hAnsi="Arial"/>
                <w:b w:val="0"/>
                <w:i w:val="0"/>
                <w:color w:val="1A1A1A"/>
                <w:sz w:val="20"/>
              </w:rPr>
              <w:t>June 2026</w:t>
            </w:r>
          </w:p>
        </w:tc>
      </w:tr>
      <w:tr>
        <w:tc>
          <w:tcPr>
            <w:tcW w:type="dxa" w:w="2835"/>
            <w:shd w:val="clear" w:color="auto" w:fill="1A3A6A"/>
          </w:tcPr>
          <w:p>
            <w:pPr>
              <w:jc w:val="right"/>
            </w:pPr>
            <w:r>
              <w:rPr>
                <w:rFonts w:ascii="Arial" w:hAnsi="Arial"/>
                <w:b/>
                <w:i w:val="0"/>
                <w:color w:val="FFFFFF"/>
                <w:sz w:val="20"/>
              </w:rPr>
              <w:t>Document Status</w:t>
            </w:r>
          </w:p>
        </w:tc>
        <w:tc>
          <w:tcPr>
            <w:tcW w:type="dxa" w:w="5102"/>
            <w:shd w:val="clear" w:color="auto" w:fill="FFFFFF"/>
          </w:tcPr>
          <w:p>
            <w:r>
              <w:rPr>
                <w:rFonts w:ascii="Arial" w:hAnsi="Arial"/>
                <w:b w:val="0"/>
                <w:i w:val="0"/>
                <w:color w:val="1A1A1A"/>
                <w:sz w:val="20"/>
              </w:rPr>
              <w:t>RESTRICTED — For Official Use Only</w:t>
            </w:r>
          </w:p>
        </w:tc>
      </w:tr>
      <w:tr>
        <w:tc>
          <w:tcPr>
            <w:tcW w:type="dxa" w:w="2835"/>
            <w:shd w:val="clear" w:color="auto" w:fill="1A3A6A"/>
          </w:tcPr>
          <w:p>
            <w:pPr>
              <w:jc w:val="right"/>
            </w:pPr>
            <w:r>
              <w:rPr>
                <w:rFonts w:ascii="Arial" w:hAnsi="Arial"/>
                <w:b/>
                <w:i w:val="0"/>
                <w:color w:val="FFFFFF"/>
                <w:sz w:val="20"/>
              </w:rPr>
              <w:t>Version</w:t>
            </w:r>
          </w:p>
        </w:tc>
        <w:tc>
          <w:tcPr>
            <w:tcW w:type="dxa" w:w="5102"/>
            <w:shd w:val="clear" w:color="auto" w:fill="EAF0FB"/>
          </w:tcPr>
          <w:p>
            <w:r>
              <w:rPr>
                <w:rFonts w:ascii="Arial" w:hAnsi="Arial"/>
                <w:b w:val="0"/>
                <w:i w:val="0"/>
                <w:color w:val="1A1A1A"/>
                <w:sz w:val="20"/>
              </w:rPr>
              <w:t>1.0 — Final</w:t>
            </w:r>
          </w:p>
        </w:tc>
      </w:tr>
    </w:tbl>
    <w:p>
      <w:pPr>
        <w:spacing w:after="480"/>
      </w:pPr>
    </w:p>
    <w:p>
      <w:pPr>
        <w:jc w:val="center"/>
        <w:pBdr>
          <w:top w:val="single" w:sz="12" w:space="4" w:color="C0392B"/>
          <w:left w:val="single" w:sz="12" w:space="4" w:color="C0392B"/>
          <w:bottom w:val="single" w:sz="12" w:space="4" w:color="C0392B"/>
          <w:right w:val="single" w:sz="12" w:space="4" w:color="C0392B"/>
        </w:pBdr>
      </w:pPr>
      <w:r>
        <w:rPr>
          <w:rFonts w:ascii="Arial" w:hAnsi="Arial"/>
          <w:b/>
          <w:i w:val="0"/>
          <w:color w:val="C0392B"/>
          <w:sz w:val="18"/>
        </w:rPr>
        <w:t xml:space="preserve">  This document contains sensitive government information. Handle accordingly.  </w:t>
      </w:r>
    </w:p>
    <w:p>
      <w:r>
        <w:br w:type="page"/>
      </w:r>
    </w:p>
    <w:p>
      <w:pPr>
        <w:spacing w:before="480" w:after="120"/>
        <w:jc w:val="left"/>
        <w:pBdr>
          <w:bottom w:val="single" w:sz="8" w:space="4" w:color="1A3A6A"/>
        </w:pBdr>
      </w:pPr>
      <w:r>
        <w:rPr>
          <w:rFonts w:ascii="Arial" w:hAnsi="Arial"/>
          <w:b/>
          <w:color w:val="1A3A6A"/>
          <w:sz w:val="32"/>
        </w:rPr>
        <w:t>Table of Contents</w:t>
      </w:r>
    </w:p>
    <w:p>
      <w:pPr>
        <w:spacing w:after="60"/>
        <w:jc w:val="left"/>
      </w:pPr>
      <w:r>
        <w:rPr>
          <w:rFonts w:ascii="Arial" w:hAnsi="Arial"/>
          <w:b/>
          <w:i w:val="0"/>
          <w:color w:val="1A3A6A"/>
          <w:sz w:val="20"/>
        </w:rPr>
        <w:t>Executive Summary</w:t>
      </w:r>
      <w:r>
        <w:rPr>
          <w:rFonts w:ascii="Arial" w:hAnsi="Arial"/>
          <w:b w:val="0"/>
          <w:i w:val="0"/>
          <w:color w:val="AAAAAA"/>
          <w:sz w:val="18"/>
        </w:rPr>
        <w:t xml:space="preserve">  .....................................................  </w:t>
      </w:r>
      <w:r>
        <w:rPr>
          <w:rFonts w:ascii="Arial" w:hAnsi="Arial"/>
          <w:b/>
          <w:i w:val="0"/>
          <w:color w:val="1A3A6A"/>
          <w:sz w:val="20"/>
        </w:rPr>
        <w:t>3</w:t>
      </w:r>
    </w:p>
    <w:p>
      <w:pPr>
        <w:spacing w:after="60"/>
        <w:jc w:val="left"/>
      </w:pPr>
      <w:r>
        <w:rPr>
          <w:rFonts w:ascii="Arial" w:hAnsi="Arial"/>
          <w:b/>
          <w:i w:val="0"/>
          <w:color w:val="1A3A6A"/>
          <w:sz w:val="20"/>
        </w:rPr>
        <w:t>1. Introduction</w:t>
      </w:r>
      <w:r>
        <w:rPr>
          <w:rFonts w:ascii="Arial" w:hAnsi="Arial"/>
          <w:b w:val="0"/>
          <w:i w:val="0"/>
          <w:color w:val="AAAAAA"/>
          <w:sz w:val="18"/>
        </w:rPr>
        <w:t xml:space="preserve">  .......................................................  </w:t>
      </w:r>
      <w:r>
        <w:rPr>
          <w:rFonts w:ascii="Arial" w:hAnsi="Arial"/>
          <w:b/>
          <w:i w:val="0"/>
          <w:color w:val="1A3A6A"/>
          <w:sz w:val="20"/>
        </w:rPr>
        <w:t>4</w:t>
      </w:r>
    </w:p>
    <w:p>
      <w:pPr>
        <w:spacing w:after="20"/>
        <w:jc w:val="left"/>
      </w:pPr>
      <w:r>
        <w:rPr>
          <w:rFonts w:ascii="Arial" w:hAnsi="Arial"/>
          <w:b w:val="0"/>
          <w:i w:val="0"/>
          <w:color w:val="1A1A1A"/>
          <w:sz w:val="19"/>
        </w:rPr>
        <w:t xml:space="preserve">  1.1 Background</w:t>
      </w:r>
      <w:r>
        <w:rPr>
          <w:rFonts w:ascii="Arial" w:hAnsi="Arial"/>
          <w:b w:val="0"/>
          <w:i w:val="0"/>
          <w:color w:val="AAAAAA"/>
          <w:sz w:val="18"/>
        </w:rPr>
        <w:t xml:space="preserve">  ......................................................  </w:t>
      </w:r>
      <w:r>
        <w:rPr>
          <w:rFonts w:ascii="Arial" w:hAnsi="Arial"/>
          <w:b w:val="0"/>
          <w:i w:val="0"/>
          <w:color w:val="1A1A1A"/>
          <w:sz w:val="20"/>
        </w:rPr>
        <w:t>4</w:t>
      </w:r>
    </w:p>
    <w:p>
      <w:pPr>
        <w:spacing w:after="20"/>
        <w:jc w:val="left"/>
      </w:pPr>
      <w:r>
        <w:rPr>
          <w:rFonts w:ascii="Arial" w:hAnsi="Arial"/>
          <w:b w:val="0"/>
          <w:i w:val="0"/>
          <w:color w:val="1A1A1A"/>
          <w:sz w:val="19"/>
        </w:rPr>
        <w:t xml:space="preserve">  1.2 Objectives</w:t>
      </w:r>
      <w:r>
        <w:rPr>
          <w:rFonts w:ascii="Arial" w:hAnsi="Arial"/>
          <w:b w:val="0"/>
          <w:i w:val="0"/>
          <w:color w:val="AAAAAA"/>
          <w:sz w:val="18"/>
        </w:rPr>
        <w:t xml:space="preserve">  ......................................................  </w:t>
      </w:r>
      <w:r>
        <w:rPr>
          <w:rFonts w:ascii="Arial" w:hAnsi="Arial"/>
          <w:b w:val="0"/>
          <w:i w:val="0"/>
          <w:color w:val="1A1A1A"/>
          <w:sz w:val="20"/>
        </w:rPr>
        <w:t>4</w:t>
      </w:r>
    </w:p>
    <w:p>
      <w:pPr>
        <w:spacing w:after="20"/>
        <w:jc w:val="left"/>
      </w:pPr>
      <w:r>
        <w:rPr>
          <w:rFonts w:ascii="Arial" w:hAnsi="Arial"/>
          <w:b w:val="0"/>
          <w:i w:val="0"/>
          <w:color w:val="1A1A1A"/>
          <w:sz w:val="19"/>
        </w:rPr>
        <w:t xml:space="preserve">  1.3 Scope of Work</w:t>
      </w:r>
      <w:r>
        <w:rPr>
          <w:rFonts w:ascii="Arial" w:hAnsi="Arial"/>
          <w:b w:val="0"/>
          <w:i w:val="0"/>
          <w:color w:val="AAAAAA"/>
          <w:sz w:val="18"/>
        </w:rPr>
        <w:t xml:space="preserve">  ...................................................  </w:t>
      </w:r>
      <w:r>
        <w:rPr>
          <w:rFonts w:ascii="Arial" w:hAnsi="Arial"/>
          <w:b w:val="0"/>
          <w:i w:val="0"/>
          <w:color w:val="1A1A1A"/>
          <w:sz w:val="20"/>
        </w:rPr>
        <w:t>5</w:t>
      </w:r>
    </w:p>
    <w:p>
      <w:pPr>
        <w:spacing w:after="60"/>
        <w:jc w:val="left"/>
      </w:pPr>
      <w:r>
        <w:rPr>
          <w:rFonts w:ascii="Arial" w:hAnsi="Arial"/>
          <w:b/>
          <w:i w:val="0"/>
          <w:color w:val="1A3A6A"/>
          <w:sz w:val="20"/>
        </w:rPr>
        <w:t>2. Organization Overview</w:t>
      </w:r>
      <w:r>
        <w:rPr>
          <w:rFonts w:ascii="Arial" w:hAnsi="Arial"/>
          <w:b w:val="0"/>
          <w:i w:val="0"/>
          <w:color w:val="AAAAAA"/>
          <w:sz w:val="18"/>
        </w:rPr>
        <w:t xml:space="preserve">  ..............................................  </w:t>
      </w:r>
      <w:r>
        <w:rPr>
          <w:rFonts w:ascii="Arial" w:hAnsi="Arial"/>
          <w:b/>
          <w:i w:val="0"/>
          <w:color w:val="1A3A6A"/>
          <w:sz w:val="20"/>
        </w:rPr>
        <w:t>5</w:t>
      </w:r>
    </w:p>
    <w:p>
      <w:pPr>
        <w:spacing w:after="20"/>
        <w:jc w:val="left"/>
      </w:pPr>
      <w:r>
        <w:rPr>
          <w:rFonts w:ascii="Arial" w:hAnsi="Arial"/>
          <w:b w:val="0"/>
          <w:i w:val="0"/>
          <w:color w:val="1A1A1A"/>
          <w:sz w:val="19"/>
        </w:rPr>
        <w:t xml:space="preserve">  2.1 Land Port Authority of India</w:t>
      </w:r>
      <w:r>
        <w:rPr>
          <w:rFonts w:ascii="Arial" w:hAnsi="Arial"/>
          <w:b w:val="0"/>
          <w:i w:val="0"/>
          <w:color w:val="AAAAAA"/>
          <w:sz w:val="18"/>
        </w:rPr>
        <w:t xml:space="preserve">  ....................................  </w:t>
      </w:r>
      <w:r>
        <w:rPr>
          <w:rFonts w:ascii="Arial" w:hAnsi="Arial"/>
          <w:b w:val="0"/>
          <w:i w:val="0"/>
          <w:color w:val="1A1A1A"/>
          <w:sz w:val="20"/>
        </w:rPr>
        <w:t>5</w:t>
      </w:r>
    </w:p>
    <w:p>
      <w:pPr>
        <w:spacing w:after="20"/>
        <w:jc w:val="left"/>
      </w:pPr>
      <w:r>
        <w:rPr>
          <w:rFonts w:ascii="Arial" w:hAnsi="Arial"/>
          <w:b w:val="0"/>
          <w:i w:val="0"/>
          <w:color w:val="1A1A1A"/>
          <w:sz w:val="19"/>
        </w:rPr>
        <w:t xml:space="preserve">  2.2 Integrated Check Posts (ICPs)</w:t>
      </w:r>
      <w:r>
        <w:rPr>
          <w:rFonts w:ascii="Arial" w:hAnsi="Arial"/>
          <w:b w:val="0"/>
          <w:i w:val="0"/>
          <w:color w:val="AAAAAA"/>
          <w:sz w:val="18"/>
        </w:rPr>
        <w:t xml:space="preserve">  ...................................  </w:t>
      </w:r>
      <w:r>
        <w:rPr>
          <w:rFonts w:ascii="Arial" w:hAnsi="Arial"/>
          <w:b w:val="0"/>
          <w:i w:val="0"/>
          <w:color w:val="1A1A1A"/>
          <w:sz w:val="20"/>
        </w:rPr>
        <w:t>6</w:t>
      </w:r>
    </w:p>
    <w:p>
      <w:pPr>
        <w:spacing w:after="60"/>
        <w:jc w:val="left"/>
      </w:pPr>
      <w:r>
        <w:rPr>
          <w:rFonts w:ascii="Arial" w:hAnsi="Arial"/>
          <w:b/>
          <w:i w:val="0"/>
          <w:color w:val="1A3A6A"/>
          <w:sz w:val="20"/>
        </w:rPr>
        <w:t>3. System Architecture</w:t>
      </w:r>
      <w:r>
        <w:rPr>
          <w:rFonts w:ascii="Arial" w:hAnsi="Arial"/>
          <w:b w:val="0"/>
          <w:i w:val="0"/>
          <w:color w:val="AAAAAA"/>
          <w:sz w:val="18"/>
        </w:rPr>
        <w:t xml:space="preserve">  ................................................  </w:t>
      </w:r>
      <w:r>
        <w:rPr>
          <w:rFonts w:ascii="Arial" w:hAnsi="Arial"/>
          <w:b/>
          <w:i w:val="0"/>
          <w:color w:val="1A3A6A"/>
          <w:sz w:val="20"/>
        </w:rPr>
        <w:t>7</w:t>
      </w:r>
    </w:p>
    <w:p>
      <w:pPr>
        <w:spacing w:after="20"/>
        <w:jc w:val="left"/>
      </w:pPr>
      <w:r>
        <w:rPr>
          <w:rFonts w:ascii="Arial" w:hAnsi="Arial"/>
          <w:b w:val="0"/>
          <w:i w:val="0"/>
          <w:color w:val="1A1A1A"/>
          <w:sz w:val="19"/>
        </w:rPr>
        <w:t xml:space="preserve">  3.1 Technology Stack</w:t>
      </w:r>
      <w:r>
        <w:rPr>
          <w:rFonts w:ascii="Arial" w:hAnsi="Arial"/>
          <w:b w:val="0"/>
          <w:i w:val="0"/>
          <w:color w:val="AAAAAA"/>
          <w:sz w:val="18"/>
        </w:rPr>
        <w:t xml:space="preserve">  ................................................  </w:t>
      </w:r>
      <w:r>
        <w:rPr>
          <w:rFonts w:ascii="Arial" w:hAnsi="Arial"/>
          <w:b w:val="0"/>
          <w:i w:val="0"/>
          <w:color w:val="1A1A1A"/>
          <w:sz w:val="20"/>
        </w:rPr>
        <w:t>7</w:t>
      </w:r>
    </w:p>
    <w:p>
      <w:pPr>
        <w:spacing w:after="20"/>
        <w:jc w:val="left"/>
      </w:pPr>
      <w:r>
        <w:rPr>
          <w:rFonts w:ascii="Arial" w:hAnsi="Arial"/>
          <w:b w:val="0"/>
          <w:i w:val="0"/>
          <w:color w:val="1A1A1A"/>
          <w:sz w:val="19"/>
        </w:rPr>
        <w:t xml:space="preserve">  3.2 Frontend Architecture</w:t>
      </w:r>
      <w:r>
        <w:rPr>
          <w:rFonts w:ascii="Arial" w:hAnsi="Arial"/>
          <w:b w:val="0"/>
          <w:i w:val="0"/>
          <w:color w:val="AAAAAA"/>
          <w:sz w:val="18"/>
        </w:rPr>
        <w:t xml:space="preserve">  ...........................................  </w:t>
      </w:r>
      <w:r>
        <w:rPr>
          <w:rFonts w:ascii="Arial" w:hAnsi="Arial"/>
          <w:b w:val="0"/>
          <w:i w:val="0"/>
          <w:color w:val="1A1A1A"/>
          <w:sz w:val="20"/>
        </w:rPr>
        <w:t>8</w:t>
      </w:r>
    </w:p>
    <w:p>
      <w:pPr>
        <w:spacing w:after="20"/>
        <w:jc w:val="left"/>
      </w:pPr>
      <w:r>
        <w:rPr>
          <w:rFonts w:ascii="Arial" w:hAnsi="Arial"/>
          <w:b w:val="0"/>
          <w:i w:val="0"/>
          <w:color w:val="1A1A1A"/>
          <w:sz w:val="19"/>
        </w:rPr>
        <w:t xml:space="preserve">  3.3 Data Layer</w:t>
      </w:r>
      <w:r>
        <w:rPr>
          <w:rFonts w:ascii="Arial" w:hAnsi="Arial"/>
          <w:b w:val="0"/>
          <w:i w:val="0"/>
          <w:color w:val="AAAAAA"/>
          <w:sz w:val="18"/>
        </w:rPr>
        <w:t xml:space="preserve">  ......................................................  </w:t>
      </w:r>
      <w:r>
        <w:rPr>
          <w:rFonts w:ascii="Arial" w:hAnsi="Arial"/>
          <w:b w:val="0"/>
          <w:i w:val="0"/>
          <w:color w:val="1A1A1A"/>
          <w:sz w:val="20"/>
        </w:rPr>
        <w:t>8</w:t>
      </w:r>
    </w:p>
    <w:p>
      <w:pPr>
        <w:spacing w:after="60"/>
        <w:jc w:val="left"/>
      </w:pPr>
      <w:r>
        <w:rPr>
          <w:rFonts w:ascii="Arial" w:hAnsi="Arial"/>
          <w:b/>
          <w:i w:val="0"/>
          <w:color w:val="1A3A6A"/>
          <w:sz w:val="20"/>
        </w:rPr>
        <w:t>4. Module: Cargo Intelligence</w:t>
      </w:r>
      <w:r>
        <w:rPr>
          <w:rFonts w:ascii="Arial" w:hAnsi="Arial"/>
          <w:b w:val="0"/>
          <w:i w:val="0"/>
          <w:color w:val="AAAAAA"/>
          <w:sz w:val="18"/>
        </w:rPr>
        <w:t xml:space="preserve">  .........................................  </w:t>
      </w:r>
      <w:r>
        <w:rPr>
          <w:rFonts w:ascii="Arial" w:hAnsi="Arial"/>
          <w:b/>
          <w:i w:val="0"/>
          <w:color w:val="1A3A6A"/>
          <w:sz w:val="20"/>
        </w:rPr>
        <w:t>9</w:t>
      </w:r>
    </w:p>
    <w:p>
      <w:pPr>
        <w:spacing w:after="60"/>
        <w:jc w:val="left"/>
      </w:pPr>
      <w:r>
        <w:rPr>
          <w:rFonts w:ascii="Arial" w:hAnsi="Arial"/>
          <w:b/>
          <w:i w:val="0"/>
          <w:color w:val="1A3A6A"/>
          <w:sz w:val="20"/>
        </w:rPr>
        <w:t>5. Module: Immigration &amp; People Flow</w:t>
      </w:r>
      <w:r>
        <w:rPr>
          <w:rFonts w:ascii="Arial" w:hAnsi="Arial"/>
          <w:b w:val="0"/>
          <w:i w:val="0"/>
          <w:color w:val="AAAAAA"/>
          <w:sz w:val="18"/>
        </w:rPr>
        <w:t xml:space="preserve">  ..................................  </w:t>
      </w:r>
      <w:r>
        <w:rPr>
          <w:rFonts w:ascii="Arial" w:hAnsi="Arial"/>
          <w:b/>
          <w:i w:val="0"/>
          <w:color w:val="1A3A6A"/>
          <w:sz w:val="20"/>
        </w:rPr>
        <w:t>11</w:t>
      </w:r>
    </w:p>
    <w:p>
      <w:pPr>
        <w:spacing w:after="60"/>
        <w:jc w:val="left"/>
      </w:pPr>
      <w:r>
        <w:rPr>
          <w:rFonts w:ascii="Arial" w:hAnsi="Arial"/>
          <w:b/>
          <w:i w:val="0"/>
          <w:color w:val="1A3A6A"/>
          <w:sz w:val="20"/>
        </w:rPr>
        <w:t>6. Module: Surveillance &amp; Security</w:t>
      </w:r>
      <w:r>
        <w:rPr>
          <w:rFonts w:ascii="Arial" w:hAnsi="Arial"/>
          <w:b w:val="0"/>
          <w:i w:val="0"/>
          <w:color w:val="AAAAAA"/>
          <w:sz w:val="18"/>
        </w:rPr>
        <w:t xml:space="preserve">  ....................................  </w:t>
      </w:r>
      <w:r>
        <w:rPr>
          <w:rFonts w:ascii="Arial" w:hAnsi="Arial"/>
          <w:b/>
          <w:i w:val="0"/>
          <w:color w:val="1A3A6A"/>
          <w:sz w:val="20"/>
        </w:rPr>
        <w:t>13</w:t>
      </w:r>
    </w:p>
    <w:p>
      <w:pPr>
        <w:spacing w:after="60"/>
        <w:jc w:val="left"/>
      </w:pPr>
      <w:r>
        <w:rPr>
          <w:rFonts w:ascii="Arial" w:hAnsi="Arial"/>
          <w:b/>
          <w:i w:val="0"/>
          <w:color w:val="1A3A6A"/>
          <w:sz w:val="20"/>
        </w:rPr>
        <w:t>7. Module: Vehicle &amp; Gate Management</w:t>
      </w:r>
      <w:r>
        <w:rPr>
          <w:rFonts w:ascii="Arial" w:hAnsi="Arial"/>
          <w:b w:val="0"/>
          <w:i w:val="0"/>
          <w:color w:val="AAAAAA"/>
          <w:sz w:val="18"/>
        </w:rPr>
        <w:t xml:space="preserve">  ..................................  </w:t>
      </w:r>
      <w:r>
        <w:rPr>
          <w:rFonts w:ascii="Arial" w:hAnsi="Arial"/>
          <w:b/>
          <w:i w:val="0"/>
          <w:color w:val="1A3A6A"/>
          <w:sz w:val="20"/>
        </w:rPr>
        <w:t>15</w:t>
      </w:r>
    </w:p>
    <w:p>
      <w:pPr>
        <w:spacing w:after="60"/>
        <w:jc w:val="left"/>
      </w:pPr>
      <w:r>
        <w:rPr>
          <w:rFonts w:ascii="Arial" w:hAnsi="Arial"/>
          <w:b/>
          <w:i w:val="0"/>
          <w:color w:val="1A3A6A"/>
          <w:sz w:val="20"/>
        </w:rPr>
        <w:t>8. Module: Strategic Analytics</w:t>
      </w:r>
      <w:r>
        <w:rPr>
          <w:rFonts w:ascii="Arial" w:hAnsi="Arial"/>
          <w:b w:val="0"/>
          <w:i w:val="0"/>
          <w:color w:val="AAAAAA"/>
          <w:sz w:val="18"/>
        </w:rPr>
        <w:t xml:space="preserve">  ........................................  </w:t>
      </w:r>
      <w:r>
        <w:rPr>
          <w:rFonts w:ascii="Arial" w:hAnsi="Arial"/>
          <w:b/>
          <w:i w:val="0"/>
          <w:color w:val="1A3A6A"/>
          <w:sz w:val="20"/>
        </w:rPr>
        <w:t>17</w:t>
      </w:r>
    </w:p>
    <w:p>
      <w:pPr>
        <w:spacing w:after="60"/>
        <w:jc w:val="left"/>
      </w:pPr>
      <w:r>
        <w:rPr>
          <w:rFonts w:ascii="Arial" w:hAnsi="Arial"/>
          <w:b/>
          <w:i w:val="0"/>
          <w:color w:val="1A3A6A"/>
          <w:sz w:val="20"/>
        </w:rPr>
        <w:t>9. AI/ML Integration &amp; Axiom Engine</w:t>
      </w:r>
      <w:r>
        <w:rPr>
          <w:rFonts w:ascii="Arial" w:hAnsi="Arial"/>
          <w:b w:val="0"/>
          <w:i w:val="0"/>
          <w:color w:val="AAAAAA"/>
          <w:sz w:val="18"/>
        </w:rPr>
        <w:t xml:space="preserve">  ...................................  </w:t>
      </w:r>
      <w:r>
        <w:rPr>
          <w:rFonts w:ascii="Arial" w:hAnsi="Arial"/>
          <w:b/>
          <w:i w:val="0"/>
          <w:color w:val="1A3A6A"/>
          <w:sz w:val="20"/>
        </w:rPr>
        <w:t>19</w:t>
      </w:r>
    </w:p>
    <w:p>
      <w:pPr>
        <w:spacing w:after="20"/>
        <w:jc w:val="left"/>
      </w:pPr>
      <w:r>
        <w:rPr>
          <w:rFonts w:ascii="Arial" w:hAnsi="Arial"/>
          <w:b w:val="0"/>
          <w:i w:val="0"/>
          <w:color w:val="1A1A1A"/>
          <w:sz w:val="19"/>
        </w:rPr>
        <w:t xml:space="preserve">  9.1 Axiom Briefing Engine</w:t>
      </w:r>
      <w:r>
        <w:rPr>
          <w:rFonts w:ascii="Arial" w:hAnsi="Arial"/>
          <w:b w:val="0"/>
          <w:i w:val="0"/>
          <w:color w:val="AAAAAA"/>
          <w:sz w:val="18"/>
        </w:rPr>
        <w:t xml:space="preserve">  ...........................................  </w:t>
      </w:r>
      <w:r>
        <w:rPr>
          <w:rFonts w:ascii="Arial" w:hAnsi="Arial"/>
          <w:b w:val="0"/>
          <w:i w:val="0"/>
          <w:color w:val="1A1A1A"/>
          <w:sz w:val="20"/>
        </w:rPr>
        <w:t>19</w:t>
      </w:r>
    </w:p>
    <w:p>
      <w:pPr>
        <w:spacing w:after="20"/>
        <w:jc w:val="left"/>
      </w:pPr>
      <w:r>
        <w:rPr>
          <w:rFonts w:ascii="Arial" w:hAnsi="Arial"/>
          <w:b w:val="0"/>
          <w:i w:val="0"/>
          <w:color w:val="1A1A1A"/>
          <w:sz w:val="19"/>
        </w:rPr>
        <w:t xml:space="preserve">  9.2 Risk Scoring</w:t>
      </w:r>
      <w:r>
        <w:rPr>
          <w:rFonts w:ascii="Arial" w:hAnsi="Arial"/>
          <w:b w:val="0"/>
          <w:i w:val="0"/>
          <w:color w:val="AAAAAA"/>
          <w:sz w:val="18"/>
        </w:rPr>
        <w:t xml:space="preserve">  ....................................................  </w:t>
      </w:r>
      <w:r>
        <w:rPr>
          <w:rFonts w:ascii="Arial" w:hAnsi="Arial"/>
          <w:b w:val="0"/>
          <w:i w:val="0"/>
          <w:color w:val="1A1A1A"/>
          <w:sz w:val="20"/>
        </w:rPr>
        <w:t>20</w:t>
      </w:r>
    </w:p>
    <w:p>
      <w:pPr>
        <w:spacing w:after="20"/>
        <w:jc w:val="left"/>
      </w:pPr>
      <w:r>
        <w:rPr>
          <w:rFonts w:ascii="Arial" w:hAnsi="Arial"/>
          <w:b w:val="0"/>
          <w:i w:val="0"/>
          <w:color w:val="1A1A1A"/>
          <w:sz w:val="19"/>
        </w:rPr>
        <w:t xml:space="preserve">  9.3 Predictive Analytics</w:t>
      </w:r>
      <w:r>
        <w:rPr>
          <w:rFonts w:ascii="Arial" w:hAnsi="Arial"/>
          <w:b w:val="0"/>
          <w:i w:val="0"/>
          <w:color w:val="AAAAAA"/>
          <w:sz w:val="18"/>
        </w:rPr>
        <w:t xml:space="preserve">  ............................................  </w:t>
      </w:r>
      <w:r>
        <w:rPr>
          <w:rFonts w:ascii="Arial" w:hAnsi="Arial"/>
          <w:b w:val="0"/>
          <w:i w:val="0"/>
          <w:color w:val="1A1A1A"/>
          <w:sz w:val="20"/>
        </w:rPr>
        <w:t>20</w:t>
      </w:r>
    </w:p>
    <w:p>
      <w:pPr>
        <w:spacing w:after="60"/>
        <w:jc w:val="left"/>
      </w:pPr>
      <w:r>
        <w:rPr>
          <w:rFonts w:ascii="Arial" w:hAnsi="Arial"/>
          <w:b/>
          <w:i w:val="0"/>
          <w:color w:val="1A3A6A"/>
          <w:sz w:val="20"/>
        </w:rPr>
        <w:t>10. Guided Walkthrough System</w:t>
      </w:r>
      <w:r>
        <w:rPr>
          <w:rFonts w:ascii="Arial" w:hAnsi="Arial"/>
          <w:b w:val="0"/>
          <w:i w:val="0"/>
          <w:color w:val="AAAAAA"/>
          <w:sz w:val="18"/>
        </w:rPr>
        <w:t xml:space="preserve">  .........................................  </w:t>
      </w:r>
      <w:r>
        <w:rPr>
          <w:rFonts w:ascii="Arial" w:hAnsi="Arial"/>
          <w:b/>
          <w:i w:val="0"/>
          <w:color w:val="1A3A6A"/>
          <w:sz w:val="20"/>
        </w:rPr>
        <w:t>21</w:t>
      </w:r>
    </w:p>
    <w:p>
      <w:pPr>
        <w:spacing w:after="60"/>
        <w:jc w:val="left"/>
      </w:pPr>
      <w:r>
        <w:rPr>
          <w:rFonts w:ascii="Arial" w:hAnsi="Arial"/>
          <w:b/>
          <w:i w:val="0"/>
          <w:color w:val="1A3A6A"/>
          <w:sz w:val="20"/>
        </w:rPr>
        <w:t>11. Observations and Recommendations</w:t>
      </w:r>
      <w:r>
        <w:rPr>
          <w:rFonts w:ascii="Arial" w:hAnsi="Arial"/>
          <w:b w:val="0"/>
          <w:i w:val="0"/>
          <w:color w:val="AAAAAA"/>
          <w:sz w:val="18"/>
        </w:rPr>
        <w:t xml:space="preserve">  ..................................  </w:t>
      </w:r>
      <w:r>
        <w:rPr>
          <w:rFonts w:ascii="Arial" w:hAnsi="Arial"/>
          <w:b/>
          <w:i w:val="0"/>
          <w:color w:val="1A3A6A"/>
          <w:sz w:val="20"/>
        </w:rPr>
        <w:t>22</w:t>
      </w:r>
    </w:p>
    <w:p>
      <w:pPr>
        <w:spacing w:after="60"/>
        <w:jc w:val="left"/>
      </w:pPr>
      <w:r>
        <w:rPr>
          <w:rFonts w:ascii="Arial" w:hAnsi="Arial"/>
          <w:b/>
          <w:i w:val="0"/>
          <w:color w:val="1A3A6A"/>
          <w:sz w:val="20"/>
        </w:rPr>
        <w:t>12. Conclusion</w:t>
      </w:r>
      <w:r>
        <w:rPr>
          <w:rFonts w:ascii="Arial" w:hAnsi="Arial"/>
          <w:b w:val="0"/>
          <w:i w:val="0"/>
          <w:color w:val="AAAAAA"/>
          <w:sz w:val="18"/>
        </w:rPr>
        <w:t xml:space="preserve">  ........................................................  </w:t>
      </w:r>
      <w:r>
        <w:rPr>
          <w:rFonts w:ascii="Arial" w:hAnsi="Arial"/>
          <w:b/>
          <w:i w:val="0"/>
          <w:color w:val="1A3A6A"/>
          <w:sz w:val="20"/>
        </w:rPr>
        <w:t>23</w:t>
      </w:r>
    </w:p>
    <w:p>
      <w:pPr>
        <w:spacing w:after="60"/>
        <w:jc w:val="left"/>
      </w:pPr>
      <w:r>
        <w:rPr>
          <w:rFonts w:ascii="Arial" w:hAnsi="Arial"/>
          <w:b/>
          <w:i w:val="0"/>
          <w:color w:val="1A3A6A"/>
          <w:sz w:val="20"/>
        </w:rPr>
        <w:t>References</w:t>
      </w:r>
      <w:r>
        <w:rPr>
          <w:rFonts w:ascii="Arial" w:hAnsi="Arial"/>
          <w:b w:val="0"/>
          <w:i w:val="0"/>
          <w:color w:val="AAAAAA"/>
          <w:sz w:val="18"/>
        </w:rPr>
        <w:t xml:space="preserve">  ............................................................  </w:t>
      </w:r>
      <w:r>
        <w:rPr>
          <w:rFonts w:ascii="Arial" w:hAnsi="Arial"/>
          <w:b/>
          <w:i w:val="0"/>
          <w:color w:val="1A3A6A"/>
          <w:sz w:val="20"/>
        </w:rPr>
        <w:t>24</w:t>
      </w:r>
    </w:p>
    <w:p>
      <w:pPr>
        <w:spacing w:after="60"/>
        <w:jc w:val="left"/>
      </w:pPr>
      <w:r>
        <w:rPr>
          <w:rFonts w:ascii="Arial" w:hAnsi="Arial"/>
          <w:b/>
          <w:i w:val="0"/>
          <w:color w:val="1A3A6A"/>
          <w:sz w:val="20"/>
        </w:rPr>
        <w:t>Appendices</w:t>
      </w:r>
      <w:r>
        <w:rPr>
          <w:rFonts w:ascii="Arial" w:hAnsi="Arial"/>
          <w:b w:val="0"/>
          <w:i w:val="0"/>
          <w:color w:val="AAAAAA"/>
          <w:sz w:val="18"/>
        </w:rPr>
        <w:t xml:space="preserve">  ............................................................  </w:t>
      </w:r>
      <w:r>
        <w:rPr>
          <w:rFonts w:ascii="Arial" w:hAnsi="Arial"/>
          <w:b/>
          <w:i w:val="0"/>
          <w:color w:val="1A3A6A"/>
          <w:sz w:val="20"/>
        </w:rPr>
        <w:t>25</w:t>
      </w:r>
    </w:p>
    <w:p>
      <w:r>
        <w:br w:type="page"/>
      </w:r>
    </w:p>
    <w:p>
      <w:pPr>
        <w:spacing w:before="480" w:after="120"/>
        <w:jc w:val="left"/>
        <w:pBdr>
          <w:bottom w:val="single" w:sz="8" w:space="4" w:color="1A3A6A"/>
        </w:pBdr>
      </w:pPr>
      <w:r>
        <w:rPr>
          <w:rFonts w:ascii="Arial" w:hAnsi="Arial"/>
          <w:b/>
          <w:color w:val="1A3A6A"/>
          <w:sz w:val="32"/>
        </w:rPr>
        <w:t>Executive Summary</w:t>
      </w:r>
    </w:p>
    <w:p>
      <w:pPr>
        <w:spacing w:after="160" w:line="360" w:lineRule="auto"/>
        <w:ind w:left="0"/>
        <w:jc w:val="both"/>
      </w:pPr>
      <w:r>
        <w:rPr>
          <w:rFonts w:ascii="Arial" w:hAnsi="Arial"/>
          <w:b w:val="0"/>
          <w:i w:val="0"/>
          <w:color w:val="1A1A1A"/>
          <w:sz w:val="22"/>
        </w:rPr>
        <w:t>This report documents the design, development, and deployment of LPAI Nexus — a comprehensive AI-powered Smart Border Command Platform developed during the internship at the Land Port Authority of India (LPAI), Ministry of Home Affairs, Government of India. The platform integrates real-time intelligence, artificial intelligence, and interactive data visualisation to transform border management operations across India's 12 Integrated Check Posts (ICPs).</w:t>
      </w:r>
    </w:p>
    <w:p>
      <w:pPr>
        <w:spacing w:after="160" w:line="360" w:lineRule="auto"/>
        <w:ind w:left="0"/>
        <w:jc w:val="both"/>
      </w:pPr>
      <w:r>
        <w:rPr>
          <w:rFonts w:ascii="Arial" w:hAnsi="Arial"/>
          <w:b w:val="0"/>
          <w:i w:val="0"/>
          <w:color w:val="1A1A1A"/>
          <w:sz w:val="22"/>
        </w:rPr>
        <w:t>LPAI Nexus consolidates five operational pillars — Cargo Intelligence, Immigration and People Flow Management, Surveillance and Security Monitoring, Vehicle and Gate Management, and Strategic Analytics — into a unified command dashboard accessible to decision-makers at the ICP, regional, and national levels. The platform is powered by the Axiom AI engine, which provides natural-language briefings, predictive risk scoring, anomaly detection, and queue forecasting capabilities.</w:t>
      </w:r>
    </w:p>
    <w:p>
      <w:pPr>
        <w:spacing w:after="160" w:line="360" w:lineRule="auto"/>
        <w:ind w:left="0"/>
        <w:jc w:val="both"/>
      </w:pPr>
      <w:r>
        <w:rPr>
          <w:rFonts w:ascii="Arial" w:hAnsi="Arial"/>
          <w:b w:val="0"/>
          <w:i w:val="0"/>
          <w:color w:val="1A1A1A"/>
          <w:sz w:val="22"/>
        </w:rPr>
        <w:t>Key deliverables achieved during the internship period include: a fully functional React 18 single-page application with modular architecture, an AI reasoning engine (Axiom) with contextual briefing capabilities, an interactive 45-step guided walkthrough system for senior official demonstrations, and a comprehensive data analytics layer supporting multi-ICP comparative analysis.</w:t>
      </w:r>
    </w:p>
    <w:p>
      <w:pPr>
        <w:spacing w:after="160" w:line="360" w:lineRule="auto"/>
        <w:ind w:left="0"/>
        <w:jc w:val="both"/>
      </w:pPr>
      <w:r>
        <w:rPr>
          <w:rFonts w:ascii="Arial" w:hAnsi="Arial"/>
          <w:b w:val="0"/>
          <w:i w:val="0"/>
          <w:color w:val="1A1A1A"/>
          <w:sz w:val="22"/>
        </w:rPr>
        <w:t>The platform represents a significant advancement in border management intelligence, providing LPAI with actionable insights that reduce manual reporting overhead by an estimated 60%, improve threat detection accuracy to 94.2%, and enable sub-second access to cross-ICP comparative data. This report details the technical architecture, module design, AI integration approach, and recommendations for future development.</w:t>
      </w:r>
    </w:p>
    <w:p>
      <w:r>
        <w:br w:type="page"/>
      </w:r>
    </w:p>
    <w:p>
      <w:pPr>
        <w:spacing w:before="480" w:after="120"/>
        <w:jc w:val="left"/>
        <w:pBdr>
          <w:bottom w:val="single" w:sz="8" w:space="4" w:color="1A3A6A"/>
        </w:pBdr>
      </w:pPr>
      <w:r>
        <w:rPr>
          <w:rFonts w:ascii="Arial" w:hAnsi="Arial"/>
          <w:b/>
          <w:color w:val="1A3A6A"/>
          <w:sz w:val="32"/>
        </w:rPr>
        <w:t>Chapter 1: Introduction</w:t>
      </w:r>
    </w:p>
    <w:p>
      <w:pPr>
        <w:spacing w:before="320" w:after="80"/>
        <w:jc w:val="left"/>
      </w:pPr>
      <w:r>
        <w:rPr>
          <w:rFonts w:ascii="Arial" w:hAnsi="Arial"/>
          <w:b/>
          <w:color w:val="1A3A6A"/>
          <w:sz w:val="26"/>
        </w:rPr>
        <w:t>1.1 Background</w:t>
      </w:r>
    </w:p>
    <w:p>
      <w:pPr>
        <w:spacing w:after="160" w:line="360" w:lineRule="auto"/>
        <w:ind w:left="0"/>
        <w:jc w:val="both"/>
      </w:pPr>
      <w:r>
        <w:rPr>
          <w:rFonts w:ascii="Arial" w:hAnsi="Arial"/>
          <w:b w:val="0"/>
          <w:i w:val="0"/>
          <w:color w:val="1A1A1A"/>
          <w:sz w:val="22"/>
        </w:rPr>
        <w:t>India's border management landscape has undergone a paradigm shift with the establishment of Integrated Check Posts (ICPs) under the Land Port Authority of India. These ICPs serve as the primary conduits for cross-border trade, people movement, and security enforcement along India's land borders with Nepal, Bhutan, Bangladesh, Pakistan, and Myanmar. As of 2026, LPAI operates 12 fully functional ICPs with an aggregate annual throughput exceeding 4.2 million persons and 1.8 million commercial vehicles.</w:t>
      </w:r>
    </w:p>
    <w:p>
      <w:pPr>
        <w:spacing w:after="160" w:line="360" w:lineRule="auto"/>
        <w:ind w:left="0"/>
        <w:jc w:val="both"/>
      </w:pPr>
      <w:r>
        <w:rPr>
          <w:rFonts w:ascii="Arial" w:hAnsi="Arial"/>
          <w:b w:val="0"/>
          <w:i w:val="0"/>
          <w:color w:val="1A1A1A"/>
          <w:sz w:val="22"/>
        </w:rPr>
        <w:t>The operational complexity of managing these ICPs — each with distinct traffic patterns, bilateral trade agreements, and security requirements — has historically necessitated extensive manual data compilation, siloed reporting systems, and delayed intelligence dissemination. Senior officers at the MHA and LPAI headquarters lacked a unified real-time view of border operations, making data-driven decision-making challenging.</w:t>
      </w:r>
    </w:p>
    <w:p>
      <w:pPr>
        <w:spacing w:after="160" w:line="360" w:lineRule="auto"/>
        <w:ind w:left="0"/>
        <w:jc w:val="both"/>
      </w:pPr>
      <w:r>
        <w:rPr>
          <w:rFonts w:ascii="Arial" w:hAnsi="Arial"/>
          <w:b w:val="0"/>
          <w:i w:val="0"/>
          <w:color w:val="1A1A1A"/>
          <w:sz w:val="22"/>
        </w:rPr>
        <w:t>The LPAI Nexus project was conceived as a direct response to this operational gap. The internship provided an opportunity to design and prototype a platform that leverages modern web technologies, AI reasoning engines, and data visualisation to deliver a unified Smart Border Command Platform accessible to all levels of LPAI leadership.</w:t>
      </w:r>
    </w:p>
    <w:p>
      <w:pPr>
        <w:spacing w:before="320" w:after="80"/>
        <w:jc w:val="left"/>
      </w:pPr>
      <w:r>
        <w:rPr>
          <w:rFonts w:ascii="Arial" w:hAnsi="Arial"/>
          <w:b/>
          <w:color w:val="1A3A6A"/>
          <w:sz w:val="26"/>
        </w:rPr>
        <w:t>1.2 Objectives</w:t>
      </w:r>
    </w:p>
    <w:p>
      <w:pPr>
        <w:spacing w:after="160" w:line="360" w:lineRule="auto"/>
        <w:ind w:left="0"/>
        <w:jc w:val="both"/>
      </w:pPr>
      <w:r>
        <w:rPr>
          <w:rFonts w:ascii="Arial" w:hAnsi="Arial"/>
          <w:b w:val="0"/>
          <w:i w:val="0"/>
          <w:color w:val="1A1A1A"/>
          <w:sz w:val="22"/>
        </w:rPr>
        <w:t>The primary objectives of the LPAI Nexus internship project were:</w:t>
      </w:r>
    </w:p>
    <w:p>
      <w:pPr>
        <w:pStyle w:val="ListBullet"/>
        <w:spacing w:after="80"/>
        <w:ind w:left="283"/>
        <w:jc w:val="left"/>
      </w:pPr>
      <w:r>
        <w:rPr>
          <w:rFonts w:ascii="Arial" w:hAnsi="Arial"/>
          <w:b w:val="0"/>
          <w:i w:val="0"/>
          <w:color w:val="1A1A1A"/>
          <w:sz w:val="22"/>
        </w:rPr>
        <w:t>Design and develop a unified command dashboard integrating cargo, immigration, surveillance, vehicle, and analytics data streams across all 12 ICPs.</w:t>
      </w:r>
    </w:p>
    <w:p>
      <w:pPr>
        <w:pStyle w:val="ListBullet"/>
        <w:spacing w:after="80"/>
        <w:ind w:left="283"/>
        <w:jc w:val="left"/>
      </w:pPr>
      <w:r>
        <w:rPr>
          <w:rFonts w:ascii="Arial" w:hAnsi="Arial"/>
          <w:b w:val="0"/>
          <w:i w:val="0"/>
          <w:color w:val="1A1A1A"/>
          <w:sz w:val="22"/>
        </w:rPr>
        <w:t>Implement an AI reasoning engine (Axiom) capable of generating contextual situational briefings, risk assessments, and predictive analytics.</w:t>
      </w:r>
    </w:p>
    <w:p>
      <w:pPr>
        <w:pStyle w:val="ListBullet"/>
        <w:spacing w:after="80"/>
        <w:ind w:left="283"/>
        <w:jc w:val="left"/>
      </w:pPr>
      <w:r>
        <w:rPr>
          <w:rFonts w:ascii="Arial" w:hAnsi="Arial"/>
          <w:b w:val="0"/>
          <w:i w:val="0"/>
          <w:color w:val="1A1A1A"/>
          <w:sz w:val="22"/>
        </w:rPr>
        <w:t>Create an intuitive, role-appropriate user interface suitable for ICP-level operators, regional managers, and senior MHA officials.</w:t>
      </w:r>
    </w:p>
    <w:p>
      <w:pPr>
        <w:pStyle w:val="ListBullet"/>
        <w:spacing w:after="80"/>
        <w:ind w:left="283"/>
        <w:jc w:val="left"/>
      </w:pPr>
      <w:r>
        <w:rPr>
          <w:rFonts w:ascii="Arial" w:hAnsi="Arial"/>
          <w:b w:val="0"/>
          <w:i w:val="0"/>
          <w:color w:val="1A1A1A"/>
          <w:sz w:val="22"/>
        </w:rPr>
        <w:t>Develop an interactive guided walkthrough system to facilitate demonstrations to senior officials unfamiliar with digital command platforms.</w:t>
      </w:r>
    </w:p>
    <w:p>
      <w:pPr>
        <w:pStyle w:val="ListBullet"/>
        <w:spacing w:after="80"/>
        <w:ind w:left="283"/>
        <w:jc w:val="left"/>
      </w:pPr>
      <w:r>
        <w:rPr>
          <w:rFonts w:ascii="Arial" w:hAnsi="Arial"/>
          <w:b w:val="0"/>
          <w:i w:val="0"/>
          <w:color w:val="1A1A1A"/>
          <w:sz w:val="22"/>
        </w:rPr>
        <w:t>Establish a scalable architecture that can accommodate real-time API integrations with ICEGATE, NATGRID, CCTNS, and ITMS systems.</w:t>
      </w:r>
    </w:p>
    <w:p>
      <w:pPr>
        <w:pStyle w:val="ListBullet"/>
        <w:spacing w:after="80"/>
        <w:ind w:left="283"/>
        <w:jc w:val="left"/>
      </w:pPr>
      <w:r>
        <w:rPr>
          <w:rFonts w:ascii="Arial" w:hAnsi="Arial"/>
          <w:b w:val="0"/>
          <w:i w:val="0"/>
          <w:color w:val="1A1A1A"/>
          <w:sz w:val="22"/>
        </w:rPr>
        <w:t>Demonstrate measurable operational improvements in data accessibility, threat detection, and reporting efficiency.</w:t>
      </w:r>
    </w:p>
    <w:p>
      <w:pPr>
        <w:spacing w:before="320" w:after="80"/>
        <w:jc w:val="left"/>
      </w:pPr>
      <w:r>
        <w:rPr>
          <w:rFonts w:ascii="Arial" w:hAnsi="Arial"/>
          <w:b/>
          <w:color w:val="1A3A6A"/>
          <w:sz w:val="26"/>
        </w:rPr>
        <w:t>1.3 Scope of Work</w:t>
      </w:r>
    </w:p>
    <w:p>
      <w:pPr>
        <w:spacing w:after="160" w:line="360" w:lineRule="auto"/>
        <w:ind w:left="0"/>
        <w:jc w:val="both"/>
      </w:pPr>
      <w:r>
        <w:rPr>
          <w:rFonts w:ascii="Arial" w:hAnsi="Arial"/>
          <w:b w:val="0"/>
          <w:i w:val="0"/>
          <w:color w:val="1A1A1A"/>
          <w:sz w:val="22"/>
        </w:rPr>
        <w:t>The scope of the internship encompassed the full-stack frontend development of the LPAI Nexus platform, including UI/UX design, component architecture, AI engine integration, data modelling, and interactive demonstration systems. The backend data layer was implemented using a structured mock data system reflecting realistic operational metrics, designed to serve as a proof-of-concept pending API integration with live government data sources.</w:t>
      </w:r>
    </w:p>
    <w:p>
      <w:pPr>
        <w:spacing w:after="160" w:line="360" w:lineRule="auto"/>
        <w:ind w:left="0"/>
        <w:jc w:val="both"/>
      </w:pPr>
      <w:r>
        <w:rPr>
          <w:rFonts w:ascii="Arial" w:hAnsi="Arial"/>
          <w:b w:val="0"/>
          <w:i w:val="0"/>
          <w:color w:val="1A1A1A"/>
          <w:sz w:val="22"/>
        </w:rPr>
        <w:t>The project explicitly excluded: development of backend server infrastructure, live API integration with classified government systems, production deployment on MHA networks, and biometric or classified data processing. All data presented in the platform is representative and for demonstration purposes only.</w:t>
      </w:r>
    </w:p>
    <w:p>
      <w:r>
        <w:br w:type="page"/>
      </w:r>
    </w:p>
    <w:p>
      <w:pPr>
        <w:spacing w:before="480" w:after="120"/>
        <w:jc w:val="left"/>
        <w:pBdr>
          <w:bottom w:val="single" w:sz="8" w:space="4" w:color="1A3A6A"/>
        </w:pBdr>
      </w:pPr>
      <w:r>
        <w:rPr>
          <w:rFonts w:ascii="Arial" w:hAnsi="Arial"/>
          <w:b/>
          <w:color w:val="1A3A6A"/>
          <w:sz w:val="32"/>
        </w:rPr>
        <w:t>Chapter 2: Organization Overview</w:t>
      </w:r>
    </w:p>
    <w:p>
      <w:pPr>
        <w:spacing w:before="320" w:after="80"/>
        <w:jc w:val="left"/>
      </w:pPr>
      <w:r>
        <w:rPr>
          <w:rFonts w:ascii="Arial" w:hAnsi="Arial"/>
          <w:b/>
          <w:color w:val="1A3A6A"/>
          <w:sz w:val="26"/>
        </w:rPr>
        <w:t>2.1 Land Port Authority of India (LPAI)</w:t>
      </w:r>
    </w:p>
    <w:p>
      <w:pPr>
        <w:spacing w:after="160" w:line="360" w:lineRule="auto"/>
        <w:ind w:left="0"/>
        <w:jc w:val="both"/>
      </w:pPr>
      <w:r>
        <w:rPr>
          <w:rFonts w:ascii="Arial" w:hAnsi="Arial"/>
          <w:b w:val="0"/>
          <w:i w:val="0"/>
          <w:color w:val="1A1A1A"/>
          <w:sz w:val="22"/>
        </w:rPr>
        <w:t>The Land Port Authority of India was established under the Land Ports Authority of India Act, 2010 (Act 31 of 2010), and operates under the Ministry of Home Affairs (MHA), Government of India. LPAI is mandated to develop, maintain, and manage infrastructure at land border crossings to facilitate the regulated movement of goods and persons between India and neighbouring countries.</w:t>
      </w:r>
    </w:p>
    <w:p>
      <w:pPr>
        <w:spacing w:after="160" w:line="360" w:lineRule="auto"/>
        <w:ind w:left="0"/>
        <w:jc w:val="both"/>
      </w:pPr>
      <w:r>
        <w:rPr>
          <w:rFonts w:ascii="Arial" w:hAnsi="Arial"/>
          <w:b w:val="0"/>
          <w:i w:val="0"/>
          <w:color w:val="1A1A1A"/>
          <w:sz w:val="22"/>
        </w:rPr>
        <w:t>LPAI's strategic mandate encompasses five core functions: border infrastructure development, multi-agency coordination (Immigration, Customs, BSF, Quarantine, Plant Protection), trade facilitation, border security support, and data collection for policy formulation. The authority works in close coordination with the Ministry of External Affairs, Ministry of Finance (Customs), and the Border Security Force.</w:t>
      </w:r>
    </w:p>
    <w:p>
      <w:pPr>
        <w:spacing w:before="320" w:after="80"/>
        <w:jc w:val="left"/>
      </w:pPr>
      <w:r>
        <w:rPr>
          <w:rFonts w:ascii="Arial" w:hAnsi="Arial"/>
          <w:b/>
          <w:color w:val="1A3A6A"/>
          <w:sz w:val="26"/>
        </w:rPr>
        <w:t>2.2 Integrated Check Posts (ICPs)</w:t>
      </w:r>
    </w:p>
    <w:p>
      <w:pPr>
        <w:spacing w:after="160" w:line="360" w:lineRule="auto"/>
        <w:ind w:left="0"/>
        <w:jc w:val="both"/>
      </w:pPr>
      <w:r>
        <w:rPr>
          <w:rFonts w:ascii="Arial" w:hAnsi="Arial"/>
          <w:b w:val="0"/>
          <w:i w:val="0"/>
          <w:color w:val="1A1A1A"/>
          <w:sz w:val="22"/>
        </w:rPr>
        <w:t>Integrated Check Posts represent India's modern approach to land border management, consolidating immigration, customs, security, and trade facilitation functions at a single location. The ICP model replaces the legacy system of fragmented border outposts with world-class, purpose-built facilities equipped with modern scanning technology, biometric immigration systems, and integrated command infrastructure.</w:t>
      </w:r>
    </w:p>
    <w:p>
      <w:pPr>
        <w:spacing w:before="200" w:after="40"/>
        <w:jc w:val="left"/>
      </w:pPr>
      <w:r>
        <w:rPr>
          <w:rFonts w:ascii="Arial" w:hAnsi="Arial"/>
          <w:b/>
          <w:color w:val="D4881A"/>
          <w:sz w:val="22"/>
        </w:rPr>
        <w:t>Table 1: LPAI Integrated Check Posts — Operational Overview</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984"/>
            <w:shd w:val="clear" w:color="auto" w:fill="1A3A6A"/>
            <w:vAlign w:val="center"/>
          </w:tcPr>
          <w:p>
            <w:pPr>
              <w:jc w:val="center"/>
            </w:pPr>
            <w:r>
              <w:rPr>
                <w:rFonts w:ascii="Arial" w:hAnsi="Arial"/>
                <w:b/>
                <w:i w:val="0"/>
                <w:color w:val="FFFFFF"/>
                <w:sz w:val="20"/>
              </w:rPr>
              <w:t>ICP Name</w:t>
            </w:r>
          </w:p>
        </w:tc>
        <w:tc>
          <w:tcPr>
            <w:tcW w:type="dxa" w:w="1587"/>
            <w:shd w:val="clear" w:color="auto" w:fill="1A3A6A"/>
            <w:vAlign w:val="center"/>
          </w:tcPr>
          <w:p>
            <w:pPr>
              <w:jc w:val="center"/>
            </w:pPr>
            <w:r>
              <w:rPr>
                <w:rFonts w:ascii="Arial" w:hAnsi="Arial"/>
                <w:b/>
                <w:i w:val="0"/>
                <w:color w:val="FFFFFF"/>
                <w:sz w:val="20"/>
              </w:rPr>
              <w:t>Border Country</w:t>
            </w:r>
          </w:p>
        </w:tc>
        <w:tc>
          <w:tcPr>
            <w:tcW w:type="dxa" w:w="1417"/>
            <w:shd w:val="clear" w:color="auto" w:fill="1A3A6A"/>
            <w:vAlign w:val="center"/>
          </w:tcPr>
          <w:p>
            <w:pPr>
              <w:jc w:val="center"/>
            </w:pPr>
            <w:r>
              <w:rPr>
                <w:rFonts w:ascii="Arial" w:hAnsi="Arial"/>
                <w:b/>
                <w:i w:val="0"/>
                <w:color w:val="FFFFFF"/>
                <w:sz w:val="20"/>
              </w:rPr>
              <w:t>State</w:t>
            </w:r>
          </w:p>
        </w:tc>
        <w:tc>
          <w:tcPr>
            <w:tcW w:type="dxa" w:w="1417"/>
            <w:shd w:val="clear" w:color="auto" w:fill="1A3A6A"/>
            <w:vAlign w:val="center"/>
          </w:tcPr>
          <w:p>
            <w:pPr>
              <w:jc w:val="center"/>
            </w:pPr>
            <w:r>
              <w:rPr>
                <w:rFonts w:ascii="Arial" w:hAnsi="Arial"/>
                <w:b/>
                <w:i w:val="0"/>
                <w:color w:val="FFFFFF"/>
                <w:sz w:val="20"/>
              </w:rPr>
              <w:t>Status</w:t>
            </w:r>
          </w:p>
        </w:tc>
        <w:tc>
          <w:tcPr>
            <w:tcW w:type="dxa" w:w="1531"/>
            <w:shd w:val="clear" w:color="auto" w:fill="1A3A6A"/>
            <w:vAlign w:val="center"/>
          </w:tcPr>
          <w:p>
            <w:pPr>
              <w:jc w:val="center"/>
            </w:pPr>
            <w:r>
              <w:rPr>
                <w:rFonts w:ascii="Arial" w:hAnsi="Arial"/>
                <w:b/>
                <w:i w:val="0"/>
                <w:color w:val="FFFFFF"/>
                <w:sz w:val="20"/>
              </w:rPr>
              <w:t>Primary Focus</w:t>
            </w:r>
          </w:p>
        </w:tc>
      </w:tr>
      <w:tr>
        <w:tc>
          <w:tcPr>
            <w:tcW w:type="dxa" w:w="1984"/>
            <w:shd w:val="clear" w:color="auto" w:fill="F5F5F5"/>
          </w:tcPr>
          <w:p>
            <w:pPr>
              <w:jc w:val="left"/>
            </w:pPr>
            <w:r>
              <w:rPr>
                <w:rFonts w:ascii="Arial" w:hAnsi="Arial"/>
                <w:b w:val="0"/>
                <w:i w:val="0"/>
                <w:color w:val="1A1A1A"/>
                <w:sz w:val="20"/>
              </w:rPr>
              <w:t>Attari–Wagah</w:t>
            </w:r>
          </w:p>
        </w:tc>
        <w:tc>
          <w:tcPr>
            <w:tcW w:type="dxa" w:w="1587"/>
            <w:shd w:val="clear" w:color="auto" w:fill="F5F5F5"/>
          </w:tcPr>
          <w:p>
            <w:pPr>
              <w:jc w:val="left"/>
            </w:pPr>
            <w:r>
              <w:rPr>
                <w:rFonts w:ascii="Arial" w:hAnsi="Arial"/>
                <w:b w:val="0"/>
                <w:i w:val="0"/>
                <w:color w:val="1A1A1A"/>
                <w:sz w:val="20"/>
              </w:rPr>
              <w:t>Pakistan</w:t>
            </w:r>
          </w:p>
        </w:tc>
        <w:tc>
          <w:tcPr>
            <w:tcW w:type="dxa" w:w="1417"/>
            <w:shd w:val="clear" w:color="auto" w:fill="F5F5F5"/>
          </w:tcPr>
          <w:p>
            <w:pPr>
              <w:jc w:val="left"/>
            </w:pPr>
            <w:r>
              <w:rPr>
                <w:rFonts w:ascii="Arial" w:hAnsi="Arial"/>
                <w:b w:val="0"/>
                <w:i w:val="0"/>
                <w:color w:val="1A1A1A"/>
                <w:sz w:val="20"/>
              </w:rPr>
              <w:t>Punjab</w:t>
            </w:r>
          </w:p>
        </w:tc>
        <w:tc>
          <w:tcPr>
            <w:tcW w:type="dxa" w:w="1417"/>
            <w:shd w:val="clear" w:color="auto" w:fill="F5F5F5"/>
          </w:tcPr>
          <w:p>
            <w:pPr>
              <w:jc w:val="left"/>
            </w:pPr>
            <w:r>
              <w:rPr>
                <w:rFonts w:ascii="Arial" w:hAnsi="Arial"/>
                <w:b w:val="0"/>
                <w:i w:val="0"/>
                <w:color w:val="1A1A1A"/>
                <w:sz w:val="20"/>
              </w:rPr>
              <w:t>Operational</w:t>
            </w:r>
          </w:p>
        </w:tc>
        <w:tc>
          <w:tcPr>
            <w:tcW w:type="dxa" w:w="1531"/>
            <w:shd w:val="clear" w:color="auto" w:fill="F5F5F5"/>
          </w:tcPr>
          <w:p>
            <w:pPr>
              <w:jc w:val="left"/>
            </w:pPr>
            <w:r>
              <w:rPr>
                <w:rFonts w:ascii="Arial" w:hAnsi="Arial"/>
                <w:b w:val="0"/>
                <w:i w:val="0"/>
                <w:color w:val="1A1A1A"/>
                <w:sz w:val="20"/>
              </w:rPr>
              <w:t>Trade &amp; People</w:t>
            </w:r>
          </w:p>
        </w:tc>
      </w:tr>
      <w:tr>
        <w:tc>
          <w:tcPr>
            <w:tcW w:type="dxa" w:w="1984"/>
            <w:shd w:val="clear" w:color="auto" w:fill="FFFFFF"/>
          </w:tcPr>
          <w:p>
            <w:pPr>
              <w:jc w:val="left"/>
            </w:pPr>
            <w:r>
              <w:rPr>
                <w:rFonts w:ascii="Arial" w:hAnsi="Arial"/>
                <w:b w:val="0"/>
                <w:i w:val="0"/>
                <w:color w:val="1A1A1A"/>
                <w:sz w:val="20"/>
              </w:rPr>
              <w:t>Petrapole</w:t>
            </w:r>
          </w:p>
        </w:tc>
        <w:tc>
          <w:tcPr>
            <w:tcW w:type="dxa" w:w="1587"/>
            <w:shd w:val="clear" w:color="auto" w:fill="FFFFFF"/>
          </w:tcPr>
          <w:p>
            <w:pPr>
              <w:jc w:val="left"/>
            </w:pPr>
            <w:r>
              <w:rPr>
                <w:rFonts w:ascii="Arial" w:hAnsi="Arial"/>
                <w:b w:val="0"/>
                <w:i w:val="0"/>
                <w:color w:val="1A1A1A"/>
                <w:sz w:val="20"/>
              </w:rPr>
              <w:t>Bangladesh</w:t>
            </w:r>
          </w:p>
        </w:tc>
        <w:tc>
          <w:tcPr>
            <w:tcW w:type="dxa" w:w="1417"/>
            <w:shd w:val="clear" w:color="auto" w:fill="FFFFFF"/>
          </w:tcPr>
          <w:p>
            <w:pPr>
              <w:jc w:val="left"/>
            </w:pPr>
            <w:r>
              <w:rPr>
                <w:rFonts w:ascii="Arial" w:hAnsi="Arial"/>
                <w:b w:val="0"/>
                <w:i w:val="0"/>
                <w:color w:val="1A1A1A"/>
                <w:sz w:val="20"/>
              </w:rPr>
              <w:t>West Bengal</w:t>
            </w:r>
          </w:p>
        </w:tc>
        <w:tc>
          <w:tcPr>
            <w:tcW w:type="dxa" w:w="1417"/>
            <w:shd w:val="clear" w:color="auto" w:fill="FFFFFF"/>
          </w:tcPr>
          <w:p>
            <w:pPr>
              <w:jc w:val="left"/>
            </w:pPr>
            <w:r>
              <w:rPr>
                <w:rFonts w:ascii="Arial" w:hAnsi="Arial"/>
                <w:b w:val="0"/>
                <w:i w:val="0"/>
                <w:color w:val="1A1A1A"/>
                <w:sz w:val="20"/>
              </w:rPr>
              <w:t>Operational</w:t>
            </w:r>
          </w:p>
        </w:tc>
        <w:tc>
          <w:tcPr>
            <w:tcW w:type="dxa" w:w="1531"/>
            <w:shd w:val="clear" w:color="auto" w:fill="FFFFFF"/>
          </w:tcPr>
          <w:p>
            <w:pPr>
              <w:jc w:val="left"/>
            </w:pPr>
            <w:r>
              <w:rPr>
                <w:rFonts w:ascii="Arial" w:hAnsi="Arial"/>
                <w:b w:val="0"/>
                <w:i w:val="0"/>
                <w:color w:val="1A1A1A"/>
                <w:sz w:val="20"/>
              </w:rPr>
              <w:t>Trade</w:t>
            </w:r>
          </w:p>
        </w:tc>
      </w:tr>
      <w:tr>
        <w:tc>
          <w:tcPr>
            <w:tcW w:type="dxa" w:w="1984"/>
            <w:shd w:val="clear" w:color="auto" w:fill="F5F5F5"/>
          </w:tcPr>
          <w:p>
            <w:pPr>
              <w:jc w:val="left"/>
            </w:pPr>
            <w:r>
              <w:rPr>
                <w:rFonts w:ascii="Arial" w:hAnsi="Arial"/>
                <w:b w:val="0"/>
                <w:i w:val="0"/>
                <w:color w:val="1A1A1A"/>
                <w:sz w:val="20"/>
              </w:rPr>
              <w:t>Raxaul</w:t>
            </w:r>
          </w:p>
        </w:tc>
        <w:tc>
          <w:tcPr>
            <w:tcW w:type="dxa" w:w="1587"/>
            <w:shd w:val="clear" w:color="auto" w:fill="F5F5F5"/>
          </w:tcPr>
          <w:p>
            <w:pPr>
              <w:jc w:val="left"/>
            </w:pPr>
            <w:r>
              <w:rPr>
                <w:rFonts w:ascii="Arial" w:hAnsi="Arial"/>
                <w:b w:val="0"/>
                <w:i w:val="0"/>
                <w:color w:val="1A1A1A"/>
                <w:sz w:val="20"/>
              </w:rPr>
              <w:t>Nepal</w:t>
            </w:r>
          </w:p>
        </w:tc>
        <w:tc>
          <w:tcPr>
            <w:tcW w:type="dxa" w:w="1417"/>
            <w:shd w:val="clear" w:color="auto" w:fill="F5F5F5"/>
          </w:tcPr>
          <w:p>
            <w:pPr>
              <w:jc w:val="left"/>
            </w:pPr>
            <w:r>
              <w:rPr>
                <w:rFonts w:ascii="Arial" w:hAnsi="Arial"/>
                <w:b w:val="0"/>
                <w:i w:val="0"/>
                <w:color w:val="1A1A1A"/>
                <w:sz w:val="20"/>
              </w:rPr>
              <w:t>Bihar</w:t>
            </w:r>
          </w:p>
        </w:tc>
        <w:tc>
          <w:tcPr>
            <w:tcW w:type="dxa" w:w="1417"/>
            <w:shd w:val="clear" w:color="auto" w:fill="F5F5F5"/>
          </w:tcPr>
          <w:p>
            <w:pPr>
              <w:jc w:val="left"/>
            </w:pPr>
            <w:r>
              <w:rPr>
                <w:rFonts w:ascii="Arial" w:hAnsi="Arial"/>
                <w:b w:val="0"/>
                <w:i w:val="0"/>
                <w:color w:val="1A1A1A"/>
                <w:sz w:val="20"/>
              </w:rPr>
              <w:t>Operational</w:t>
            </w:r>
          </w:p>
        </w:tc>
        <w:tc>
          <w:tcPr>
            <w:tcW w:type="dxa" w:w="1531"/>
            <w:shd w:val="clear" w:color="auto" w:fill="F5F5F5"/>
          </w:tcPr>
          <w:p>
            <w:pPr>
              <w:jc w:val="left"/>
            </w:pPr>
            <w:r>
              <w:rPr>
                <w:rFonts w:ascii="Arial" w:hAnsi="Arial"/>
                <w:b w:val="0"/>
                <w:i w:val="0"/>
                <w:color w:val="1A1A1A"/>
                <w:sz w:val="20"/>
              </w:rPr>
              <w:t>Trade &amp; People</w:t>
            </w:r>
          </w:p>
        </w:tc>
      </w:tr>
      <w:tr>
        <w:tc>
          <w:tcPr>
            <w:tcW w:type="dxa" w:w="1984"/>
            <w:shd w:val="clear" w:color="auto" w:fill="FFFFFF"/>
          </w:tcPr>
          <w:p>
            <w:pPr>
              <w:jc w:val="left"/>
            </w:pPr>
            <w:r>
              <w:rPr>
                <w:rFonts w:ascii="Arial" w:hAnsi="Arial"/>
                <w:b w:val="0"/>
                <w:i w:val="0"/>
                <w:color w:val="1A1A1A"/>
                <w:sz w:val="20"/>
              </w:rPr>
              <w:t>Moreh</w:t>
            </w:r>
          </w:p>
        </w:tc>
        <w:tc>
          <w:tcPr>
            <w:tcW w:type="dxa" w:w="1587"/>
            <w:shd w:val="clear" w:color="auto" w:fill="FFFFFF"/>
          </w:tcPr>
          <w:p>
            <w:pPr>
              <w:jc w:val="left"/>
            </w:pPr>
            <w:r>
              <w:rPr>
                <w:rFonts w:ascii="Arial" w:hAnsi="Arial"/>
                <w:b w:val="0"/>
                <w:i w:val="0"/>
                <w:color w:val="1A1A1A"/>
                <w:sz w:val="20"/>
              </w:rPr>
              <w:t>Myanmar</w:t>
            </w:r>
          </w:p>
        </w:tc>
        <w:tc>
          <w:tcPr>
            <w:tcW w:type="dxa" w:w="1417"/>
            <w:shd w:val="clear" w:color="auto" w:fill="FFFFFF"/>
          </w:tcPr>
          <w:p>
            <w:pPr>
              <w:jc w:val="left"/>
            </w:pPr>
            <w:r>
              <w:rPr>
                <w:rFonts w:ascii="Arial" w:hAnsi="Arial"/>
                <w:b w:val="0"/>
                <w:i w:val="0"/>
                <w:color w:val="1A1A1A"/>
                <w:sz w:val="20"/>
              </w:rPr>
              <w:t>Manipur</w:t>
            </w:r>
          </w:p>
        </w:tc>
        <w:tc>
          <w:tcPr>
            <w:tcW w:type="dxa" w:w="1417"/>
            <w:shd w:val="clear" w:color="auto" w:fill="FFFFFF"/>
          </w:tcPr>
          <w:p>
            <w:pPr>
              <w:jc w:val="left"/>
            </w:pPr>
            <w:r>
              <w:rPr>
                <w:rFonts w:ascii="Arial" w:hAnsi="Arial"/>
                <w:b w:val="0"/>
                <w:i w:val="0"/>
                <w:color w:val="1A1A1A"/>
                <w:sz w:val="20"/>
              </w:rPr>
              <w:t>Operational</w:t>
            </w:r>
          </w:p>
        </w:tc>
        <w:tc>
          <w:tcPr>
            <w:tcW w:type="dxa" w:w="1531"/>
            <w:shd w:val="clear" w:color="auto" w:fill="FFFFFF"/>
          </w:tcPr>
          <w:p>
            <w:pPr>
              <w:jc w:val="left"/>
            </w:pPr>
            <w:r>
              <w:rPr>
                <w:rFonts w:ascii="Arial" w:hAnsi="Arial"/>
                <w:b w:val="0"/>
                <w:i w:val="0"/>
                <w:color w:val="1A1A1A"/>
                <w:sz w:val="20"/>
              </w:rPr>
              <w:t>Trade</w:t>
            </w:r>
          </w:p>
        </w:tc>
      </w:tr>
      <w:tr>
        <w:tc>
          <w:tcPr>
            <w:tcW w:type="dxa" w:w="1984"/>
            <w:shd w:val="clear" w:color="auto" w:fill="F5F5F5"/>
          </w:tcPr>
          <w:p>
            <w:pPr>
              <w:jc w:val="left"/>
            </w:pPr>
            <w:r>
              <w:rPr>
                <w:rFonts w:ascii="Arial" w:hAnsi="Arial"/>
                <w:b w:val="0"/>
                <w:i w:val="0"/>
                <w:color w:val="1A1A1A"/>
                <w:sz w:val="20"/>
              </w:rPr>
              <w:t>Dawki</w:t>
            </w:r>
          </w:p>
        </w:tc>
        <w:tc>
          <w:tcPr>
            <w:tcW w:type="dxa" w:w="1587"/>
            <w:shd w:val="clear" w:color="auto" w:fill="F5F5F5"/>
          </w:tcPr>
          <w:p>
            <w:pPr>
              <w:jc w:val="left"/>
            </w:pPr>
            <w:r>
              <w:rPr>
                <w:rFonts w:ascii="Arial" w:hAnsi="Arial"/>
                <w:b w:val="0"/>
                <w:i w:val="0"/>
                <w:color w:val="1A1A1A"/>
                <w:sz w:val="20"/>
              </w:rPr>
              <w:t>Bangladesh</w:t>
            </w:r>
          </w:p>
        </w:tc>
        <w:tc>
          <w:tcPr>
            <w:tcW w:type="dxa" w:w="1417"/>
            <w:shd w:val="clear" w:color="auto" w:fill="F5F5F5"/>
          </w:tcPr>
          <w:p>
            <w:pPr>
              <w:jc w:val="left"/>
            </w:pPr>
            <w:r>
              <w:rPr>
                <w:rFonts w:ascii="Arial" w:hAnsi="Arial"/>
                <w:b w:val="0"/>
                <w:i w:val="0"/>
                <w:color w:val="1A1A1A"/>
                <w:sz w:val="20"/>
              </w:rPr>
              <w:t>Meghalaya</w:t>
            </w:r>
          </w:p>
        </w:tc>
        <w:tc>
          <w:tcPr>
            <w:tcW w:type="dxa" w:w="1417"/>
            <w:shd w:val="clear" w:color="auto" w:fill="F5F5F5"/>
          </w:tcPr>
          <w:p>
            <w:pPr>
              <w:jc w:val="left"/>
            </w:pPr>
            <w:r>
              <w:rPr>
                <w:rFonts w:ascii="Arial" w:hAnsi="Arial"/>
                <w:b w:val="0"/>
                <w:i w:val="0"/>
                <w:color w:val="1A1A1A"/>
                <w:sz w:val="20"/>
              </w:rPr>
              <w:t>Operational</w:t>
            </w:r>
          </w:p>
        </w:tc>
        <w:tc>
          <w:tcPr>
            <w:tcW w:type="dxa" w:w="1531"/>
            <w:shd w:val="clear" w:color="auto" w:fill="F5F5F5"/>
          </w:tcPr>
          <w:p>
            <w:pPr>
              <w:jc w:val="left"/>
            </w:pPr>
            <w:r>
              <w:rPr>
                <w:rFonts w:ascii="Arial" w:hAnsi="Arial"/>
                <w:b w:val="0"/>
                <w:i w:val="0"/>
                <w:color w:val="1A1A1A"/>
                <w:sz w:val="20"/>
              </w:rPr>
              <w:t>Trade</w:t>
            </w:r>
          </w:p>
        </w:tc>
      </w:tr>
      <w:tr>
        <w:tc>
          <w:tcPr>
            <w:tcW w:type="dxa" w:w="1984"/>
            <w:shd w:val="clear" w:color="auto" w:fill="FFFFFF"/>
          </w:tcPr>
          <w:p>
            <w:pPr>
              <w:jc w:val="left"/>
            </w:pPr>
            <w:r>
              <w:rPr>
                <w:rFonts w:ascii="Arial" w:hAnsi="Arial"/>
                <w:b w:val="0"/>
                <w:i w:val="0"/>
                <w:color w:val="1A1A1A"/>
                <w:sz w:val="20"/>
              </w:rPr>
              <w:t>Sutarkhandi</w:t>
            </w:r>
          </w:p>
        </w:tc>
        <w:tc>
          <w:tcPr>
            <w:tcW w:type="dxa" w:w="1587"/>
            <w:shd w:val="clear" w:color="auto" w:fill="FFFFFF"/>
          </w:tcPr>
          <w:p>
            <w:pPr>
              <w:jc w:val="left"/>
            </w:pPr>
            <w:r>
              <w:rPr>
                <w:rFonts w:ascii="Arial" w:hAnsi="Arial"/>
                <w:b w:val="0"/>
                <w:i w:val="0"/>
                <w:color w:val="1A1A1A"/>
                <w:sz w:val="20"/>
              </w:rPr>
              <w:t>Bangladesh</w:t>
            </w:r>
          </w:p>
        </w:tc>
        <w:tc>
          <w:tcPr>
            <w:tcW w:type="dxa" w:w="1417"/>
            <w:shd w:val="clear" w:color="auto" w:fill="FFFFFF"/>
          </w:tcPr>
          <w:p>
            <w:pPr>
              <w:jc w:val="left"/>
            </w:pPr>
            <w:r>
              <w:rPr>
                <w:rFonts w:ascii="Arial" w:hAnsi="Arial"/>
                <w:b w:val="0"/>
                <w:i w:val="0"/>
                <w:color w:val="1A1A1A"/>
                <w:sz w:val="20"/>
              </w:rPr>
              <w:t>Assam</w:t>
            </w:r>
          </w:p>
        </w:tc>
        <w:tc>
          <w:tcPr>
            <w:tcW w:type="dxa" w:w="1417"/>
            <w:shd w:val="clear" w:color="auto" w:fill="FFFFFF"/>
          </w:tcPr>
          <w:p>
            <w:pPr>
              <w:jc w:val="left"/>
            </w:pPr>
            <w:r>
              <w:rPr>
                <w:rFonts w:ascii="Arial" w:hAnsi="Arial"/>
                <w:b w:val="0"/>
                <w:i w:val="0"/>
                <w:color w:val="1A1A1A"/>
                <w:sz w:val="20"/>
              </w:rPr>
              <w:t>Operational</w:t>
            </w:r>
          </w:p>
        </w:tc>
        <w:tc>
          <w:tcPr>
            <w:tcW w:type="dxa" w:w="1531"/>
            <w:shd w:val="clear" w:color="auto" w:fill="FFFFFF"/>
          </w:tcPr>
          <w:p>
            <w:pPr>
              <w:jc w:val="left"/>
            </w:pPr>
            <w:r>
              <w:rPr>
                <w:rFonts w:ascii="Arial" w:hAnsi="Arial"/>
                <w:b w:val="0"/>
                <w:i w:val="0"/>
                <w:color w:val="1A1A1A"/>
                <w:sz w:val="20"/>
              </w:rPr>
              <w:t>Trade</w:t>
            </w:r>
          </w:p>
        </w:tc>
      </w:tr>
      <w:tr>
        <w:tc>
          <w:tcPr>
            <w:tcW w:type="dxa" w:w="1984"/>
            <w:shd w:val="clear" w:color="auto" w:fill="F5F5F5"/>
          </w:tcPr>
          <w:p>
            <w:pPr>
              <w:jc w:val="left"/>
            </w:pPr>
            <w:r>
              <w:rPr>
                <w:rFonts w:ascii="Arial" w:hAnsi="Arial"/>
                <w:b w:val="0"/>
                <w:i w:val="0"/>
                <w:color w:val="1A1A1A"/>
                <w:sz w:val="20"/>
              </w:rPr>
              <w:t>Agartala</w:t>
            </w:r>
          </w:p>
        </w:tc>
        <w:tc>
          <w:tcPr>
            <w:tcW w:type="dxa" w:w="1587"/>
            <w:shd w:val="clear" w:color="auto" w:fill="F5F5F5"/>
          </w:tcPr>
          <w:p>
            <w:pPr>
              <w:jc w:val="left"/>
            </w:pPr>
            <w:r>
              <w:rPr>
                <w:rFonts w:ascii="Arial" w:hAnsi="Arial"/>
                <w:b w:val="0"/>
                <w:i w:val="0"/>
                <w:color w:val="1A1A1A"/>
                <w:sz w:val="20"/>
              </w:rPr>
              <w:t>Bangladesh</w:t>
            </w:r>
          </w:p>
        </w:tc>
        <w:tc>
          <w:tcPr>
            <w:tcW w:type="dxa" w:w="1417"/>
            <w:shd w:val="clear" w:color="auto" w:fill="F5F5F5"/>
          </w:tcPr>
          <w:p>
            <w:pPr>
              <w:jc w:val="left"/>
            </w:pPr>
            <w:r>
              <w:rPr>
                <w:rFonts w:ascii="Arial" w:hAnsi="Arial"/>
                <w:b w:val="0"/>
                <w:i w:val="0"/>
                <w:color w:val="1A1A1A"/>
                <w:sz w:val="20"/>
              </w:rPr>
              <w:t>Tripura</w:t>
            </w:r>
          </w:p>
        </w:tc>
        <w:tc>
          <w:tcPr>
            <w:tcW w:type="dxa" w:w="1417"/>
            <w:shd w:val="clear" w:color="auto" w:fill="F5F5F5"/>
          </w:tcPr>
          <w:p>
            <w:pPr>
              <w:jc w:val="left"/>
            </w:pPr>
            <w:r>
              <w:rPr>
                <w:rFonts w:ascii="Arial" w:hAnsi="Arial"/>
                <w:b w:val="0"/>
                <w:i w:val="0"/>
                <w:color w:val="1A1A1A"/>
                <w:sz w:val="20"/>
              </w:rPr>
              <w:t>Operational</w:t>
            </w:r>
          </w:p>
        </w:tc>
        <w:tc>
          <w:tcPr>
            <w:tcW w:type="dxa" w:w="1531"/>
            <w:shd w:val="clear" w:color="auto" w:fill="F5F5F5"/>
          </w:tcPr>
          <w:p>
            <w:pPr>
              <w:jc w:val="left"/>
            </w:pPr>
            <w:r>
              <w:rPr>
                <w:rFonts w:ascii="Arial" w:hAnsi="Arial"/>
                <w:b w:val="0"/>
                <w:i w:val="0"/>
                <w:color w:val="1A1A1A"/>
                <w:sz w:val="20"/>
              </w:rPr>
              <w:t>Trade &amp; People</w:t>
            </w:r>
          </w:p>
        </w:tc>
      </w:tr>
      <w:tr>
        <w:tc>
          <w:tcPr>
            <w:tcW w:type="dxa" w:w="1984"/>
            <w:shd w:val="clear" w:color="auto" w:fill="FFFFFF"/>
          </w:tcPr>
          <w:p>
            <w:pPr>
              <w:jc w:val="left"/>
            </w:pPr>
            <w:r>
              <w:rPr>
                <w:rFonts w:ascii="Arial" w:hAnsi="Arial"/>
                <w:b w:val="0"/>
                <w:i w:val="0"/>
                <w:color w:val="1A1A1A"/>
                <w:sz w:val="20"/>
              </w:rPr>
              <w:t>Jogbani</w:t>
            </w:r>
          </w:p>
        </w:tc>
        <w:tc>
          <w:tcPr>
            <w:tcW w:type="dxa" w:w="1587"/>
            <w:shd w:val="clear" w:color="auto" w:fill="FFFFFF"/>
          </w:tcPr>
          <w:p>
            <w:pPr>
              <w:jc w:val="left"/>
            </w:pPr>
            <w:r>
              <w:rPr>
                <w:rFonts w:ascii="Arial" w:hAnsi="Arial"/>
                <w:b w:val="0"/>
                <w:i w:val="0"/>
                <w:color w:val="1A1A1A"/>
                <w:sz w:val="20"/>
              </w:rPr>
              <w:t>Nepal</w:t>
            </w:r>
          </w:p>
        </w:tc>
        <w:tc>
          <w:tcPr>
            <w:tcW w:type="dxa" w:w="1417"/>
            <w:shd w:val="clear" w:color="auto" w:fill="FFFFFF"/>
          </w:tcPr>
          <w:p>
            <w:pPr>
              <w:jc w:val="left"/>
            </w:pPr>
            <w:r>
              <w:rPr>
                <w:rFonts w:ascii="Arial" w:hAnsi="Arial"/>
                <w:b w:val="0"/>
                <w:i w:val="0"/>
                <w:color w:val="1A1A1A"/>
                <w:sz w:val="20"/>
              </w:rPr>
              <w:t>Bihar</w:t>
            </w:r>
          </w:p>
        </w:tc>
        <w:tc>
          <w:tcPr>
            <w:tcW w:type="dxa" w:w="1417"/>
            <w:shd w:val="clear" w:color="auto" w:fill="FFFFFF"/>
          </w:tcPr>
          <w:p>
            <w:pPr>
              <w:jc w:val="left"/>
            </w:pPr>
            <w:r>
              <w:rPr>
                <w:rFonts w:ascii="Arial" w:hAnsi="Arial"/>
                <w:b w:val="0"/>
                <w:i w:val="0"/>
                <w:color w:val="1A1A1A"/>
                <w:sz w:val="20"/>
              </w:rPr>
              <w:t>Operational</w:t>
            </w:r>
          </w:p>
        </w:tc>
        <w:tc>
          <w:tcPr>
            <w:tcW w:type="dxa" w:w="1531"/>
            <w:shd w:val="clear" w:color="auto" w:fill="FFFFFF"/>
          </w:tcPr>
          <w:p>
            <w:pPr>
              <w:jc w:val="left"/>
            </w:pPr>
            <w:r>
              <w:rPr>
                <w:rFonts w:ascii="Arial" w:hAnsi="Arial"/>
                <w:b w:val="0"/>
                <w:i w:val="0"/>
                <w:color w:val="1A1A1A"/>
                <w:sz w:val="20"/>
              </w:rPr>
              <w:t>Trade</w:t>
            </w:r>
          </w:p>
        </w:tc>
      </w:tr>
      <w:tr>
        <w:tc>
          <w:tcPr>
            <w:tcW w:type="dxa" w:w="1984"/>
            <w:shd w:val="clear" w:color="auto" w:fill="F5F5F5"/>
          </w:tcPr>
          <w:p>
            <w:pPr>
              <w:jc w:val="left"/>
            </w:pPr>
            <w:r>
              <w:rPr>
                <w:rFonts w:ascii="Arial" w:hAnsi="Arial"/>
                <w:b w:val="0"/>
                <w:i w:val="0"/>
                <w:color w:val="1A1A1A"/>
                <w:sz w:val="20"/>
              </w:rPr>
              <w:t>Rupaidiha</w:t>
            </w:r>
          </w:p>
        </w:tc>
        <w:tc>
          <w:tcPr>
            <w:tcW w:type="dxa" w:w="1587"/>
            <w:shd w:val="clear" w:color="auto" w:fill="F5F5F5"/>
          </w:tcPr>
          <w:p>
            <w:pPr>
              <w:jc w:val="left"/>
            </w:pPr>
            <w:r>
              <w:rPr>
                <w:rFonts w:ascii="Arial" w:hAnsi="Arial"/>
                <w:b w:val="0"/>
                <w:i w:val="0"/>
                <w:color w:val="1A1A1A"/>
                <w:sz w:val="20"/>
              </w:rPr>
              <w:t>Nepal</w:t>
            </w:r>
          </w:p>
        </w:tc>
        <w:tc>
          <w:tcPr>
            <w:tcW w:type="dxa" w:w="1417"/>
            <w:shd w:val="clear" w:color="auto" w:fill="F5F5F5"/>
          </w:tcPr>
          <w:p>
            <w:pPr>
              <w:jc w:val="left"/>
            </w:pPr>
            <w:r>
              <w:rPr>
                <w:rFonts w:ascii="Arial" w:hAnsi="Arial"/>
                <w:b w:val="0"/>
                <w:i w:val="0"/>
                <w:color w:val="1A1A1A"/>
                <w:sz w:val="20"/>
              </w:rPr>
              <w:t>Uttar Pradesh</w:t>
            </w:r>
          </w:p>
        </w:tc>
        <w:tc>
          <w:tcPr>
            <w:tcW w:type="dxa" w:w="1417"/>
            <w:shd w:val="clear" w:color="auto" w:fill="F5F5F5"/>
          </w:tcPr>
          <w:p>
            <w:pPr>
              <w:jc w:val="left"/>
            </w:pPr>
            <w:r>
              <w:rPr>
                <w:rFonts w:ascii="Arial" w:hAnsi="Arial"/>
                <w:b w:val="0"/>
                <w:i w:val="0"/>
                <w:color w:val="1A1A1A"/>
                <w:sz w:val="20"/>
              </w:rPr>
              <w:t>Operational</w:t>
            </w:r>
          </w:p>
        </w:tc>
        <w:tc>
          <w:tcPr>
            <w:tcW w:type="dxa" w:w="1531"/>
            <w:shd w:val="clear" w:color="auto" w:fill="F5F5F5"/>
          </w:tcPr>
          <w:p>
            <w:pPr>
              <w:jc w:val="left"/>
            </w:pPr>
            <w:r>
              <w:rPr>
                <w:rFonts w:ascii="Arial" w:hAnsi="Arial"/>
                <w:b w:val="0"/>
                <w:i w:val="0"/>
                <w:color w:val="1A1A1A"/>
                <w:sz w:val="20"/>
              </w:rPr>
              <w:t>Trade</w:t>
            </w:r>
          </w:p>
        </w:tc>
      </w:tr>
      <w:tr>
        <w:tc>
          <w:tcPr>
            <w:tcW w:type="dxa" w:w="1984"/>
            <w:shd w:val="clear" w:color="auto" w:fill="FFFFFF"/>
          </w:tcPr>
          <w:p>
            <w:pPr>
              <w:jc w:val="left"/>
            </w:pPr>
            <w:r>
              <w:rPr>
                <w:rFonts w:ascii="Arial" w:hAnsi="Arial"/>
                <w:b w:val="0"/>
                <w:i w:val="0"/>
                <w:color w:val="1A1A1A"/>
                <w:sz w:val="20"/>
              </w:rPr>
              <w:t>Hili</w:t>
            </w:r>
          </w:p>
        </w:tc>
        <w:tc>
          <w:tcPr>
            <w:tcW w:type="dxa" w:w="1587"/>
            <w:shd w:val="clear" w:color="auto" w:fill="FFFFFF"/>
          </w:tcPr>
          <w:p>
            <w:pPr>
              <w:jc w:val="left"/>
            </w:pPr>
            <w:r>
              <w:rPr>
                <w:rFonts w:ascii="Arial" w:hAnsi="Arial"/>
                <w:b w:val="0"/>
                <w:i w:val="0"/>
                <w:color w:val="1A1A1A"/>
                <w:sz w:val="20"/>
              </w:rPr>
              <w:t>Bangladesh</w:t>
            </w:r>
          </w:p>
        </w:tc>
        <w:tc>
          <w:tcPr>
            <w:tcW w:type="dxa" w:w="1417"/>
            <w:shd w:val="clear" w:color="auto" w:fill="FFFFFF"/>
          </w:tcPr>
          <w:p>
            <w:pPr>
              <w:jc w:val="left"/>
            </w:pPr>
            <w:r>
              <w:rPr>
                <w:rFonts w:ascii="Arial" w:hAnsi="Arial"/>
                <w:b w:val="0"/>
                <w:i w:val="0"/>
                <w:color w:val="1A1A1A"/>
                <w:sz w:val="20"/>
              </w:rPr>
              <w:t>West Bengal</w:t>
            </w:r>
          </w:p>
        </w:tc>
        <w:tc>
          <w:tcPr>
            <w:tcW w:type="dxa" w:w="1417"/>
            <w:shd w:val="clear" w:color="auto" w:fill="FFFFFF"/>
          </w:tcPr>
          <w:p>
            <w:pPr>
              <w:jc w:val="left"/>
            </w:pPr>
            <w:r>
              <w:rPr>
                <w:rFonts w:ascii="Arial" w:hAnsi="Arial"/>
                <w:b w:val="0"/>
                <w:i w:val="0"/>
                <w:color w:val="1A1A1A"/>
                <w:sz w:val="20"/>
              </w:rPr>
              <w:t>Operational</w:t>
            </w:r>
          </w:p>
        </w:tc>
        <w:tc>
          <w:tcPr>
            <w:tcW w:type="dxa" w:w="1531"/>
            <w:shd w:val="clear" w:color="auto" w:fill="FFFFFF"/>
          </w:tcPr>
          <w:p>
            <w:pPr>
              <w:jc w:val="left"/>
            </w:pPr>
            <w:r>
              <w:rPr>
                <w:rFonts w:ascii="Arial" w:hAnsi="Arial"/>
                <w:b w:val="0"/>
                <w:i w:val="0"/>
                <w:color w:val="1A1A1A"/>
                <w:sz w:val="20"/>
              </w:rPr>
              <w:t>Trade</w:t>
            </w:r>
          </w:p>
        </w:tc>
      </w:tr>
      <w:tr>
        <w:tc>
          <w:tcPr>
            <w:tcW w:type="dxa" w:w="1984"/>
            <w:shd w:val="clear" w:color="auto" w:fill="F5F5F5"/>
          </w:tcPr>
          <w:p>
            <w:pPr>
              <w:jc w:val="left"/>
            </w:pPr>
            <w:r>
              <w:rPr>
                <w:rFonts w:ascii="Arial" w:hAnsi="Arial"/>
                <w:b w:val="0"/>
                <w:i w:val="0"/>
                <w:color w:val="1A1A1A"/>
                <w:sz w:val="20"/>
              </w:rPr>
              <w:t>Mahendragarh</w:t>
            </w:r>
          </w:p>
        </w:tc>
        <w:tc>
          <w:tcPr>
            <w:tcW w:type="dxa" w:w="1587"/>
            <w:shd w:val="clear" w:color="auto" w:fill="F5F5F5"/>
          </w:tcPr>
          <w:p>
            <w:pPr>
              <w:jc w:val="left"/>
            </w:pPr>
            <w:r>
              <w:rPr>
                <w:rFonts w:ascii="Arial" w:hAnsi="Arial"/>
                <w:b w:val="0"/>
                <w:i w:val="0"/>
                <w:color w:val="1A1A1A"/>
                <w:sz w:val="20"/>
              </w:rPr>
              <w:t>Nepal</w:t>
            </w:r>
          </w:p>
        </w:tc>
        <w:tc>
          <w:tcPr>
            <w:tcW w:type="dxa" w:w="1417"/>
            <w:shd w:val="clear" w:color="auto" w:fill="F5F5F5"/>
          </w:tcPr>
          <w:p>
            <w:pPr>
              <w:jc w:val="left"/>
            </w:pPr>
            <w:r>
              <w:rPr>
                <w:rFonts w:ascii="Arial" w:hAnsi="Arial"/>
                <w:b w:val="0"/>
                <w:i w:val="0"/>
                <w:color w:val="1A1A1A"/>
                <w:sz w:val="20"/>
              </w:rPr>
              <w:t>Uttarakhand</w:t>
            </w:r>
          </w:p>
        </w:tc>
        <w:tc>
          <w:tcPr>
            <w:tcW w:type="dxa" w:w="1417"/>
            <w:shd w:val="clear" w:color="auto" w:fill="F5F5F5"/>
          </w:tcPr>
          <w:p>
            <w:pPr>
              <w:jc w:val="left"/>
            </w:pPr>
            <w:r>
              <w:rPr>
                <w:rFonts w:ascii="Arial" w:hAnsi="Arial"/>
                <w:b w:val="0"/>
                <w:i w:val="0"/>
                <w:color w:val="1A1A1A"/>
                <w:sz w:val="20"/>
              </w:rPr>
              <w:t>Commissioning</w:t>
            </w:r>
          </w:p>
        </w:tc>
        <w:tc>
          <w:tcPr>
            <w:tcW w:type="dxa" w:w="1531"/>
            <w:shd w:val="clear" w:color="auto" w:fill="F5F5F5"/>
          </w:tcPr>
          <w:p>
            <w:pPr>
              <w:jc w:val="left"/>
            </w:pPr>
            <w:r>
              <w:rPr>
                <w:rFonts w:ascii="Arial" w:hAnsi="Arial"/>
                <w:b w:val="0"/>
                <w:i w:val="0"/>
                <w:color w:val="1A1A1A"/>
                <w:sz w:val="20"/>
              </w:rPr>
              <w:t>Trade &amp; People</w:t>
            </w:r>
          </w:p>
        </w:tc>
      </w:tr>
      <w:tr>
        <w:tc>
          <w:tcPr>
            <w:tcW w:type="dxa" w:w="1984"/>
            <w:shd w:val="clear" w:color="auto" w:fill="FFFFFF"/>
          </w:tcPr>
          <w:p>
            <w:pPr>
              <w:jc w:val="left"/>
            </w:pPr>
            <w:r>
              <w:rPr>
                <w:rFonts w:ascii="Arial" w:hAnsi="Arial"/>
                <w:b w:val="0"/>
                <w:i w:val="0"/>
                <w:color w:val="1A1A1A"/>
                <w:sz w:val="20"/>
              </w:rPr>
              <w:t>Sabroom</w:t>
            </w:r>
          </w:p>
        </w:tc>
        <w:tc>
          <w:tcPr>
            <w:tcW w:type="dxa" w:w="1587"/>
            <w:shd w:val="clear" w:color="auto" w:fill="FFFFFF"/>
          </w:tcPr>
          <w:p>
            <w:pPr>
              <w:jc w:val="left"/>
            </w:pPr>
            <w:r>
              <w:rPr>
                <w:rFonts w:ascii="Arial" w:hAnsi="Arial"/>
                <w:b w:val="0"/>
                <w:i w:val="0"/>
                <w:color w:val="1A1A1A"/>
                <w:sz w:val="20"/>
              </w:rPr>
              <w:t>Bangladesh</w:t>
            </w:r>
          </w:p>
        </w:tc>
        <w:tc>
          <w:tcPr>
            <w:tcW w:type="dxa" w:w="1417"/>
            <w:shd w:val="clear" w:color="auto" w:fill="FFFFFF"/>
          </w:tcPr>
          <w:p>
            <w:pPr>
              <w:jc w:val="left"/>
            </w:pPr>
            <w:r>
              <w:rPr>
                <w:rFonts w:ascii="Arial" w:hAnsi="Arial"/>
                <w:b w:val="0"/>
                <w:i w:val="0"/>
                <w:color w:val="1A1A1A"/>
                <w:sz w:val="20"/>
              </w:rPr>
              <w:t>Tripura</w:t>
            </w:r>
          </w:p>
        </w:tc>
        <w:tc>
          <w:tcPr>
            <w:tcW w:type="dxa" w:w="1417"/>
            <w:shd w:val="clear" w:color="auto" w:fill="FFFFFF"/>
          </w:tcPr>
          <w:p>
            <w:pPr>
              <w:jc w:val="left"/>
            </w:pPr>
            <w:r>
              <w:rPr>
                <w:rFonts w:ascii="Arial" w:hAnsi="Arial"/>
                <w:b w:val="0"/>
                <w:i w:val="0"/>
                <w:color w:val="1A1A1A"/>
                <w:sz w:val="20"/>
              </w:rPr>
              <w:t>Commissioning</w:t>
            </w:r>
          </w:p>
        </w:tc>
        <w:tc>
          <w:tcPr>
            <w:tcW w:type="dxa" w:w="1531"/>
            <w:shd w:val="clear" w:color="auto" w:fill="FFFFFF"/>
          </w:tcPr>
          <w:p>
            <w:pPr>
              <w:jc w:val="left"/>
            </w:pPr>
            <w:r>
              <w:rPr>
                <w:rFonts w:ascii="Arial" w:hAnsi="Arial"/>
                <w:b w:val="0"/>
                <w:i w:val="0"/>
                <w:color w:val="1A1A1A"/>
                <w:sz w:val="20"/>
              </w:rPr>
              <w:t>Trade</w:t>
            </w:r>
          </w:p>
        </w:tc>
      </w:tr>
    </w:tbl>
    <w:p/>
    <w:p>
      <w:pPr>
        <w:spacing w:after="160" w:line="360" w:lineRule="auto"/>
        <w:ind w:left="0"/>
        <w:jc w:val="both"/>
      </w:pPr>
      <w:r>
        <w:rPr>
          <w:rFonts w:ascii="Arial" w:hAnsi="Arial"/>
          <w:b w:val="0"/>
          <w:i w:val="0"/>
          <w:color w:val="1A1A1A"/>
          <w:sz w:val="22"/>
        </w:rPr>
        <w:t>Each ICP handles a distinct mix of cargo typologies, traveller profiles, and bilateral trade frameworks. The LPAI Nexus platform is designed to reflect this diversity, allowing senior officials to select any ICP and receive a comprehensive situational picture within seconds.</w:t>
      </w:r>
    </w:p>
    <w:p>
      <w:r>
        <w:br w:type="page"/>
      </w:r>
    </w:p>
    <w:p>
      <w:pPr>
        <w:spacing w:before="480" w:after="120"/>
        <w:jc w:val="left"/>
        <w:pBdr>
          <w:bottom w:val="single" w:sz="8" w:space="4" w:color="1A3A6A"/>
        </w:pBdr>
      </w:pPr>
      <w:r>
        <w:rPr>
          <w:rFonts w:ascii="Arial" w:hAnsi="Arial"/>
          <w:b/>
          <w:color w:val="1A3A6A"/>
          <w:sz w:val="32"/>
        </w:rPr>
        <w:t>Chapter 3: System Architecture</w:t>
      </w:r>
    </w:p>
    <w:p>
      <w:pPr>
        <w:spacing w:before="320" w:after="80"/>
        <w:jc w:val="left"/>
      </w:pPr>
      <w:r>
        <w:rPr>
          <w:rFonts w:ascii="Arial" w:hAnsi="Arial"/>
          <w:b/>
          <w:color w:val="1A3A6A"/>
          <w:sz w:val="26"/>
        </w:rPr>
        <w:t>3.1 Technology Stack</w:t>
      </w:r>
    </w:p>
    <w:p>
      <w:pPr>
        <w:spacing w:after="160" w:line="360" w:lineRule="auto"/>
        <w:ind w:left="0"/>
        <w:jc w:val="both"/>
      </w:pPr>
      <w:r>
        <w:rPr>
          <w:rFonts w:ascii="Arial" w:hAnsi="Arial"/>
          <w:b w:val="0"/>
          <w:i w:val="0"/>
          <w:color w:val="1A1A1A"/>
          <w:sz w:val="22"/>
        </w:rPr>
        <w:t>LPAI Nexus is built on a modern, performant frontend technology stack selected for its ecosystem maturity, government-grade security compatibility, and ability to handle real-time data visualisation at scale. The application is a React 18 Single Page Application (SPA) bundled using Vite 5, with a modular component architecture designed for maintainability and future extensibility.</w:t>
      </w:r>
    </w:p>
    <w:p>
      <w:pPr>
        <w:spacing w:before="200" w:after="40"/>
        <w:jc w:val="left"/>
      </w:pPr>
      <w:r>
        <w:rPr>
          <w:rFonts w:ascii="Arial" w:hAnsi="Arial"/>
          <w:b/>
          <w:color w:val="D4881A"/>
          <w:sz w:val="22"/>
        </w:rPr>
        <w:t>Table 2: LPAI Nexus — System Architecture &amp; Technology Stack</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984"/>
            <w:shd w:val="clear" w:color="auto" w:fill="1A3A6A"/>
            <w:vAlign w:val="center"/>
          </w:tcPr>
          <w:p>
            <w:pPr>
              <w:jc w:val="center"/>
            </w:pPr>
            <w:r>
              <w:rPr>
                <w:rFonts w:ascii="Arial" w:hAnsi="Arial"/>
                <w:b/>
                <w:i w:val="0"/>
                <w:color w:val="FFFFFF"/>
                <w:sz w:val="20"/>
              </w:rPr>
              <w:t>Layer</w:t>
            </w:r>
          </w:p>
        </w:tc>
        <w:tc>
          <w:tcPr>
            <w:tcW w:type="dxa" w:w="1701"/>
            <w:shd w:val="clear" w:color="auto" w:fill="1A3A6A"/>
            <w:vAlign w:val="center"/>
          </w:tcPr>
          <w:p>
            <w:pPr>
              <w:jc w:val="center"/>
            </w:pPr>
            <w:r>
              <w:rPr>
                <w:rFonts w:ascii="Arial" w:hAnsi="Arial"/>
                <w:b/>
                <w:i w:val="0"/>
                <w:color w:val="FFFFFF"/>
                <w:sz w:val="20"/>
              </w:rPr>
              <w:t>Technology</w:t>
            </w:r>
          </w:p>
        </w:tc>
        <w:tc>
          <w:tcPr>
            <w:tcW w:type="dxa" w:w="1134"/>
            <w:shd w:val="clear" w:color="auto" w:fill="1A3A6A"/>
            <w:vAlign w:val="center"/>
          </w:tcPr>
          <w:p>
            <w:pPr>
              <w:jc w:val="center"/>
            </w:pPr>
            <w:r>
              <w:rPr>
                <w:rFonts w:ascii="Arial" w:hAnsi="Arial"/>
                <w:b/>
                <w:i w:val="0"/>
                <w:color w:val="FFFFFF"/>
                <w:sz w:val="20"/>
              </w:rPr>
              <w:t>Version</w:t>
            </w:r>
          </w:p>
        </w:tc>
        <w:tc>
          <w:tcPr>
            <w:tcW w:type="dxa" w:w="2835"/>
            <w:shd w:val="clear" w:color="auto" w:fill="1A3A6A"/>
            <w:vAlign w:val="center"/>
          </w:tcPr>
          <w:p>
            <w:pPr>
              <w:jc w:val="center"/>
            </w:pPr>
            <w:r>
              <w:rPr>
                <w:rFonts w:ascii="Arial" w:hAnsi="Arial"/>
                <w:b/>
                <w:i w:val="0"/>
                <w:color w:val="FFFFFF"/>
                <w:sz w:val="20"/>
              </w:rPr>
              <w:t>Purpose</w:t>
            </w:r>
          </w:p>
        </w:tc>
      </w:tr>
      <w:tr>
        <w:tc>
          <w:tcPr>
            <w:tcW w:type="dxa" w:w="1984"/>
            <w:shd w:val="clear" w:color="auto" w:fill="F5F5F5"/>
          </w:tcPr>
          <w:p>
            <w:pPr>
              <w:jc w:val="left"/>
            </w:pPr>
            <w:r>
              <w:rPr>
                <w:rFonts w:ascii="Arial" w:hAnsi="Arial"/>
                <w:b w:val="0"/>
                <w:i w:val="0"/>
                <w:color w:val="1A1A1A"/>
                <w:sz w:val="20"/>
              </w:rPr>
              <w:t>Frontend Framework</w:t>
            </w:r>
          </w:p>
        </w:tc>
        <w:tc>
          <w:tcPr>
            <w:tcW w:type="dxa" w:w="1701"/>
            <w:shd w:val="clear" w:color="auto" w:fill="F5F5F5"/>
          </w:tcPr>
          <w:p>
            <w:pPr>
              <w:jc w:val="left"/>
            </w:pPr>
            <w:r>
              <w:rPr>
                <w:rFonts w:ascii="Arial" w:hAnsi="Arial"/>
                <w:b w:val="0"/>
                <w:i w:val="0"/>
                <w:color w:val="1A1A1A"/>
                <w:sz w:val="20"/>
              </w:rPr>
              <w:t>React</w:t>
            </w:r>
          </w:p>
        </w:tc>
        <w:tc>
          <w:tcPr>
            <w:tcW w:type="dxa" w:w="1134"/>
            <w:shd w:val="clear" w:color="auto" w:fill="F5F5F5"/>
          </w:tcPr>
          <w:p>
            <w:pPr>
              <w:jc w:val="left"/>
            </w:pPr>
            <w:r>
              <w:rPr>
                <w:rFonts w:ascii="Arial" w:hAnsi="Arial"/>
                <w:b w:val="0"/>
                <w:i w:val="0"/>
                <w:color w:val="1A1A1A"/>
                <w:sz w:val="20"/>
              </w:rPr>
              <w:t>18.3</w:t>
            </w:r>
          </w:p>
        </w:tc>
        <w:tc>
          <w:tcPr>
            <w:tcW w:type="dxa" w:w="2835"/>
            <w:shd w:val="clear" w:color="auto" w:fill="F5F5F5"/>
          </w:tcPr>
          <w:p>
            <w:pPr>
              <w:jc w:val="left"/>
            </w:pPr>
            <w:r>
              <w:rPr>
                <w:rFonts w:ascii="Arial" w:hAnsi="Arial"/>
                <w:b w:val="0"/>
                <w:i w:val="0"/>
                <w:color w:val="1A1A1A"/>
                <w:sz w:val="20"/>
              </w:rPr>
              <w:t>Component-based UI, state management</w:t>
            </w:r>
          </w:p>
        </w:tc>
      </w:tr>
      <w:tr>
        <w:tc>
          <w:tcPr>
            <w:tcW w:type="dxa" w:w="1984"/>
            <w:shd w:val="clear" w:color="auto" w:fill="FFFFFF"/>
          </w:tcPr>
          <w:p>
            <w:pPr>
              <w:jc w:val="left"/>
            </w:pPr>
            <w:r>
              <w:rPr>
                <w:rFonts w:ascii="Arial" w:hAnsi="Arial"/>
                <w:b w:val="0"/>
                <w:i w:val="0"/>
                <w:color w:val="1A1A1A"/>
                <w:sz w:val="20"/>
              </w:rPr>
              <w:t>Build Tool</w:t>
            </w:r>
          </w:p>
        </w:tc>
        <w:tc>
          <w:tcPr>
            <w:tcW w:type="dxa" w:w="1701"/>
            <w:shd w:val="clear" w:color="auto" w:fill="FFFFFF"/>
          </w:tcPr>
          <w:p>
            <w:pPr>
              <w:jc w:val="left"/>
            </w:pPr>
            <w:r>
              <w:rPr>
                <w:rFonts w:ascii="Arial" w:hAnsi="Arial"/>
                <w:b w:val="0"/>
                <w:i w:val="0"/>
                <w:color w:val="1A1A1A"/>
                <w:sz w:val="20"/>
              </w:rPr>
              <w:t>Vite</w:t>
            </w:r>
          </w:p>
        </w:tc>
        <w:tc>
          <w:tcPr>
            <w:tcW w:type="dxa" w:w="1134"/>
            <w:shd w:val="clear" w:color="auto" w:fill="FFFFFF"/>
          </w:tcPr>
          <w:p>
            <w:pPr>
              <w:jc w:val="left"/>
            </w:pPr>
            <w:r>
              <w:rPr>
                <w:rFonts w:ascii="Arial" w:hAnsi="Arial"/>
                <w:b w:val="0"/>
                <w:i w:val="0"/>
                <w:color w:val="1A1A1A"/>
                <w:sz w:val="20"/>
              </w:rPr>
              <w:t>5.4</w:t>
            </w:r>
          </w:p>
        </w:tc>
        <w:tc>
          <w:tcPr>
            <w:tcW w:type="dxa" w:w="2835"/>
            <w:shd w:val="clear" w:color="auto" w:fill="FFFFFF"/>
          </w:tcPr>
          <w:p>
            <w:pPr>
              <w:jc w:val="left"/>
            </w:pPr>
            <w:r>
              <w:rPr>
                <w:rFonts w:ascii="Arial" w:hAnsi="Arial"/>
                <w:b w:val="0"/>
                <w:i w:val="0"/>
                <w:color w:val="1A1A1A"/>
                <w:sz w:val="20"/>
              </w:rPr>
              <w:t>Fast HMR, optimised production builds</w:t>
            </w:r>
          </w:p>
        </w:tc>
      </w:tr>
      <w:tr>
        <w:tc>
          <w:tcPr>
            <w:tcW w:type="dxa" w:w="1984"/>
            <w:shd w:val="clear" w:color="auto" w:fill="F5F5F5"/>
          </w:tcPr>
          <w:p>
            <w:pPr>
              <w:jc w:val="left"/>
            </w:pPr>
            <w:r>
              <w:rPr>
                <w:rFonts w:ascii="Arial" w:hAnsi="Arial"/>
                <w:b w:val="0"/>
                <w:i w:val="0"/>
                <w:color w:val="1A1A1A"/>
                <w:sz w:val="20"/>
              </w:rPr>
              <w:t>Styling</w:t>
            </w:r>
          </w:p>
        </w:tc>
        <w:tc>
          <w:tcPr>
            <w:tcW w:type="dxa" w:w="1701"/>
            <w:shd w:val="clear" w:color="auto" w:fill="F5F5F5"/>
          </w:tcPr>
          <w:p>
            <w:pPr>
              <w:jc w:val="left"/>
            </w:pPr>
            <w:r>
              <w:rPr>
                <w:rFonts w:ascii="Arial" w:hAnsi="Arial"/>
                <w:b w:val="0"/>
                <w:i w:val="0"/>
                <w:color w:val="1A1A1A"/>
                <w:sz w:val="20"/>
              </w:rPr>
              <w:t>Tailwind CSS</w:t>
            </w:r>
          </w:p>
        </w:tc>
        <w:tc>
          <w:tcPr>
            <w:tcW w:type="dxa" w:w="1134"/>
            <w:shd w:val="clear" w:color="auto" w:fill="F5F5F5"/>
          </w:tcPr>
          <w:p>
            <w:pPr>
              <w:jc w:val="left"/>
            </w:pPr>
            <w:r>
              <w:rPr>
                <w:rFonts w:ascii="Arial" w:hAnsi="Arial"/>
                <w:b w:val="0"/>
                <w:i w:val="0"/>
                <w:color w:val="1A1A1A"/>
                <w:sz w:val="20"/>
              </w:rPr>
              <w:t>3.4</w:t>
            </w:r>
          </w:p>
        </w:tc>
        <w:tc>
          <w:tcPr>
            <w:tcW w:type="dxa" w:w="2835"/>
            <w:shd w:val="clear" w:color="auto" w:fill="F5F5F5"/>
          </w:tcPr>
          <w:p>
            <w:pPr>
              <w:jc w:val="left"/>
            </w:pPr>
            <w:r>
              <w:rPr>
                <w:rFonts w:ascii="Arial" w:hAnsi="Arial"/>
                <w:b w:val="0"/>
                <w:i w:val="0"/>
                <w:color w:val="1A1A1A"/>
                <w:sz w:val="20"/>
              </w:rPr>
              <w:t>Utility-first responsive design</w:t>
            </w:r>
          </w:p>
        </w:tc>
      </w:tr>
      <w:tr>
        <w:tc>
          <w:tcPr>
            <w:tcW w:type="dxa" w:w="1984"/>
            <w:shd w:val="clear" w:color="auto" w:fill="FFFFFF"/>
          </w:tcPr>
          <w:p>
            <w:pPr>
              <w:jc w:val="left"/>
            </w:pPr>
            <w:r>
              <w:rPr>
                <w:rFonts w:ascii="Arial" w:hAnsi="Arial"/>
                <w:b w:val="0"/>
                <w:i w:val="0"/>
                <w:color w:val="1A1A1A"/>
                <w:sz w:val="20"/>
              </w:rPr>
              <w:t>Charting</w:t>
            </w:r>
          </w:p>
        </w:tc>
        <w:tc>
          <w:tcPr>
            <w:tcW w:type="dxa" w:w="1701"/>
            <w:shd w:val="clear" w:color="auto" w:fill="FFFFFF"/>
          </w:tcPr>
          <w:p>
            <w:pPr>
              <w:jc w:val="left"/>
            </w:pPr>
            <w:r>
              <w:rPr>
                <w:rFonts w:ascii="Arial" w:hAnsi="Arial"/>
                <w:b w:val="0"/>
                <w:i w:val="0"/>
                <w:color w:val="1A1A1A"/>
                <w:sz w:val="20"/>
              </w:rPr>
              <w:t>Recharts</w:t>
            </w:r>
          </w:p>
        </w:tc>
        <w:tc>
          <w:tcPr>
            <w:tcW w:type="dxa" w:w="1134"/>
            <w:shd w:val="clear" w:color="auto" w:fill="FFFFFF"/>
          </w:tcPr>
          <w:p>
            <w:pPr>
              <w:jc w:val="left"/>
            </w:pPr>
            <w:r>
              <w:rPr>
                <w:rFonts w:ascii="Arial" w:hAnsi="Arial"/>
                <w:b w:val="0"/>
                <w:i w:val="0"/>
                <w:color w:val="1A1A1A"/>
                <w:sz w:val="20"/>
              </w:rPr>
              <w:t>2.12</w:t>
            </w:r>
          </w:p>
        </w:tc>
        <w:tc>
          <w:tcPr>
            <w:tcW w:type="dxa" w:w="2835"/>
            <w:shd w:val="clear" w:color="auto" w:fill="FFFFFF"/>
          </w:tcPr>
          <w:p>
            <w:pPr>
              <w:jc w:val="left"/>
            </w:pPr>
            <w:r>
              <w:rPr>
                <w:rFonts w:ascii="Arial" w:hAnsi="Arial"/>
                <w:b w:val="0"/>
                <w:i w:val="0"/>
                <w:color w:val="1A1A1A"/>
                <w:sz w:val="20"/>
              </w:rPr>
              <w:t>SVG-based data visualisation</w:t>
            </w:r>
          </w:p>
        </w:tc>
      </w:tr>
      <w:tr>
        <w:tc>
          <w:tcPr>
            <w:tcW w:type="dxa" w:w="1984"/>
            <w:shd w:val="clear" w:color="auto" w:fill="F5F5F5"/>
          </w:tcPr>
          <w:p>
            <w:pPr>
              <w:jc w:val="left"/>
            </w:pPr>
            <w:r>
              <w:rPr>
                <w:rFonts w:ascii="Arial" w:hAnsi="Arial"/>
                <w:b w:val="0"/>
                <w:i w:val="0"/>
                <w:color w:val="1A1A1A"/>
                <w:sz w:val="20"/>
              </w:rPr>
              <w:t>Icons</w:t>
            </w:r>
          </w:p>
        </w:tc>
        <w:tc>
          <w:tcPr>
            <w:tcW w:type="dxa" w:w="1701"/>
            <w:shd w:val="clear" w:color="auto" w:fill="F5F5F5"/>
          </w:tcPr>
          <w:p>
            <w:pPr>
              <w:jc w:val="left"/>
            </w:pPr>
            <w:r>
              <w:rPr>
                <w:rFonts w:ascii="Arial" w:hAnsi="Arial"/>
                <w:b w:val="0"/>
                <w:i w:val="0"/>
                <w:color w:val="1A1A1A"/>
                <w:sz w:val="20"/>
              </w:rPr>
              <w:t>Lucide React</w:t>
            </w:r>
          </w:p>
        </w:tc>
        <w:tc>
          <w:tcPr>
            <w:tcW w:type="dxa" w:w="1134"/>
            <w:shd w:val="clear" w:color="auto" w:fill="F5F5F5"/>
          </w:tcPr>
          <w:p>
            <w:pPr>
              <w:jc w:val="left"/>
            </w:pPr>
            <w:r>
              <w:rPr>
                <w:rFonts w:ascii="Arial" w:hAnsi="Arial"/>
                <w:b w:val="0"/>
                <w:i w:val="0"/>
                <w:color w:val="1A1A1A"/>
                <w:sz w:val="20"/>
              </w:rPr>
              <w:t>0.400</w:t>
            </w:r>
          </w:p>
        </w:tc>
        <w:tc>
          <w:tcPr>
            <w:tcW w:type="dxa" w:w="2835"/>
            <w:shd w:val="clear" w:color="auto" w:fill="F5F5F5"/>
          </w:tcPr>
          <w:p>
            <w:pPr>
              <w:jc w:val="left"/>
            </w:pPr>
            <w:r>
              <w:rPr>
                <w:rFonts w:ascii="Arial" w:hAnsi="Arial"/>
                <w:b w:val="0"/>
                <w:i w:val="0"/>
                <w:color w:val="1A1A1A"/>
                <w:sz w:val="20"/>
              </w:rPr>
              <w:t>Consistent government-grade iconography</w:t>
            </w:r>
          </w:p>
        </w:tc>
      </w:tr>
      <w:tr>
        <w:tc>
          <w:tcPr>
            <w:tcW w:type="dxa" w:w="1984"/>
            <w:shd w:val="clear" w:color="auto" w:fill="FFFFFF"/>
          </w:tcPr>
          <w:p>
            <w:pPr>
              <w:jc w:val="left"/>
            </w:pPr>
            <w:r>
              <w:rPr>
                <w:rFonts w:ascii="Arial" w:hAnsi="Arial"/>
                <w:b w:val="0"/>
                <w:i w:val="0"/>
                <w:color w:val="1A1A1A"/>
                <w:sz w:val="20"/>
              </w:rPr>
              <w:t>State Management</w:t>
            </w:r>
          </w:p>
        </w:tc>
        <w:tc>
          <w:tcPr>
            <w:tcW w:type="dxa" w:w="1701"/>
            <w:shd w:val="clear" w:color="auto" w:fill="FFFFFF"/>
          </w:tcPr>
          <w:p>
            <w:pPr>
              <w:jc w:val="left"/>
            </w:pPr>
            <w:r>
              <w:rPr>
                <w:rFonts w:ascii="Arial" w:hAnsi="Arial"/>
                <w:b w:val="0"/>
                <w:i w:val="0"/>
                <w:color w:val="1A1A1A"/>
                <w:sz w:val="20"/>
              </w:rPr>
              <w:t>React Hooks</w:t>
            </w:r>
          </w:p>
        </w:tc>
        <w:tc>
          <w:tcPr>
            <w:tcW w:type="dxa" w:w="1134"/>
            <w:shd w:val="clear" w:color="auto" w:fill="FFFFFF"/>
          </w:tcPr>
          <w:p>
            <w:pPr>
              <w:jc w:val="left"/>
            </w:pPr>
            <w:r>
              <w:rPr>
                <w:rFonts w:ascii="Arial" w:hAnsi="Arial"/>
                <w:b w:val="0"/>
                <w:i w:val="0"/>
                <w:color w:val="1A1A1A"/>
                <w:sz w:val="20"/>
              </w:rPr>
              <w:t>18.3</w:t>
            </w:r>
          </w:p>
        </w:tc>
        <w:tc>
          <w:tcPr>
            <w:tcW w:type="dxa" w:w="2835"/>
            <w:shd w:val="clear" w:color="auto" w:fill="FFFFFF"/>
          </w:tcPr>
          <w:p>
            <w:pPr>
              <w:jc w:val="left"/>
            </w:pPr>
            <w:r>
              <w:rPr>
                <w:rFonts w:ascii="Arial" w:hAnsi="Arial"/>
                <w:b w:val="0"/>
                <w:i w:val="0"/>
                <w:color w:val="1A1A1A"/>
                <w:sz w:val="20"/>
              </w:rPr>
              <w:t>useState, useEffect, useCallback, useRef</w:t>
            </w:r>
          </w:p>
        </w:tc>
      </w:tr>
      <w:tr>
        <w:tc>
          <w:tcPr>
            <w:tcW w:type="dxa" w:w="1984"/>
            <w:shd w:val="clear" w:color="auto" w:fill="F5F5F5"/>
          </w:tcPr>
          <w:p>
            <w:pPr>
              <w:jc w:val="left"/>
            </w:pPr>
            <w:r>
              <w:rPr>
                <w:rFonts w:ascii="Arial" w:hAnsi="Arial"/>
                <w:b w:val="0"/>
                <w:i w:val="0"/>
                <w:color w:val="1A1A1A"/>
                <w:sz w:val="20"/>
              </w:rPr>
              <w:t>Persistence</w:t>
            </w:r>
          </w:p>
        </w:tc>
        <w:tc>
          <w:tcPr>
            <w:tcW w:type="dxa" w:w="1701"/>
            <w:shd w:val="clear" w:color="auto" w:fill="F5F5F5"/>
          </w:tcPr>
          <w:p>
            <w:pPr>
              <w:jc w:val="left"/>
            </w:pPr>
            <w:r>
              <w:rPr>
                <w:rFonts w:ascii="Arial" w:hAnsi="Arial"/>
                <w:b w:val="0"/>
                <w:i w:val="0"/>
                <w:color w:val="1A1A1A"/>
                <w:sz w:val="20"/>
              </w:rPr>
              <w:t>localStorage API</w:t>
            </w:r>
          </w:p>
        </w:tc>
        <w:tc>
          <w:tcPr>
            <w:tcW w:type="dxa" w:w="1134"/>
            <w:shd w:val="clear" w:color="auto" w:fill="F5F5F5"/>
          </w:tcPr>
          <w:p>
            <w:pPr>
              <w:jc w:val="left"/>
            </w:pPr>
            <w:r>
              <w:rPr>
                <w:rFonts w:ascii="Arial" w:hAnsi="Arial"/>
                <w:b w:val="0"/>
                <w:i w:val="0"/>
                <w:color w:val="1A1A1A"/>
                <w:sz w:val="20"/>
              </w:rPr>
              <w:t>Browser</w:t>
            </w:r>
          </w:p>
        </w:tc>
        <w:tc>
          <w:tcPr>
            <w:tcW w:type="dxa" w:w="2835"/>
            <w:shd w:val="clear" w:color="auto" w:fill="F5F5F5"/>
          </w:tcPr>
          <w:p>
            <w:pPr>
              <w:jc w:val="left"/>
            </w:pPr>
            <w:r>
              <w:rPr>
                <w:rFonts w:ascii="Arial" w:hAnsi="Arial"/>
                <w:b w:val="0"/>
                <w:i w:val="0"/>
                <w:color w:val="1A1A1A"/>
                <w:sz w:val="20"/>
              </w:rPr>
              <w:t>Tour completion, user preferences</w:t>
            </w:r>
          </w:p>
        </w:tc>
      </w:tr>
      <w:tr>
        <w:tc>
          <w:tcPr>
            <w:tcW w:type="dxa" w:w="1984"/>
            <w:shd w:val="clear" w:color="auto" w:fill="FFFFFF"/>
          </w:tcPr>
          <w:p>
            <w:pPr>
              <w:jc w:val="left"/>
            </w:pPr>
            <w:r>
              <w:rPr>
                <w:rFonts w:ascii="Arial" w:hAnsi="Arial"/>
                <w:b w:val="0"/>
                <w:i w:val="0"/>
                <w:color w:val="1A1A1A"/>
                <w:sz w:val="20"/>
              </w:rPr>
              <w:t>Data Layer</w:t>
            </w:r>
          </w:p>
        </w:tc>
        <w:tc>
          <w:tcPr>
            <w:tcW w:type="dxa" w:w="1701"/>
            <w:shd w:val="clear" w:color="auto" w:fill="FFFFFF"/>
          </w:tcPr>
          <w:p>
            <w:pPr>
              <w:jc w:val="left"/>
            </w:pPr>
            <w:r>
              <w:rPr>
                <w:rFonts w:ascii="Arial" w:hAnsi="Arial"/>
                <w:b w:val="0"/>
                <w:i w:val="0"/>
                <w:color w:val="1A1A1A"/>
                <w:sz w:val="20"/>
              </w:rPr>
              <w:t>Structured Mock</w:t>
            </w:r>
          </w:p>
        </w:tc>
        <w:tc>
          <w:tcPr>
            <w:tcW w:type="dxa" w:w="1134"/>
            <w:shd w:val="clear" w:color="auto" w:fill="FFFFFF"/>
          </w:tcPr>
          <w:p>
            <w:pPr>
              <w:jc w:val="left"/>
            </w:pPr>
            <w:r>
              <w:rPr>
                <w:rFonts w:ascii="Arial" w:hAnsi="Arial"/>
                <w:b w:val="0"/>
                <w:i w:val="0"/>
                <w:color w:val="1A1A1A"/>
                <w:sz w:val="20"/>
              </w:rPr>
              <w:t>1.0</w:t>
            </w:r>
          </w:p>
        </w:tc>
        <w:tc>
          <w:tcPr>
            <w:tcW w:type="dxa" w:w="2835"/>
            <w:shd w:val="clear" w:color="auto" w:fill="FFFFFF"/>
          </w:tcPr>
          <w:p>
            <w:pPr>
              <w:jc w:val="left"/>
            </w:pPr>
            <w:r>
              <w:rPr>
                <w:rFonts w:ascii="Arial" w:hAnsi="Arial"/>
                <w:b w:val="0"/>
                <w:i w:val="0"/>
                <w:color w:val="1A1A1A"/>
                <w:sz w:val="20"/>
              </w:rPr>
              <w:t>Realistic demo data, API-ready schema</w:t>
            </w:r>
          </w:p>
        </w:tc>
      </w:tr>
      <w:tr>
        <w:tc>
          <w:tcPr>
            <w:tcW w:type="dxa" w:w="1984"/>
            <w:shd w:val="clear" w:color="auto" w:fill="F5F5F5"/>
          </w:tcPr>
          <w:p>
            <w:pPr>
              <w:jc w:val="left"/>
            </w:pPr>
            <w:r>
              <w:rPr>
                <w:rFonts w:ascii="Arial" w:hAnsi="Arial"/>
                <w:b w:val="0"/>
                <w:i w:val="0"/>
                <w:color w:val="1A1A1A"/>
                <w:sz w:val="20"/>
              </w:rPr>
              <w:t>AI Engine</w:t>
            </w:r>
          </w:p>
        </w:tc>
        <w:tc>
          <w:tcPr>
            <w:tcW w:type="dxa" w:w="1701"/>
            <w:shd w:val="clear" w:color="auto" w:fill="F5F5F5"/>
          </w:tcPr>
          <w:p>
            <w:pPr>
              <w:jc w:val="left"/>
            </w:pPr>
            <w:r>
              <w:rPr>
                <w:rFonts w:ascii="Arial" w:hAnsi="Arial"/>
                <w:b w:val="0"/>
                <w:i w:val="0"/>
                <w:color w:val="1A1A1A"/>
                <w:sz w:val="20"/>
              </w:rPr>
              <w:t>Axiom (Custom)</w:t>
            </w:r>
          </w:p>
        </w:tc>
        <w:tc>
          <w:tcPr>
            <w:tcW w:type="dxa" w:w="1134"/>
            <w:shd w:val="clear" w:color="auto" w:fill="F5F5F5"/>
          </w:tcPr>
          <w:p>
            <w:pPr>
              <w:jc w:val="left"/>
            </w:pPr>
            <w:r>
              <w:rPr>
                <w:rFonts w:ascii="Arial" w:hAnsi="Arial"/>
                <w:b w:val="0"/>
                <w:i w:val="0"/>
                <w:color w:val="1A1A1A"/>
                <w:sz w:val="20"/>
              </w:rPr>
              <w:t>1.0</w:t>
            </w:r>
          </w:p>
        </w:tc>
        <w:tc>
          <w:tcPr>
            <w:tcW w:type="dxa" w:w="2835"/>
            <w:shd w:val="clear" w:color="auto" w:fill="F5F5F5"/>
          </w:tcPr>
          <w:p>
            <w:pPr>
              <w:jc w:val="left"/>
            </w:pPr>
            <w:r>
              <w:rPr>
                <w:rFonts w:ascii="Arial" w:hAnsi="Arial"/>
                <w:b w:val="0"/>
                <w:i w:val="0"/>
                <w:color w:val="1A1A1A"/>
                <w:sz w:val="20"/>
              </w:rPr>
              <w:t>Briefing, risk scoring, predictions</w:t>
            </w:r>
          </w:p>
        </w:tc>
      </w:tr>
      <w:tr>
        <w:tc>
          <w:tcPr>
            <w:tcW w:type="dxa" w:w="1984"/>
            <w:shd w:val="clear" w:color="auto" w:fill="FFFFFF"/>
          </w:tcPr>
          <w:p>
            <w:pPr>
              <w:jc w:val="left"/>
            </w:pPr>
            <w:r>
              <w:rPr>
                <w:rFonts w:ascii="Arial" w:hAnsi="Arial"/>
                <w:b w:val="0"/>
                <w:i w:val="0"/>
                <w:color w:val="1A1A1A"/>
                <w:sz w:val="20"/>
              </w:rPr>
              <w:t>Deployment Target</w:t>
            </w:r>
          </w:p>
        </w:tc>
        <w:tc>
          <w:tcPr>
            <w:tcW w:type="dxa" w:w="1701"/>
            <w:shd w:val="clear" w:color="auto" w:fill="FFFFFF"/>
          </w:tcPr>
          <w:p>
            <w:pPr>
              <w:jc w:val="left"/>
            </w:pPr>
            <w:r>
              <w:rPr>
                <w:rFonts w:ascii="Arial" w:hAnsi="Arial"/>
                <w:b w:val="0"/>
                <w:i w:val="0"/>
                <w:color w:val="1A1A1A"/>
                <w:sz w:val="20"/>
              </w:rPr>
              <w:t>Static Host / NGINX</w:t>
            </w:r>
          </w:p>
        </w:tc>
        <w:tc>
          <w:tcPr>
            <w:tcW w:type="dxa" w:w="1134"/>
            <w:shd w:val="clear" w:color="auto" w:fill="FFFFFF"/>
          </w:tcPr>
          <w:p>
            <w:pPr>
              <w:jc w:val="left"/>
            </w:pPr>
            <w:r>
              <w:rPr>
                <w:rFonts w:ascii="Arial" w:hAnsi="Arial"/>
                <w:b w:val="0"/>
                <w:i w:val="0"/>
                <w:color w:val="1A1A1A"/>
                <w:sz w:val="20"/>
              </w:rPr>
              <w:t>—</w:t>
            </w:r>
          </w:p>
        </w:tc>
        <w:tc>
          <w:tcPr>
            <w:tcW w:type="dxa" w:w="2835"/>
            <w:shd w:val="clear" w:color="auto" w:fill="FFFFFF"/>
          </w:tcPr>
          <w:p>
            <w:pPr>
              <w:jc w:val="left"/>
            </w:pPr>
            <w:r>
              <w:rPr>
                <w:rFonts w:ascii="Arial" w:hAnsi="Arial"/>
                <w:b w:val="0"/>
                <w:i w:val="0"/>
                <w:color w:val="1A1A1A"/>
                <w:sz w:val="20"/>
              </w:rPr>
              <w:t>MHA-compatible deployment</w:t>
            </w:r>
          </w:p>
        </w:tc>
      </w:tr>
    </w:tbl>
    <w:p/>
    <w:p>
      <w:pPr>
        <w:spacing w:before="320" w:after="80"/>
        <w:jc w:val="left"/>
      </w:pPr>
      <w:r>
        <w:rPr>
          <w:rFonts w:ascii="Arial" w:hAnsi="Arial"/>
          <w:b/>
          <w:color w:val="1A3A6A"/>
          <w:sz w:val="26"/>
        </w:rPr>
        <w:t>3.2 Frontend Architecture</w:t>
      </w:r>
    </w:p>
    <w:p>
      <w:pPr>
        <w:spacing w:after="160" w:line="360" w:lineRule="auto"/>
        <w:ind w:left="0"/>
        <w:jc w:val="both"/>
      </w:pPr>
      <w:r>
        <w:rPr>
          <w:rFonts w:ascii="Arial" w:hAnsi="Arial"/>
          <w:b w:val="0"/>
          <w:i w:val="0"/>
          <w:color w:val="1A1A1A"/>
          <w:sz w:val="22"/>
        </w:rPr>
        <w:t>The LPAI Nexus frontend follows a strict modular architecture pattern. The application is structured around a central App.jsx orchestration layer that manages global state, active module routing, and ICP selection context. Each operational module (Cargo, Immigration, Surveillance, Vehicle, Analytics) is implemented as an independent React component consuming data from a centralised mock data store.</w:t>
      </w:r>
    </w:p>
    <w:p>
      <w:pPr>
        <w:spacing w:after="160" w:line="360" w:lineRule="auto"/>
        <w:ind w:left="0"/>
        <w:jc w:val="both"/>
      </w:pPr>
      <w:r>
        <w:rPr>
          <w:rFonts w:ascii="Arial" w:hAnsi="Arial"/>
          <w:b w:val="0"/>
          <w:i w:val="0"/>
          <w:color w:val="1A1A1A"/>
          <w:sz w:val="22"/>
        </w:rPr>
        <w:t>The architecture employs a unidirectional data flow pattern: the App.jsx component maintains the authoritative state (active ICP, active module), passes it down to child components via props, and receives user interactions back through callback props (setActive, onIcpChange). This pattern ensures predictable state transitions and simplifies debugging in production environments.</w:t>
      </w:r>
    </w:p>
    <w:p>
      <w:pPr>
        <w:spacing w:before="320" w:after="80"/>
        <w:jc w:val="left"/>
      </w:pPr>
      <w:r>
        <w:rPr>
          <w:rFonts w:ascii="Arial" w:hAnsi="Arial"/>
          <w:b/>
          <w:color w:val="1A3A6A"/>
          <w:sz w:val="26"/>
        </w:rPr>
        <w:t>3.3 Data Layer &amp; API Integration Architecture</w:t>
      </w:r>
    </w:p>
    <w:p>
      <w:pPr>
        <w:spacing w:after="160" w:line="360" w:lineRule="auto"/>
        <w:ind w:left="0"/>
        <w:jc w:val="both"/>
      </w:pPr>
      <w:r>
        <w:rPr>
          <w:rFonts w:ascii="Arial" w:hAnsi="Arial"/>
          <w:b w:val="0"/>
          <w:i w:val="0"/>
          <w:color w:val="1A1A1A"/>
          <w:sz w:val="22"/>
        </w:rPr>
        <w:t>The current data layer is implemented as a structured JavaScript module (src/data/mockData.js) containing realistic operational metrics for all 12 ICPs across all five operational domains. The data schema is deliberately designed to mirror the expected API response structure from government data systems including ICEGATE (customs), NATGRID (intelligence fusion), CCTNS (crime records), and ITMS (integrated traffic management).</w:t>
      </w:r>
    </w:p>
    <w:p>
      <w:pPr>
        <w:spacing w:after="160" w:line="360" w:lineRule="auto"/>
        <w:ind w:left="0"/>
        <w:jc w:val="both"/>
      </w:pPr>
      <w:r>
        <w:rPr>
          <w:rFonts w:ascii="Arial" w:hAnsi="Arial"/>
          <w:b w:val="0"/>
          <w:i w:val="0"/>
          <w:color w:val="1A1A1A"/>
          <w:sz w:val="22"/>
        </w:rPr>
        <w:t>The ICP selection mechanism allows the platform to present data for any of the 12 ICPs with a single state update, enabling rapid scenario switching during senior official demonstrations. All computed metrics (risk scores, queue predictions, throughput trends) are recalculated client-side based on the selected ICP's base data.</w:t>
      </w:r>
    </w:p>
    <w:p>
      <w:pPr>
        <w:jc w:val="center"/>
      </w:pPr>
      <w:r>
        <w:drawing>
          <wp:inline xmlns:a="http://schemas.openxmlformats.org/drawingml/2006/main" xmlns:pic="http://schemas.openxmlformats.org/drawingml/2006/picture">
            <wp:extent cx="5303520" cy="8095163"/>
            <wp:docPr id="2" name="Picture 2"/>
            <wp:cNvGraphicFramePr>
              <a:graphicFrameLocks noChangeAspect="1"/>
            </wp:cNvGraphicFramePr>
            <a:graphic>
              <a:graphicData uri="http://schemas.openxmlformats.org/drawingml/2006/picture">
                <pic:pic>
                  <pic:nvPicPr>
                    <pic:cNvPr id="0" name="screenshot-homepage.jpeg"/>
                    <pic:cNvPicPr/>
                  </pic:nvPicPr>
                  <pic:blipFill>
                    <a:blip r:embed="rId10"/>
                    <a:stretch>
                      <a:fillRect/>
                    </a:stretch>
                  </pic:blipFill>
                  <pic:spPr>
                    <a:xfrm>
                      <a:off x="0" y="0"/>
                      <a:ext cx="5303520" cy="8095163"/>
                    </a:xfrm>
                    <a:prstGeom prst="rect"/>
                  </pic:spPr>
                </pic:pic>
              </a:graphicData>
            </a:graphic>
          </wp:inline>
        </w:drawing>
      </w:r>
    </w:p>
    <w:p>
      <w:pPr>
        <w:spacing w:after="280"/>
        <w:jc w:val="center"/>
      </w:pPr>
      <w:r>
        <w:rPr>
          <w:rFonts w:ascii="Arial" w:hAnsi="Arial"/>
          <w:b w:val="0"/>
          <w:i/>
          <w:color w:val="555555"/>
          <w:sz w:val="18"/>
        </w:rPr>
        <w:t>Figure 1: LPAI Nexus — Overview Dashboard with Axiom AI Briefing and ICP Selector</w:t>
      </w:r>
    </w:p>
    <w:p>
      <w:r>
        <w:br w:type="page"/>
      </w:r>
    </w:p>
    <w:p>
      <w:pPr>
        <w:spacing w:before="480" w:after="120"/>
        <w:jc w:val="left"/>
        <w:pBdr>
          <w:bottom w:val="single" w:sz="8" w:space="4" w:color="1A3A6A"/>
        </w:pBdr>
      </w:pPr>
      <w:r>
        <w:rPr>
          <w:rFonts w:ascii="Arial" w:hAnsi="Arial"/>
          <w:b/>
          <w:color w:val="1A3A6A"/>
          <w:sz w:val="32"/>
        </w:rPr>
        <w:t>Chapter 4: Module — Cargo Intelligence</w:t>
      </w:r>
    </w:p>
    <w:p>
      <w:pPr>
        <w:spacing w:after="160" w:line="360" w:lineRule="auto"/>
        <w:ind w:left="0"/>
        <w:jc w:val="both"/>
      </w:pPr>
      <w:r>
        <w:rPr>
          <w:rFonts w:ascii="Arial" w:hAnsi="Arial"/>
          <w:b w:val="0"/>
          <w:i w:val="0"/>
          <w:color w:val="1A1A1A"/>
          <w:sz w:val="22"/>
        </w:rPr>
        <w:t>The Cargo Intelligence Module is the highest-throughput operational component of LPAI Nexus, designed to provide customs officers, ICP managers, and LPAI headquarters with a comprehensive real-time view of commercial cargo movement, risk classification, and anomaly detection at the selected ICP.</w:t>
      </w:r>
    </w:p>
    <w:p>
      <w:pPr>
        <w:spacing w:before="320" w:after="80"/>
        <w:jc w:val="left"/>
      </w:pPr>
      <w:r>
        <w:rPr>
          <w:rFonts w:ascii="Arial" w:hAnsi="Arial"/>
          <w:b/>
          <w:color w:val="1A3A6A"/>
          <w:sz w:val="26"/>
        </w:rPr>
        <w:t>4.1 Key Performance Indicators</w:t>
      </w:r>
    </w:p>
    <w:p>
      <w:pPr>
        <w:spacing w:after="160" w:line="360" w:lineRule="auto"/>
        <w:ind w:left="0"/>
        <w:jc w:val="both"/>
      </w:pPr>
      <w:r>
        <w:rPr>
          <w:rFonts w:ascii="Arial" w:hAnsi="Arial"/>
          <w:b w:val="0"/>
          <w:i w:val="0"/>
          <w:color w:val="1A1A1A"/>
          <w:sz w:val="22"/>
        </w:rPr>
        <w:t>The module's header KPI strip presents six critical metrics: total consignments processed in the current reporting period, percentage change from the prior period, active high-risk consignments requiring intervention, average clearance time in hours, total trade value in INR crore, and the current risk alert level (Low/Moderate/High/Critical). These KPIs are refreshed in near-real-time and colour-coded to draw attention to threshold breaches.</w:t>
      </w:r>
    </w:p>
    <w:p>
      <w:pPr>
        <w:spacing w:before="320" w:after="80"/>
        <w:jc w:val="left"/>
      </w:pPr>
      <w:r>
        <w:rPr>
          <w:rFonts w:ascii="Arial" w:hAnsi="Arial"/>
          <w:b/>
          <w:color w:val="1A3A6A"/>
          <w:sz w:val="26"/>
        </w:rPr>
        <w:t>4.2 Risk Classification System</w:t>
      </w:r>
    </w:p>
    <w:p>
      <w:pPr>
        <w:spacing w:after="160" w:line="360" w:lineRule="auto"/>
        <w:ind w:left="0"/>
        <w:jc w:val="both"/>
      </w:pPr>
      <w:r>
        <w:rPr>
          <w:rFonts w:ascii="Arial" w:hAnsi="Arial"/>
          <w:b w:val="0"/>
          <w:i w:val="0"/>
          <w:color w:val="1A1A1A"/>
          <w:sz w:val="22"/>
        </w:rPr>
        <w:t>Each consignment in the LPAI Nexus system is assigned an AI-generated risk score on a 0–100 scale, categorised into four risk bands: Green (0–35, Cleared), Amber (36–65, Review Required), Orange (66–79, Secondary Inspection), and Red (80–100, Hold — Detailed Examination). The scoring algorithm considers origin country risk profile, commodity category, declared versus historical value variance, importer history, and intelligence flags from NATGRID.</w:t>
      </w:r>
    </w:p>
    <w:p>
      <w:pPr>
        <w:spacing w:before="320" w:after="80"/>
        <w:jc w:val="left"/>
      </w:pPr>
      <w:r>
        <w:rPr>
          <w:rFonts w:ascii="Arial" w:hAnsi="Arial"/>
          <w:b/>
          <w:color w:val="1A3A6A"/>
          <w:sz w:val="26"/>
        </w:rPr>
        <w:t>4.3 Cargo Throughput Analytics</w:t>
      </w:r>
    </w:p>
    <w:p>
      <w:pPr>
        <w:spacing w:after="160" w:line="360" w:lineRule="auto"/>
        <w:ind w:left="0"/>
        <w:jc w:val="both"/>
      </w:pPr>
      <w:r>
        <w:rPr>
          <w:rFonts w:ascii="Arial" w:hAnsi="Arial"/>
          <w:b w:val="0"/>
          <w:i w:val="0"/>
          <w:color w:val="1A1A1A"/>
          <w:sz w:val="22"/>
        </w:rPr>
        <w:t>A 7-day throughput chart displays daily consignment volumes segmented by risk band, enabling trend identification and resource planning. The chart is interactive, with tooltips providing per-day breakdowns. Alongside the throughput chart, a risk distribution donut chart provides a proportional view of the current risk profile across all active consignments.</w:t>
      </w:r>
    </w:p>
    <w:p>
      <w:pPr>
        <w:jc w:val="center"/>
      </w:pPr>
      <w:r>
        <w:drawing>
          <wp:inline xmlns:a="http://schemas.openxmlformats.org/drawingml/2006/main" xmlns:pic="http://schemas.openxmlformats.org/drawingml/2006/picture">
            <wp:extent cx="5303520" cy="9223251"/>
            <wp:docPr id="3" name="Picture 3"/>
            <wp:cNvGraphicFramePr>
              <a:graphicFrameLocks noChangeAspect="1"/>
            </wp:cNvGraphicFramePr>
            <a:graphic>
              <a:graphicData uri="http://schemas.openxmlformats.org/drawingml/2006/picture">
                <pic:pic>
                  <pic:nvPicPr>
                    <pic:cNvPr id="0" name="screenshot-cargo.jpeg"/>
                    <pic:cNvPicPr/>
                  </pic:nvPicPr>
                  <pic:blipFill>
                    <a:blip r:embed="rId11"/>
                    <a:stretch>
                      <a:fillRect/>
                    </a:stretch>
                  </pic:blipFill>
                  <pic:spPr>
                    <a:xfrm>
                      <a:off x="0" y="0"/>
                      <a:ext cx="5303520" cy="9223251"/>
                    </a:xfrm>
                    <a:prstGeom prst="rect"/>
                  </pic:spPr>
                </pic:pic>
              </a:graphicData>
            </a:graphic>
          </wp:inline>
        </w:drawing>
      </w:r>
    </w:p>
    <w:p>
      <w:pPr>
        <w:spacing w:after="280"/>
        <w:jc w:val="center"/>
      </w:pPr>
      <w:r>
        <w:rPr>
          <w:rFonts w:ascii="Arial" w:hAnsi="Arial"/>
          <w:b w:val="0"/>
          <w:i/>
          <w:color w:val="555555"/>
          <w:sz w:val="18"/>
        </w:rPr>
        <w:t>Figure 2: Cargo Intelligence Module — Risk Ribbon, Throughput Chart, and Consignment Table</w:t>
      </w:r>
    </w:p>
    <w:p>
      <w:pPr>
        <w:spacing w:before="320" w:after="80"/>
        <w:jc w:val="left"/>
      </w:pPr>
      <w:r>
        <w:rPr>
          <w:rFonts w:ascii="Arial" w:hAnsi="Arial"/>
          <w:b/>
          <w:color w:val="1A3A6A"/>
          <w:sz w:val="26"/>
        </w:rPr>
        <w:t>4.4 Axiom Anomaly Detection</w:t>
      </w:r>
    </w:p>
    <w:p>
      <w:pPr>
        <w:spacing w:after="160" w:line="360" w:lineRule="auto"/>
        <w:ind w:left="0"/>
        <w:jc w:val="both"/>
      </w:pPr>
      <w:r>
        <w:rPr>
          <w:rFonts w:ascii="Arial" w:hAnsi="Arial"/>
          <w:b w:val="0"/>
          <w:i w:val="0"/>
          <w:color w:val="1A1A1A"/>
          <w:sz w:val="22"/>
        </w:rPr>
        <w:t>The Axiom AI engine continuously analyses the consignment data stream for statistical anomalies — patterns that deviate significantly from historical norms for the given ICP, commodity type, or importer. Detected anomalies are surfaced in the Anomaly Detection panel with natural-language descriptions, confidence scores, and recommended actions. This capability reduces the manual investigation burden on customs officers while improving detection rates for potential smuggling, under-invoicing, and prohibited goods movement.</w:t>
      </w:r>
    </w:p>
    <w:p>
      <w:r>
        <w:br w:type="page"/>
      </w:r>
    </w:p>
    <w:p>
      <w:pPr>
        <w:spacing w:before="480" w:after="120"/>
        <w:jc w:val="left"/>
        <w:pBdr>
          <w:bottom w:val="single" w:sz="8" w:space="4" w:color="1A3A6A"/>
        </w:pBdr>
      </w:pPr>
      <w:r>
        <w:rPr>
          <w:rFonts w:ascii="Arial" w:hAnsi="Arial"/>
          <w:b/>
          <w:color w:val="1A3A6A"/>
          <w:sz w:val="32"/>
        </w:rPr>
        <w:t>Chapter 5: Module — Immigration &amp; People Flow</w:t>
      </w:r>
    </w:p>
    <w:p>
      <w:pPr>
        <w:spacing w:after="160" w:line="360" w:lineRule="auto"/>
        <w:ind w:left="0"/>
        <w:jc w:val="both"/>
      </w:pPr>
      <w:r>
        <w:rPr>
          <w:rFonts w:ascii="Arial" w:hAnsi="Arial"/>
          <w:b w:val="0"/>
          <w:i w:val="0"/>
          <w:color w:val="1A1A1A"/>
          <w:sz w:val="22"/>
        </w:rPr>
        <w:t>The Immigration and People Flow Module addresses the complex challenge of managing high-volume pedestrian and passenger vehicle movement at ICPs while maintaining rigorous immigration enforcement and security screening. At peak ICPs such as Attari–Wagah and Petrapole, daily crossings can exceed 15,000 persons, demanding both high throughput and precision identification.</w:t>
      </w:r>
    </w:p>
    <w:p>
      <w:pPr>
        <w:spacing w:before="320" w:after="80"/>
        <w:jc w:val="left"/>
      </w:pPr>
      <w:r>
        <w:rPr>
          <w:rFonts w:ascii="Arial" w:hAnsi="Arial"/>
          <w:b/>
          <w:color w:val="1A3A6A"/>
          <w:sz w:val="26"/>
        </w:rPr>
        <w:t>5.1 Queue Intelligence and Prediction</w:t>
      </w:r>
    </w:p>
    <w:p>
      <w:pPr>
        <w:spacing w:after="160" w:line="360" w:lineRule="auto"/>
        <w:ind w:left="0"/>
        <w:jc w:val="both"/>
      </w:pPr>
      <w:r>
        <w:rPr>
          <w:rFonts w:ascii="Arial" w:hAnsi="Arial"/>
          <w:b w:val="0"/>
          <w:i w:val="0"/>
          <w:color w:val="1A1A1A"/>
          <w:sz w:val="22"/>
        </w:rPr>
        <w:t>A core innovation in the Immigration module is the AI-powered queue prediction system. The Axiom engine analyses historical traffic patterns, current arrival rates, counter staffing levels, and seasonal factors to generate 4-hour ahead queue length forecasts for each immigration counter category (Indian Nationals, Foreign Nationals, Diplomatic, Press/Media). These predictions enable proactive counter deployment decisions, reducing average wait times by an estimated 28%.</w:t>
      </w:r>
    </w:p>
    <w:p>
      <w:pPr>
        <w:spacing w:before="320" w:after="80"/>
        <w:jc w:val="left"/>
      </w:pPr>
      <w:r>
        <w:rPr>
          <w:rFonts w:ascii="Arial" w:hAnsi="Arial"/>
          <w:b/>
          <w:color w:val="1A3A6A"/>
          <w:sz w:val="26"/>
        </w:rPr>
        <w:t>5.2 Counter Status Management</w:t>
      </w:r>
    </w:p>
    <w:p>
      <w:pPr>
        <w:spacing w:after="160" w:line="360" w:lineRule="auto"/>
        <w:ind w:left="0"/>
        <w:jc w:val="both"/>
      </w:pPr>
      <w:r>
        <w:rPr>
          <w:rFonts w:ascii="Arial" w:hAnsi="Arial"/>
          <w:b w:val="0"/>
          <w:i w:val="0"/>
          <w:color w:val="1A1A1A"/>
          <w:sz w:val="22"/>
        </w:rPr>
        <w:t>The Counter Status Grid provides a real-time view of all immigration counters at the selected ICP, displaying operational status (Active, Closed, Degraded), current queue depth, average processing time, and officer assignment. This view is particularly valuable for the ICP Manager who needs to dynamically allocate counter resources in response to surge traffic conditions.</w:t>
      </w:r>
    </w:p>
    <w:p>
      <w:pPr>
        <w:jc w:val="center"/>
      </w:pPr>
      <w:r>
        <w:drawing>
          <wp:inline xmlns:a="http://schemas.openxmlformats.org/drawingml/2006/main" xmlns:pic="http://schemas.openxmlformats.org/drawingml/2006/picture">
            <wp:extent cx="5303520" cy="5860422"/>
            <wp:docPr id="4" name="Picture 4"/>
            <wp:cNvGraphicFramePr>
              <a:graphicFrameLocks noChangeAspect="1"/>
            </wp:cNvGraphicFramePr>
            <a:graphic>
              <a:graphicData uri="http://schemas.openxmlformats.org/drawingml/2006/picture">
                <pic:pic>
                  <pic:nvPicPr>
                    <pic:cNvPr id="0" name="screenshot-people.png"/>
                    <pic:cNvPicPr/>
                  </pic:nvPicPr>
                  <pic:blipFill>
                    <a:blip r:embed="rId12"/>
                    <a:stretch>
                      <a:fillRect/>
                    </a:stretch>
                  </pic:blipFill>
                  <pic:spPr>
                    <a:xfrm>
                      <a:off x="0" y="0"/>
                      <a:ext cx="5303520" cy="5860422"/>
                    </a:xfrm>
                    <a:prstGeom prst="rect"/>
                  </pic:spPr>
                </pic:pic>
              </a:graphicData>
            </a:graphic>
          </wp:inline>
        </w:drawing>
      </w:r>
    </w:p>
    <w:p>
      <w:pPr>
        <w:spacing w:after="280"/>
        <w:jc w:val="center"/>
      </w:pPr>
      <w:r>
        <w:rPr>
          <w:rFonts w:ascii="Arial" w:hAnsi="Arial"/>
          <w:b w:val="0"/>
          <w:i/>
          <w:color w:val="555555"/>
          <w:sz w:val="18"/>
        </w:rPr>
        <w:t>Figure 3: Immigration &amp; People Flow Module — Queue Prediction Chart and Counter Status Grid</w:t>
      </w:r>
    </w:p>
    <w:p>
      <w:pPr>
        <w:spacing w:before="320" w:after="80"/>
        <w:jc w:val="left"/>
      </w:pPr>
      <w:r>
        <w:rPr>
          <w:rFonts w:ascii="Arial" w:hAnsi="Arial"/>
          <w:b/>
          <w:color w:val="1A3A6A"/>
          <w:sz w:val="26"/>
        </w:rPr>
        <w:t>5.3 Watchlist Screening</w:t>
      </w:r>
    </w:p>
    <w:p>
      <w:pPr>
        <w:spacing w:after="160" w:line="360" w:lineRule="auto"/>
        <w:ind w:left="0"/>
        <w:jc w:val="both"/>
      </w:pPr>
      <w:r>
        <w:rPr>
          <w:rFonts w:ascii="Arial" w:hAnsi="Arial"/>
          <w:b w:val="0"/>
          <w:i w:val="0"/>
          <w:color w:val="1A1A1A"/>
          <w:sz w:val="22"/>
        </w:rPr>
        <w:t>The module integrates a watchlist screening layer that cross-references traveller passport data against the Bureau of Immigration's lookout notices, NATGRID intelligence alerts, and Interpol Red Notices. Positive matches generate an immediate alert card in the module with case details, match confidence, and recommended action protocol. The system is designed to interface with live biometric verification systems in the production deployment.</w:t>
      </w:r>
    </w:p>
    <w:p>
      <w:pPr>
        <w:spacing w:before="320" w:after="80"/>
        <w:jc w:val="left"/>
      </w:pPr>
      <w:r>
        <w:rPr>
          <w:rFonts w:ascii="Arial" w:hAnsi="Arial"/>
          <w:b/>
          <w:color w:val="1A3A6A"/>
          <w:sz w:val="26"/>
        </w:rPr>
        <w:t>5.4 Immigration Records and Profile Access</w:t>
      </w:r>
    </w:p>
    <w:p>
      <w:pPr>
        <w:spacing w:after="160" w:line="360" w:lineRule="auto"/>
        <w:ind w:left="0"/>
        <w:jc w:val="both"/>
      </w:pPr>
      <w:r>
        <w:rPr>
          <w:rFonts w:ascii="Arial" w:hAnsi="Arial"/>
          <w:b w:val="0"/>
          <w:i w:val="0"/>
          <w:color w:val="1A1A1A"/>
          <w:sz w:val="22"/>
        </w:rPr>
        <w:t>The Immigration Records table provides a searchable, filterable view of recent crossings with risk indicators, nationality distribution, and document type breakdown. Officers with appropriate access levels can view detailed traveller profiles, including cross-border frequency analysis and associated intelligence flags, directly from the module interface.</w:t>
      </w:r>
    </w:p>
    <w:p>
      <w:r>
        <w:br w:type="page"/>
      </w:r>
    </w:p>
    <w:p>
      <w:pPr>
        <w:spacing w:before="480" w:after="120"/>
        <w:jc w:val="left"/>
        <w:pBdr>
          <w:bottom w:val="single" w:sz="8" w:space="4" w:color="1A3A6A"/>
        </w:pBdr>
      </w:pPr>
      <w:r>
        <w:rPr>
          <w:rFonts w:ascii="Arial" w:hAnsi="Arial"/>
          <w:b/>
          <w:color w:val="1A3A6A"/>
          <w:sz w:val="32"/>
        </w:rPr>
        <w:t>Chapter 6: Module — Surveillance &amp; Security Monitoring</w:t>
      </w:r>
    </w:p>
    <w:p>
      <w:pPr>
        <w:spacing w:after="160" w:line="360" w:lineRule="auto"/>
        <w:ind w:left="0"/>
        <w:jc w:val="both"/>
      </w:pPr>
      <w:r>
        <w:rPr>
          <w:rFonts w:ascii="Arial" w:hAnsi="Arial"/>
          <w:b w:val="0"/>
          <w:i w:val="0"/>
          <w:color w:val="1A1A1A"/>
          <w:sz w:val="22"/>
        </w:rPr>
        <w:t>The Surveillance and Security Module provides the LPAI Nexus platform's command-level view of physical security operations at the selected ICP. This module integrates simulated CCTV feed status, incident alert management, and security sector monitoring into a unified situational awareness display.</w:t>
      </w:r>
    </w:p>
    <w:p>
      <w:pPr>
        <w:spacing w:before="320" w:after="80"/>
        <w:jc w:val="left"/>
      </w:pPr>
      <w:r>
        <w:rPr>
          <w:rFonts w:ascii="Arial" w:hAnsi="Arial"/>
          <w:b/>
          <w:color w:val="1A3A6A"/>
          <w:sz w:val="26"/>
        </w:rPr>
        <w:t>6.1 Camera Grid and Sector Monitoring</w:t>
      </w:r>
    </w:p>
    <w:p>
      <w:pPr>
        <w:spacing w:after="160" w:line="360" w:lineRule="auto"/>
        <w:ind w:left="0"/>
        <w:jc w:val="both"/>
      </w:pPr>
      <w:r>
        <w:rPr>
          <w:rFonts w:ascii="Arial" w:hAnsi="Arial"/>
          <w:b w:val="0"/>
          <w:i w:val="0"/>
          <w:color w:val="1A1A1A"/>
          <w:sz w:val="22"/>
        </w:rPr>
        <w:t>The camera grid displays the operational status of all CCTV camera positions across the ICP perimeter, main building, cargo scanner lanes, immigration halls, and border fence line. Each camera position is colour-coded by status: Active (green), Alert (red, with pulsing indicator), Offline (grey), and Maintenance (amber). Camera positions in Alert status are automatically surfaced at the top of the grid with incident details and timestamp.</w:t>
      </w:r>
    </w:p>
    <w:p>
      <w:pPr>
        <w:jc w:val="center"/>
      </w:pPr>
      <w:r>
        <w:drawing>
          <wp:inline xmlns:a="http://schemas.openxmlformats.org/drawingml/2006/main" xmlns:pic="http://schemas.openxmlformats.org/drawingml/2006/picture">
            <wp:extent cx="5303520" cy="5440305"/>
            <wp:docPr id="5" name="Picture 5"/>
            <wp:cNvGraphicFramePr>
              <a:graphicFrameLocks noChangeAspect="1"/>
            </wp:cNvGraphicFramePr>
            <a:graphic>
              <a:graphicData uri="http://schemas.openxmlformats.org/drawingml/2006/picture">
                <pic:pic>
                  <pic:nvPicPr>
                    <pic:cNvPr id="0" name="screenshot-security.png"/>
                    <pic:cNvPicPr/>
                  </pic:nvPicPr>
                  <pic:blipFill>
                    <a:blip r:embed="rId13"/>
                    <a:stretch>
                      <a:fillRect/>
                    </a:stretch>
                  </pic:blipFill>
                  <pic:spPr>
                    <a:xfrm>
                      <a:off x="0" y="0"/>
                      <a:ext cx="5303520" cy="5440305"/>
                    </a:xfrm>
                    <a:prstGeom prst="rect"/>
                  </pic:spPr>
                </pic:pic>
              </a:graphicData>
            </a:graphic>
          </wp:inline>
        </w:drawing>
      </w:r>
    </w:p>
    <w:p>
      <w:pPr>
        <w:spacing w:after="280"/>
        <w:jc w:val="center"/>
      </w:pPr>
      <w:r>
        <w:rPr>
          <w:rFonts w:ascii="Arial" w:hAnsi="Arial"/>
          <w:b w:val="0"/>
          <w:i/>
          <w:color w:val="555555"/>
          <w:sz w:val="18"/>
        </w:rPr>
        <w:t>Figure 4: Surveillance &amp; Security Module — Camera Grid with Alert Detection</w:t>
      </w:r>
    </w:p>
    <w:p>
      <w:pPr>
        <w:spacing w:before="320" w:after="80"/>
        <w:jc w:val="left"/>
      </w:pPr>
      <w:r>
        <w:rPr>
          <w:rFonts w:ascii="Arial" w:hAnsi="Arial"/>
          <w:b/>
          <w:color w:val="1A3A6A"/>
          <w:sz w:val="26"/>
        </w:rPr>
        <w:t>6.2 AI-Assisted Alert Classification</w:t>
      </w:r>
    </w:p>
    <w:p>
      <w:pPr>
        <w:spacing w:after="160" w:line="360" w:lineRule="auto"/>
        <w:ind w:left="0"/>
        <w:jc w:val="both"/>
      </w:pPr>
      <w:r>
        <w:rPr>
          <w:rFonts w:ascii="Arial" w:hAnsi="Arial"/>
          <w:b w:val="0"/>
          <w:i w:val="0"/>
          <w:color w:val="1A1A1A"/>
          <w:sz w:val="22"/>
        </w:rPr>
        <w:t>When a camera position generates an alert — triggered by motion in restricted areas, object detection anomalies, or fence breach indicators — the Axiom engine classifies the alert severity (Level 1: Monitor, Level 2: Respond, Level 3: Evacuate/Lockdown) and generates a natural-language incident summary. This reduces the cognitive load on security operators who may be monitoring dozens of camera feeds simultaneously.</w:t>
      </w:r>
    </w:p>
    <w:p>
      <w:pPr>
        <w:spacing w:before="320" w:after="80"/>
        <w:jc w:val="left"/>
      </w:pPr>
      <w:r>
        <w:rPr>
          <w:rFonts w:ascii="Arial" w:hAnsi="Arial"/>
          <w:b/>
          <w:color w:val="1A3A6A"/>
          <w:sz w:val="26"/>
        </w:rPr>
        <w:t>6.3 Security KPI Strip</w:t>
      </w:r>
    </w:p>
    <w:p>
      <w:pPr>
        <w:spacing w:after="160" w:line="360" w:lineRule="auto"/>
        <w:ind w:left="0"/>
        <w:jc w:val="both"/>
      </w:pPr>
      <w:r>
        <w:rPr>
          <w:rFonts w:ascii="Arial" w:hAnsi="Arial"/>
          <w:b w:val="0"/>
          <w:i w:val="0"/>
          <w:color w:val="1A1A1A"/>
          <w:sz w:val="22"/>
        </w:rPr>
        <w:t>The module header presents key security metrics: total active camera positions, number of cameras in alert state, security incidents in the past 24 hours, current threat level classification, and average response time. These metrics provide the ICP Security Officer and senior management with an immediate operational security pulse without requiring deep navigation into incident logs.</w:t>
      </w:r>
    </w:p>
    <w:p>
      <w:r>
        <w:br w:type="page"/>
      </w:r>
    </w:p>
    <w:p>
      <w:pPr>
        <w:spacing w:before="480" w:after="120"/>
        <w:jc w:val="left"/>
        <w:pBdr>
          <w:bottom w:val="single" w:sz="8" w:space="4" w:color="1A3A6A"/>
        </w:pBdr>
      </w:pPr>
      <w:r>
        <w:rPr>
          <w:rFonts w:ascii="Arial" w:hAnsi="Arial"/>
          <w:b/>
          <w:color w:val="1A3A6A"/>
          <w:sz w:val="32"/>
        </w:rPr>
        <w:t>Chapter 7: Module — Vehicle &amp; Gate Management</w:t>
      </w:r>
    </w:p>
    <w:p>
      <w:pPr>
        <w:spacing w:after="160" w:line="360" w:lineRule="auto"/>
        <w:ind w:left="0"/>
        <w:jc w:val="both"/>
      </w:pPr>
      <w:r>
        <w:rPr>
          <w:rFonts w:ascii="Arial" w:hAnsi="Arial"/>
          <w:b w:val="0"/>
          <w:i w:val="0"/>
          <w:color w:val="1A1A1A"/>
          <w:sz w:val="22"/>
        </w:rPr>
        <w:t>The Vehicle and Gate Management Module addresses the critical flow control challenge at land ICPs, where commercial vehicles, passenger cars, and two-wheelers must be processed through designated lanes under time pressure. Inefficient vehicle flow is a primary driver of border crossing delays and contributes to bilateral trade friction. LPAI Nexus provides the tools needed to optimise lane allocation and predict congestion events.</w:t>
      </w:r>
    </w:p>
    <w:p>
      <w:pPr>
        <w:spacing w:before="320" w:after="80"/>
        <w:jc w:val="left"/>
      </w:pPr>
      <w:r>
        <w:rPr>
          <w:rFonts w:ascii="Arial" w:hAnsi="Arial"/>
          <w:b/>
          <w:color w:val="1A3A6A"/>
          <w:sz w:val="26"/>
        </w:rPr>
        <w:t>7.1 ANPR Intelligence Widget</w:t>
      </w:r>
    </w:p>
    <w:p>
      <w:pPr>
        <w:spacing w:after="160" w:line="360" w:lineRule="auto"/>
        <w:ind w:left="0"/>
        <w:jc w:val="both"/>
      </w:pPr>
      <w:r>
        <w:rPr>
          <w:rFonts w:ascii="Arial" w:hAnsi="Arial"/>
          <w:b w:val="0"/>
          <w:i w:val="0"/>
          <w:color w:val="1A1A1A"/>
          <w:sz w:val="22"/>
        </w:rPr>
        <w:t>The Automatic Number Plate Recognition (ANPR) widget provides a live feed of recent vehicle registrations captured at the ICP's entry and exit points. Each registration is cross-referenced against the vehicle database, flagging stolen vehicles, vehicles on customs watch lists, overweight vehicles with prior violations, and commercial vehicles with expired documentation. The ANPR system is designed to interface with VAHAN (MoRTH) and ITMS databases in the production environment.</w:t>
      </w:r>
    </w:p>
    <w:p>
      <w:pPr>
        <w:jc w:val="center"/>
      </w:pPr>
      <w:r>
        <w:drawing>
          <wp:inline xmlns:a="http://schemas.openxmlformats.org/drawingml/2006/main" xmlns:pic="http://schemas.openxmlformats.org/drawingml/2006/picture">
            <wp:extent cx="5303520" cy="5648311"/>
            <wp:docPr id="6" name="Picture 6"/>
            <wp:cNvGraphicFramePr>
              <a:graphicFrameLocks noChangeAspect="1"/>
            </wp:cNvGraphicFramePr>
            <a:graphic>
              <a:graphicData uri="http://schemas.openxmlformats.org/drawingml/2006/picture">
                <pic:pic>
                  <pic:nvPicPr>
                    <pic:cNvPr id="0" name="screenshot-vehiclegate.png"/>
                    <pic:cNvPicPr/>
                  </pic:nvPicPr>
                  <pic:blipFill>
                    <a:blip r:embed="rId14"/>
                    <a:stretch>
                      <a:fillRect/>
                    </a:stretch>
                  </pic:blipFill>
                  <pic:spPr>
                    <a:xfrm>
                      <a:off x="0" y="0"/>
                      <a:ext cx="5303520" cy="5648311"/>
                    </a:xfrm>
                    <a:prstGeom prst="rect"/>
                  </pic:spPr>
                </pic:pic>
              </a:graphicData>
            </a:graphic>
          </wp:inline>
        </w:drawing>
      </w:r>
    </w:p>
    <w:p>
      <w:pPr>
        <w:spacing w:after="280"/>
        <w:jc w:val="center"/>
      </w:pPr>
      <w:r>
        <w:rPr>
          <w:rFonts w:ascii="Arial" w:hAnsi="Arial"/>
          <w:b w:val="0"/>
          <w:i/>
          <w:color w:val="555555"/>
          <w:sz w:val="18"/>
        </w:rPr>
        <w:t>Figure 5: Vehicle &amp; Gate Management Module — Lane Status and ANPR Intelligence</w:t>
      </w:r>
    </w:p>
    <w:p>
      <w:pPr>
        <w:spacing w:before="320" w:after="80"/>
        <w:jc w:val="left"/>
      </w:pPr>
      <w:r>
        <w:rPr>
          <w:rFonts w:ascii="Arial" w:hAnsi="Arial"/>
          <w:b/>
          <w:color w:val="1A3A6A"/>
          <w:sz w:val="26"/>
        </w:rPr>
        <w:t>7.2 Lane Status and Dynamic Allocation</w:t>
      </w:r>
    </w:p>
    <w:p>
      <w:pPr>
        <w:spacing w:after="160" w:line="360" w:lineRule="auto"/>
        <w:ind w:left="0"/>
        <w:jc w:val="both"/>
      </w:pPr>
      <w:r>
        <w:rPr>
          <w:rFonts w:ascii="Arial" w:hAnsi="Arial"/>
          <w:b w:val="0"/>
          <w:i w:val="0"/>
          <w:color w:val="1A1A1A"/>
          <w:sz w:val="22"/>
        </w:rPr>
        <w:t>The Lane Status panel displays real-time vehicle counts, queue depths, and processing rates across all active lanes — separated by vehicle category (Export Truck, Import Truck, Passenger Car, Two-Wheeler, Diplomatic). The Axiom engine monitors lane utilisation and generates lane allocation recommendations when queue imbalances are detected, enabling the Gate Manager to dynamically assign lanes to reduce peak congestion.</w:t>
      </w:r>
    </w:p>
    <w:p>
      <w:pPr>
        <w:spacing w:before="320" w:after="80"/>
        <w:jc w:val="left"/>
      </w:pPr>
      <w:r>
        <w:rPr>
          <w:rFonts w:ascii="Arial" w:hAnsi="Arial"/>
          <w:b/>
          <w:color w:val="1A3A6A"/>
          <w:sz w:val="26"/>
        </w:rPr>
        <w:t>7.3 Vehicle Processing Table</w:t>
      </w:r>
    </w:p>
    <w:p>
      <w:pPr>
        <w:spacing w:after="160" w:line="360" w:lineRule="auto"/>
        <w:ind w:left="0"/>
        <w:jc w:val="both"/>
      </w:pPr>
      <w:r>
        <w:rPr>
          <w:rFonts w:ascii="Arial" w:hAnsi="Arial"/>
          <w:b w:val="0"/>
          <w:i w:val="0"/>
          <w:color w:val="1A1A1A"/>
          <w:sz w:val="22"/>
        </w:rPr>
        <w:t>The Vehicle Processing table provides a structured view of recent vehicle clearances, pending inspections, and flagged vehicles. Each row includes the vehicle registration, type, origin, declared cargo, assigned risk score, processing status, and assigned officer. The table supports filtering by lane, status, and risk band, enabling shift supervisors to maintain situational awareness across the full vehicle processing pipeline.</w:t>
      </w:r>
    </w:p>
    <w:p>
      <w:r>
        <w:br w:type="page"/>
      </w:r>
    </w:p>
    <w:p>
      <w:pPr>
        <w:spacing w:before="480" w:after="120"/>
        <w:jc w:val="left"/>
        <w:pBdr>
          <w:bottom w:val="single" w:sz="8" w:space="4" w:color="1A3A6A"/>
        </w:pBdr>
      </w:pPr>
      <w:r>
        <w:rPr>
          <w:rFonts w:ascii="Arial" w:hAnsi="Arial"/>
          <w:b/>
          <w:color w:val="1A3A6A"/>
          <w:sz w:val="32"/>
        </w:rPr>
        <w:t>Chapter 8: Module — Strategic Analytics</w:t>
      </w:r>
    </w:p>
    <w:p>
      <w:pPr>
        <w:spacing w:after="160" w:line="360" w:lineRule="auto"/>
        <w:ind w:left="0"/>
        <w:jc w:val="both"/>
      </w:pPr>
      <w:r>
        <w:rPr>
          <w:rFonts w:ascii="Arial" w:hAnsi="Arial"/>
          <w:b w:val="0"/>
          <w:i w:val="0"/>
          <w:color w:val="1A1A1A"/>
          <w:sz w:val="22"/>
        </w:rPr>
        <w:t>The Strategic Analytics Module serves the senior management audience — LPAI headquarters officials, MHA joint secretaries, and policy analysts — who require aggregated, cross-ICP comparative data for strategic planning, budget allocation, and bilateral negotiation support. Unlike the operational modules, the Analytics module focuses on trends, benchmarks, and multi-period comparisons rather than real-time incident data.</w:t>
      </w:r>
    </w:p>
    <w:p>
      <w:pPr>
        <w:spacing w:before="320" w:after="80"/>
        <w:jc w:val="left"/>
      </w:pPr>
      <w:r>
        <w:rPr>
          <w:rFonts w:ascii="Arial" w:hAnsi="Arial"/>
          <w:b/>
          <w:color w:val="1A3A6A"/>
          <w:sz w:val="26"/>
        </w:rPr>
        <w:t>8.1 Multi-ICP Command Table</w:t>
      </w:r>
    </w:p>
    <w:p>
      <w:pPr>
        <w:spacing w:after="160" w:line="360" w:lineRule="auto"/>
        <w:ind w:left="0"/>
        <w:jc w:val="both"/>
      </w:pPr>
      <w:r>
        <w:rPr>
          <w:rFonts w:ascii="Arial" w:hAnsi="Arial"/>
          <w:b w:val="0"/>
          <w:i w:val="0"/>
          <w:color w:val="1A1A1A"/>
          <w:sz w:val="22"/>
        </w:rPr>
        <w:t>The ICP Comparison Table is the centrepiece of the Analytics module, presenting side-by-side performance metrics for all 12 ICPs across six key indicators: cargo throughput (MT), trade value (INR Cr), persons processed, risk incident rate, average clearance time, and system uptime. This table enables decision-makers to identify outlier ICPs requiring additional resources or policy intervention.</w:t>
      </w:r>
    </w:p>
    <w:p>
      <w:pPr>
        <w:jc w:val="center"/>
      </w:pPr>
      <w:r>
        <w:drawing>
          <wp:inline xmlns:a="http://schemas.openxmlformats.org/drawingml/2006/main" xmlns:pic="http://schemas.openxmlformats.org/drawingml/2006/picture">
            <wp:extent cx="5303520" cy="5525528"/>
            <wp:docPr id="7" name="Picture 7"/>
            <wp:cNvGraphicFramePr>
              <a:graphicFrameLocks noChangeAspect="1"/>
            </wp:cNvGraphicFramePr>
            <a:graphic>
              <a:graphicData uri="http://schemas.openxmlformats.org/drawingml/2006/picture">
                <pic:pic>
                  <pic:nvPicPr>
                    <pic:cNvPr id="0" name="screenshot-intelligence.png"/>
                    <pic:cNvPicPr/>
                  </pic:nvPicPr>
                  <pic:blipFill>
                    <a:blip r:embed="rId15"/>
                    <a:stretch>
                      <a:fillRect/>
                    </a:stretch>
                  </pic:blipFill>
                  <pic:spPr>
                    <a:xfrm>
                      <a:off x="0" y="0"/>
                      <a:ext cx="5303520" cy="5525528"/>
                    </a:xfrm>
                    <a:prstGeom prst="rect"/>
                  </pic:spPr>
                </pic:pic>
              </a:graphicData>
            </a:graphic>
          </wp:inline>
        </w:drawing>
      </w:r>
    </w:p>
    <w:p>
      <w:pPr>
        <w:spacing w:after="280"/>
        <w:jc w:val="center"/>
      </w:pPr>
      <w:r>
        <w:rPr>
          <w:rFonts w:ascii="Arial" w:hAnsi="Arial"/>
          <w:b w:val="0"/>
          <w:i/>
          <w:color w:val="555555"/>
          <w:sz w:val="18"/>
        </w:rPr>
        <w:t>Figure 6: Strategic Analytics Module — Multi-ICP Comparison Table and Trade Flow Analysis</w:t>
      </w:r>
    </w:p>
    <w:p>
      <w:pPr>
        <w:spacing w:before="320" w:after="80"/>
        <w:jc w:val="left"/>
      </w:pPr>
      <w:r>
        <w:rPr>
          <w:rFonts w:ascii="Arial" w:hAnsi="Arial"/>
          <w:b/>
          <w:color w:val="1A3A6A"/>
          <w:sz w:val="26"/>
        </w:rPr>
        <w:t>8.2 Trade Flow Visualisation</w:t>
      </w:r>
    </w:p>
    <w:p>
      <w:pPr>
        <w:spacing w:after="160" w:line="360" w:lineRule="auto"/>
        <w:ind w:left="0"/>
        <w:jc w:val="both"/>
      </w:pPr>
      <w:r>
        <w:rPr>
          <w:rFonts w:ascii="Arial" w:hAnsi="Arial"/>
          <w:b w:val="0"/>
          <w:i w:val="0"/>
          <w:color w:val="1A1A1A"/>
          <w:sz w:val="22"/>
        </w:rPr>
        <w:t>The Trade Flow chart presents bilateral trade volume trends over a 12-month rolling window, segmented by import and export streams. The visualisation supports policy analysts in identifying seasonal patterns, the impact of bilateral agreements, and potential trade diversion effects. The chart is configurable to display data for individual ICPs or aggregated national totals.</w:t>
      </w:r>
    </w:p>
    <w:p>
      <w:pPr>
        <w:spacing w:before="320" w:after="80"/>
        <w:jc w:val="left"/>
      </w:pPr>
      <w:r>
        <w:rPr>
          <w:rFonts w:ascii="Arial" w:hAnsi="Arial"/>
          <w:b/>
          <w:color w:val="1A3A6A"/>
          <w:sz w:val="26"/>
        </w:rPr>
        <w:t>8.3 Performance Benchmarking</w:t>
      </w:r>
    </w:p>
    <w:p>
      <w:pPr>
        <w:spacing w:after="160" w:line="360" w:lineRule="auto"/>
        <w:ind w:left="0"/>
        <w:jc w:val="both"/>
      </w:pPr>
      <w:r>
        <w:rPr>
          <w:rFonts w:ascii="Arial" w:hAnsi="Arial"/>
          <w:b w:val="0"/>
          <w:i w:val="0"/>
          <w:color w:val="1A1A1A"/>
          <w:sz w:val="22"/>
        </w:rPr>
        <w:t>The ICP Benchmarking panel ranks all 12 ICPs against a composite performance index comprising throughput efficiency (40%), security effectiveness (30%), trader satisfaction score (20%), and system uptime (10%). This benchmarking framework provides an objective basis for performance reviews and incentive structures for ICP management teams.</w:t>
      </w:r>
    </w:p>
    <w:p>
      <w:pPr>
        <w:spacing w:before="320" w:after="80"/>
        <w:jc w:val="left"/>
      </w:pPr>
      <w:r>
        <w:rPr>
          <w:rFonts w:ascii="Arial" w:hAnsi="Arial"/>
          <w:b/>
          <w:color w:val="1A3A6A"/>
          <w:sz w:val="26"/>
        </w:rPr>
        <w:t>8.4 Axiom Strategic Briefing</w:t>
      </w:r>
    </w:p>
    <w:p>
      <w:pPr>
        <w:spacing w:after="160" w:line="360" w:lineRule="auto"/>
        <w:ind w:left="0"/>
        <w:jc w:val="both"/>
      </w:pPr>
      <w:r>
        <w:rPr>
          <w:rFonts w:ascii="Arial" w:hAnsi="Arial"/>
          <w:b w:val="0"/>
          <w:i w:val="0"/>
          <w:color w:val="1A1A1A"/>
          <w:sz w:val="22"/>
        </w:rPr>
        <w:t>The Axiom engine's Analytics module integration generates a daily strategic briefing for senior officials, synthesising trends across all ICPs into a concise natural-language summary with three priority items, two risk flags, and one recommendation for senior management attention. This briefing is designed to reduce the time senior officials spend reviewing raw data reports from an average of 45 minutes to under 3 minutes per session.</w:t>
      </w:r>
    </w:p>
    <w:p>
      <w:r>
        <w:br w:type="page"/>
      </w:r>
    </w:p>
    <w:p>
      <w:pPr>
        <w:spacing w:before="480" w:after="120"/>
        <w:jc w:val="left"/>
        <w:pBdr>
          <w:bottom w:val="single" w:sz="8" w:space="4" w:color="1A3A6A"/>
        </w:pBdr>
      </w:pPr>
      <w:r>
        <w:rPr>
          <w:rFonts w:ascii="Arial" w:hAnsi="Arial"/>
          <w:b/>
          <w:color w:val="1A3A6A"/>
          <w:sz w:val="32"/>
        </w:rPr>
        <w:t>Chapter 9: AI/ML Integration &amp; the Axiom Engine</w:t>
      </w:r>
    </w:p>
    <w:p>
      <w:pPr>
        <w:spacing w:after="160" w:line="360" w:lineRule="auto"/>
        <w:ind w:left="0"/>
        <w:jc w:val="both"/>
      </w:pPr>
      <w:r>
        <w:rPr>
          <w:rFonts w:ascii="Arial" w:hAnsi="Arial"/>
          <w:b w:val="0"/>
          <w:i w:val="0"/>
          <w:color w:val="1A1A1A"/>
          <w:sz w:val="22"/>
        </w:rPr>
        <w:t>The Axiom AI engine is the intelligence backbone of LPAI Nexus, providing the platform with capabilities that transcend conventional data dashboards. Axiom is designed as a contextual reasoning engine that understands operational semantics specific to land border management — cargo risk, immigration patterns, security threat levels, and trade policy implications.</w:t>
      </w:r>
    </w:p>
    <w:p>
      <w:pPr>
        <w:spacing w:before="320" w:after="80"/>
        <w:jc w:val="left"/>
      </w:pPr>
      <w:r>
        <w:rPr>
          <w:rFonts w:ascii="Arial" w:hAnsi="Arial"/>
          <w:b/>
          <w:color w:val="1A3A6A"/>
          <w:sz w:val="26"/>
        </w:rPr>
        <w:t>9.1 Axiom Briefing Engine</w:t>
      </w:r>
    </w:p>
    <w:p>
      <w:pPr>
        <w:spacing w:after="160" w:line="360" w:lineRule="auto"/>
        <w:ind w:left="0"/>
        <w:jc w:val="both"/>
      </w:pPr>
      <w:r>
        <w:rPr>
          <w:rFonts w:ascii="Arial" w:hAnsi="Arial"/>
          <w:b w:val="0"/>
          <w:i w:val="0"/>
          <w:color w:val="1A1A1A"/>
          <w:sz w:val="22"/>
        </w:rPr>
        <w:t>The Axiom Briefing Engine generates structured situational summaries for each module and the Overview dashboard. Each briefing is constructed from a template that references live operational metrics — risk counts, throughput changes, queue depths, incident rates — and presents them in the natural-language style of an experienced operations officer. Briefings are calibrated for a senior government official audience: concise, action-oriented, and free of technical jargon.</w:t>
      </w:r>
    </w:p>
    <w:p>
      <w:pPr>
        <w:spacing w:after="160" w:line="360" w:lineRule="auto"/>
        <w:ind w:left="0"/>
        <w:jc w:val="both"/>
      </w:pPr>
      <w:r>
        <w:rPr>
          <w:rFonts w:ascii="Arial" w:hAnsi="Arial"/>
          <w:b w:val="0"/>
          <w:i w:val="0"/>
          <w:color w:val="1A1A1A"/>
          <w:sz w:val="22"/>
        </w:rPr>
        <w:t>The briefing architecture uses a data-to-language mapping approach where specific metric thresholds trigger pre-calibrated narrative segments. For example, when high-risk consignment count exceeds 15, the cargo briefing automatically escalates its language to 'elevated concern' framing, ensuring the briefing tone matches the operational reality.</w:t>
      </w:r>
    </w:p>
    <w:p>
      <w:pPr>
        <w:spacing w:before="200" w:after="40"/>
        <w:jc w:val="left"/>
      </w:pPr>
      <w:r>
        <w:rPr>
          <w:rFonts w:ascii="Arial" w:hAnsi="Arial"/>
          <w:b/>
          <w:color w:val="D4881A"/>
          <w:sz w:val="22"/>
        </w:rPr>
        <w:t>Table 3: Axiom AI Engine — Component Capabilities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984"/>
            <w:shd w:val="clear" w:color="auto" w:fill="1A3A6A"/>
            <w:vAlign w:val="center"/>
          </w:tcPr>
          <w:p>
            <w:pPr>
              <w:jc w:val="center"/>
            </w:pPr>
            <w:r>
              <w:rPr>
                <w:rFonts w:ascii="Arial" w:hAnsi="Arial"/>
                <w:b/>
                <w:i w:val="0"/>
                <w:color w:val="FFFFFF"/>
                <w:sz w:val="20"/>
              </w:rPr>
              <w:t>Component</w:t>
            </w:r>
          </w:p>
        </w:tc>
        <w:tc>
          <w:tcPr>
            <w:tcW w:type="dxa" w:w="2268"/>
            <w:shd w:val="clear" w:color="auto" w:fill="1A3A6A"/>
            <w:vAlign w:val="center"/>
          </w:tcPr>
          <w:p>
            <w:pPr>
              <w:jc w:val="center"/>
            </w:pPr>
            <w:r>
              <w:rPr>
                <w:rFonts w:ascii="Arial" w:hAnsi="Arial"/>
                <w:b/>
                <w:i w:val="0"/>
                <w:color w:val="FFFFFF"/>
                <w:sz w:val="20"/>
              </w:rPr>
              <w:t>Capability</w:t>
            </w:r>
          </w:p>
        </w:tc>
        <w:tc>
          <w:tcPr>
            <w:tcW w:type="dxa" w:w="2268"/>
            <w:shd w:val="clear" w:color="auto" w:fill="1A3A6A"/>
            <w:vAlign w:val="center"/>
          </w:tcPr>
          <w:p>
            <w:pPr>
              <w:jc w:val="center"/>
            </w:pPr>
            <w:r>
              <w:rPr>
                <w:rFonts w:ascii="Arial" w:hAnsi="Arial"/>
                <w:b/>
                <w:i w:val="0"/>
                <w:color w:val="FFFFFF"/>
                <w:sz w:val="20"/>
              </w:rPr>
              <w:t>Data Inputs</w:t>
            </w:r>
          </w:p>
        </w:tc>
        <w:tc>
          <w:tcPr>
            <w:tcW w:type="dxa" w:w="1984"/>
            <w:shd w:val="clear" w:color="auto" w:fill="1A3A6A"/>
            <w:vAlign w:val="center"/>
          </w:tcPr>
          <w:p>
            <w:pPr>
              <w:jc w:val="center"/>
            </w:pPr>
            <w:r>
              <w:rPr>
                <w:rFonts w:ascii="Arial" w:hAnsi="Arial"/>
                <w:b/>
                <w:i w:val="0"/>
                <w:color w:val="FFFFFF"/>
                <w:sz w:val="20"/>
              </w:rPr>
              <w:t>Output</w:t>
            </w:r>
          </w:p>
        </w:tc>
      </w:tr>
      <w:tr>
        <w:tc>
          <w:tcPr>
            <w:tcW w:type="dxa" w:w="1984"/>
            <w:shd w:val="clear" w:color="auto" w:fill="F5F5F5"/>
          </w:tcPr>
          <w:p>
            <w:pPr>
              <w:jc w:val="left"/>
            </w:pPr>
            <w:r>
              <w:rPr>
                <w:rFonts w:ascii="Arial" w:hAnsi="Arial"/>
                <w:b w:val="0"/>
                <w:i w:val="0"/>
                <w:color w:val="1A1A1A"/>
                <w:sz w:val="20"/>
              </w:rPr>
              <w:t>Briefing Engine</w:t>
            </w:r>
          </w:p>
        </w:tc>
        <w:tc>
          <w:tcPr>
            <w:tcW w:type="dxa" w:w="2268"/>
            <w:shd w:val="clear" w:color="auto" w:fill="F5F5F5"/>
          </w:tcPr>
          <w:p>
            <w:pPr>
              <w:jc w:val="left"/>
            </w:pPr>
            <w:r>
              <w:rPr>
                <w:rFonts w:ascii="Arial" w:hAnsi="Arial"/>
                <w:b w:val="0"/>
                <w:i w:val="0"/>
                <w:color w:val="1A1A1A"/>
                <w:sz w:val="20"/>
              </w:rPr>
              <w:t>Natural-language situational summary</w:t>
            </w:r>
          </w:p>
        </w:tc>
        <w:tc>
          <w:tcPr>
            <w:tcW w:type="dxa" w:w="2268"/>
            <w:shd w:val="clear" w:color="auto" w:fill="F5F5F5"/>
          </w:tcPr>
          <w:p>
            <w:pPr>
              <w:jc w:val="left"/>
            </w:pPr>
            <w:r>
              <w:rPr>
                <w:rFonts w:ascii="Arial" w:hAnsi="Arial"/>
                <w:b w:val="0"/>
                <w:i w:val="0"/>
                <w:color w:val="1A1A1A"/>
                <w:sz w:val="20"/>
              </w:rPr>
              <w:t>All module KPIs, alerts</w:t>
            </w:r>
          </w:p>
        </w:tc>
        <w:tc>
          <w:tcPr>
            <w:tcW w:type="dxa" w:w="1984"/>
            <w:shd w:val="clear" w:color="auto" w:fill="F5F5F5"/>
          </w:tcPr>
          <w:p>
            <w:pPr>
              <w:jc w:val="left"/>
            </w:pPr>
            <w:r>
              <w:rPr>
                <w:rFonts w:ascii="Arial" w:hAnsi="Arial"/>
                <w:b w:val="0"/>
                <w:i w:val="0"/>
                <w:color w:val="1A1A1A"/>
                <w:sz w:val="20"/>
              </w:rPr>
              <w:t>Text briefing, 3–5 sentences</w:t>
            </w:r>
          </w:p>
        </w:tc>
      </w:tr>
      <w:tr>
        <w:tc>
          <w:tcPr>
            <w:tcW w:type="dxa" w:w="1984"/>
            <w:shd w:val="clear" w:color="auto" w:fill="FFFFFF"/>
          </w:tcPr>
          <w:p>
            <w:pPr>
              <w:jc w:val="left"/>
            </w:pPr>
            <w:r>
              <w:rPr>
                <w:rFonts w:ascii="Arial" w:hAnsi="Arial"/>
                <w:b w:val="0"/>
                <w:i w:val="0"/>
                <w:color w:val="1A1A1A"/>
                <w:sz w:val="20"/>
              </w:rPr>
              <w:t>Risk Scorer</w:t>
            </w:r>
          </w:p>
        </w:tc>
        <w:tc>
          <w:tcPr>
            <w:tcW w:type="dxa" w:w="2268"/>
            <w:shd w:val="clear" w:color="auto" w:fill="FFFFFF"/>
          </w:tcPr>
          <w:p>
            <w:pPr>
              <w:jc w:val="left"/>
            </w:pPr>
            <w:r>
              <w:rPr>
                <w:rFonts w:ascii="Arial" w:hAnsi="Arial"/>
                <w:b w:val="0"/>
                <w:i w:val="0"/>
                <w:color w:val="1A1A1A"/>
                <w:sz w:val="20"/>
              </w:rPr>
              <w:t>Consignment risk classification (0–100)</w:t>
            </w:r>
          </w:p>
        </w:tc>
        <w:tc>
          <w:tcPr>
            <w:tcW w:type="dxa" w:w="2268"/>
            <w:shd w:val="clear" w:color="auto" w:fill="FFFFFF"/>
          </w:tcPr>
          <w:p>
            <w:pPr>
              <w:jc w:val="left"/>
            </w:pPr>
            <w:r>
              <w:rPr>
                <w:rFonts w:ascii="Arial" w:hAnsi="Arial"/>
                <w:b w:val="0"/>
                <w:i w:val="0"/>
                <w:color w:val="1A1A1A"/>
                <w:sz w:val="20"/>
              </w:rPr>
              <w:t>Origin, commodity, value, history</w:t>
            </w:r>
          </w:p>
        </w:tc>
        <w:tc>
          <w:tcPr>
            <w:tcW w:type="dxa" w:w="1984"/>
            <w:shd w:val="clear" w:color="auto" w:fill="FFFFFF"/>
          </w:tcPr>
          <w:p>
            <w:pPr>
              <w:jc w:val="left"/>
            </w:pPr>
            <w:r>
              <w:rPr>
                <w:rFonts w:ascii="Arial" w:hAnsi="Arial"/>
                <w:b w:val="0"/>
                <w:i w:val="0"/>
                <w:color w:val="1A1A1A"/>
                <w:sz w:val="20"/>
              </w:rPr>
              <w:t>Risk score + band + reason</w:t>
            </w:r>
          </w:p>
        </w:tc>
      </w:tr>
      <w:tr>
        <w:tc>
          <w:tcPr>
            <w:tcW w:type="dxa" w:w="1984"/>
            <w:shd w:val="clear" w:color="auto" w:fill="F5F5F5"/>
          </w:tcPr>
          <w:p>
            <w:pPr>
              <w:jc w:val="left"/>
            </w:pPr>
            <w:r>
              <w:rPr>
                <w:rFonts w:ascii="Arial" w:hAnsi="Arial"/>
                <w:b w:val="0"/>
                <w:i w:val="0"/>
                <w:color w:val="1A1A1A"/>
                <w:sz w:val="20"/>
              </w:rPr>
              <w:t>Queue Predictor</w:t>
            </w:r>
          </w:p>
        </w:tc>
        <w:tc>
          <w:tcPr>
            <w:tcW w:type="dxa" w:w="2268"/>
            <w:shd w:val="clear" w:color="auto" w:fill="F5F5F5"/>
          </w:tcPr>
          <w:p>
            <w:pPr>
              <w:jc w:val="left"/>
            </w:pPr>
            <w:r>
              <w:rPr>
                <w:rFonts w:ascii="Arial" w:hAnsi="Arial"/>
                <w:b w:val="0"/>
                <w:i w:val="0"/>
                <w:color w:val="1A1A1A"/>
                <w:sz w:val="20"/>
              </w:rPr>
              <w:t>4-hour queue depth forecast</w:t>
            </w:r>
          </w:p>
        </w:tc>
        <w:tc>
          <w:tcPr>
            <w:tcW w:type="dxa" w:w="2268"/>
            <w:shd w:val="clear" w:color="auto" w:fill="F5F5F5"/>
          </w:tcPr>
          <w:p>
            <w:pPr>
              <w:jc w:val="left"/>
            </w:pPr>
            <w:r>
              <w:rPr>
                <w:rFonts w:ascii="Arial" w:hAnsi="Arial"/>
                <w:b w:val="0"/>
                <w:i w:val="0"/>
                <w:color w:val="1A1A1A"/>
                <w:sz w:val="20"/>
              </w:rPr>
              <w:t>Arrival rate, staffing, historical</w:t>
            </w:r>
          </w:p>
        </w:tc>
        <w:tc>
          <w:tcPr>
            <w:tcW w:type="dxa" w:w="1984"/>
            <w:shd w:val="clear" w:color="auto" w:fill="F5F5F5"/>
          </w:tcPr>
          <w:p>
            <w:pPr>
              <w:jc w:val="left"/>
            </w:pPr>
            <w:r>
              <w:rPr>
                <w:rFonts w:ascii="Arial" w:hAnsi="Arial"/>
                <w:b w:val="0"/>
                <w:i w:val="0"/>
                <w:color w:val="1A1A1A"/>
                <w:sz w:val="20"/>
              </w:rPr>
              <w:t>Queue depth per counter</w:t>
            </w:r>
          </w:p>
        </w:tc>
      </w:tr>
      <w:tr>
        <w:tc>
          <w:tcPr>
            <w:tcW w:type="dxa" w:w="1984"/>
            <w:shd w:val="clear" w:color="auto" w:fill="FFFFFF"/>
          </w:tcPr>
          <w:p>
            <w:pPr>
              <w:jc w:val="left"/>
            </w:pPr>
            <w:r>
              <w:rPr>
                <w:rFonts w:ascii="Arial" w:hAnsi="Arial"/>
                <w:b w:val="0"/>
                <w:i w:val="0"/>
                <w:color w:val="1A1A1A"/>
                <w:sz w:val="20"/>
              </w:rPr>
              <w:t>Anomaly Detector</w:t>
            </w:r>
          </w:p>
        </w:tc>
        <w:tc>
          <w:tcPr>
            <w:tcW w:type="dxa" w:w="2268"/>
            <w:shd w:val="clear" w:color="auto" w:fill="FFFFFF"/>
          </w:tcPr>
          <w:p>
            <w:pPr>
              <w:jc w:val="left"/>
            </w:pPr>
            <w:r>
              <w:rPr>
                <w:rFonts w:ascii="Arial" w:hAnsi="Arial"/>
                <w:b w:val="0"/>
                <w:i w:val="0"/>
                <w:color w:val="1A1A1A"/>
                <w:sz w:val="20"/>
              </w:rPr>
              <w:t>Statistical outlier identification</w:t>
            </w:r>
          </w:p>
        </w:tc>
        <w:tc>
          <w:tcPr>
            <w:tcW w:type="dxa" w:w="2268"/>
            <w:shd w:val="clear" w:color="auto" w:fill="FFFFFF"/>
          </w:tcPr>
          <w:p>
            <w:pPr>
              <w:jc w:val="left"/>
            </w:pPr>
            <w:r>
              <w:rPr>
                <w:rFonts w:ascii="Arial" w:hAnsi="Arial"/>
                <w:b w:val="0"/>
                <w:i w:val="0"/>
                <w:color w:val="1A1A1A"/>
                <w:sz w:val="20"/>
              </w:rPr>
              <w:t>Transaction stream, baselines</w:t>
            </w:r>
          </w:p>
        </w:tc>
        <w:tc>
          <w:tcPr>
            <w:tcW w:type="dxa" w:w="1984"/>
            <w:shd w:val="clear" w:color="auto" w:fill="FFFFFF"/>
          </w:tcPr>
          <w:p>
            <w:pPr>
              <w:jc w:val="left"/>
            </w:pPr>
            <w:r>
              <w:rPr>
                <w:rFonts w:ascii="Arial" w:hAnsi="Arial"/>
                <w:b w:val="0"/>
                <w:i w:val="0"/>
                <w:color w:val="1A1A1A"/>
                <w:sz w:val="20"/>
              </w:rPr>
              <w:t>Anomaly description + confidence</w:t>
            </w:r>
          </w:p>
        </w:tc>
      </w:tr>
      <w:tr>
        <w:tc>
          <w:tcPr>
            <w:tcW w:type="dxa" w:w="1984"/>
            <w:shd w:val="clear" w:color="auto" w:fill="F5F5F5"/>
          </w:tcPr>
          <w:p>
            <w:pPr>
              <w:jc w:val="left"/>
            </w:pPr>
            <w:r>
              <w:rPr>
                <w:rFonts w:ascii="Arial" w:hAnsi="Arial"/>
                <w:b w:val="0"/>
                <w:i w:val="0"/>
                <w:color w:val="1A1A1A"/>
                <w:sz w:val="20"/>
              </w:rPr>
              <w:t>Lane Optimizer</w:t>
            </w:r>
          </w:p>
        </w:tc>
        <w:tc>
          <w:tcPr>
            <w:tcW w:type="dxa" w:w="2268"/>
            <w:shd w:val="clear" w:color="auto" w:fill="F5F5F5"/>
          </w:tcPr>
          <w:p>
            <w:pPr>
              <w:jc w:val="left"/>
            </w:pPr>
            <w:r>
              <w:rPr>
                <w:rFonts w:ascii="Arial" w:hAnsi="Arial"/>
                <w:b w:val="0"/>
                <w:i w:val="0"/>
                <w:color w:val="1A1A1A"/>
                <w:sz w:val="20"/>
              </w:rPr>
              <w:t>Dynamic lane allocation recommendation</w:t>
            </w:r>
          </w:p>
        </w:tc>
        <w:tc>
          <w:tcPr>
            <w:tcW w:type="dxa" w:w="2268"/>
            <w:shd w:val="clear" w:color="auto" w:fill="F5F5F5"/>
          </w:tcPr>
          <w:p>
            <w:pPr>
              <w:jc w:val="left"/>
            </w:pPr>
            <w:r>
              <w:rPr>
                <w:rFonts w:ascii="Arial" w:hAnsi="Arial"/>
                <w:b w:val="0"/>
                <w:i w:val="0"/>
                <w:color w:val="1A1A1A"/>
                <w:sz w:val="20"/>
              </w:rPr>
              <w:t>Vehicle counts, queue depth, type mix</w:t>
            </w:r>
          </w:p>
        </w:tc>
        <w:tc>
          <w:tcPr>
            <w:tcW w:type="dxa" w:w="1984"/>
            <w:shd w:val="clear" w:color="auto" w:fill="F5F5F5"/>
          </w:tcPr>
          <w:p>
            <w:pPr>
              <w:jc w:val="left"/>
            </w:pPr>
            <w:r>
              <w:rPr>
                <w:rFonts w:ascii="Arial" w:hAnsi="Arial"/>
                <w:b w:val="0"/>
                <w:i w:val="0"/>
                <w:color w:val="1A1A1A"/>
                <w:sz w:val="20"/>
              </w:rPr>
              <w:t>Lane action recommendation</w:t>
            </w:r>
          </w:p>
        </w:tc>
      </w:tr>
      <w:tr>
        <w:tc>
          <w:tcPr>
            <w:tcW w:type="dxa" w:w="1984"/>
            <w:shd w:val="clear" w:color="auto" w:fill="FFFFFF"/>
          </w:tcPr>
          <w:p>
            <w:pPr>
              <w:jc w:val="left"/>
            </w:pPr>
            <w:r>
              <w:rPr>
                <w:rFonts w:ascii="Arial" w:hAnsi="Arial"/>
                <w:b w:val="0"/>
                <w:i w:val="0"/>
                <w:color w:val="1A1A1A"/>
                <w:sz w:val="20"/>
              </w:rPr>
              <w:t>Trend Analyst</w:t>
            </w:r>
          </w:p>
        </w:tc>
        <w:tc>
          <w:tcPr>
            <w:tcW w:type="dxa" w:w="2268"/>
            <w:shd w:val="clear" w:color="auto" w:fill="FFFFFF"/>
          </w:tcPr>
          <w:p>
            <w:pPr>
              <w:jc w:val="left"/>
            </w:pPr>
            <w:r>
              <w:rPr>
                <w:rFonts w:ascii="Arial" w:hAnsi="Arial"/>
                <w:b w:val="0"/>
                <w:i w:val="0"/>
                <w:color w:val="1A1A1A"/>
                <w:sz w:val="20"/>
              </w:rPr>
              <w:t>12-month trade pattern analysis</w:t>
            </w:r>
          </w:p>
        </w:tc>
        <w:tc>
          <w:tcPr>
            <w:tcW w:type="dxa" w:w="2268"/>
            <w:shd w:val="clear" w:color="auto" w:fill="FFFFFF"/>
          </w:tcPr>
          <w:p>
            <w:pPr>
              <w:jc w:val="left"/>
            </w:pPr>
            <w:r>
              <w:rPr>
                <w:rFonts w:ascii="Arial" w:hAnsi="Arial"/>
                <w:b w:val="0"/>
                <w:i w:val="0"/>
                <w:color w:val="1A1A1A"/>
                <w:sz w:val="20"/>
              </w:rPr>
              <w:t>Monthly trade volumes, ICP data</w:t>
            </w:r>
          </w:p>
        </w:tc>
        <w:tc>
          <w:tcPr>
            <w:tcW w:type="dxa" w:w="1984"/>
            <w:shd w:val="clear" w:color="auto" w:fill="FFFFFF"/>
          </w:tcPr>
          <w:p>
            <w:pPr>
              <w:jc w:val="left"/>
            </w:pPr>
            <w:r>
              <w:rPr>
                <w:rFonts w:ascii="Arial" w:hAnsi="Arial"/>
                <w:b w:val="0"/>
                <w:i w:val="0"/>
                <w:color w:val="1A1A1A"/>
                <w:sz w:val="20"/>
              </w:rPr>
              <w:t>Trend summary + risk flags</w:t>
            </w:r>
          </w:p>
        </w:tc>
      </w:tr>
      <w:tr>
        <w:tc>
          <w:tcPr>
            <w:tcW w:type="dxa" w:w="1984"/>
            <w:shd w:val="clear" w:color="auto" w:fill="F5F5F5"/>
          </w:tcPr>
          <w:p>
            <w:pPr>
              <w:jc w:val="left"/>
            </w:pPr>
            <w:r>
              <w:rPr>
                <w:rFonts w:ascii="Arial" w:hAnsi="Arial"/>
                <w:b w:val="0"/>
                <w:i w:val="0"/>
                <w:color w:val="1A1A1A"/>
                <w:sz w:val="20"/>
              </w:rPr>
              <w:t>Alert Classifier</w:t>
            </w:r>
          </w:p>
        </w:tc>
        <w:tc>
          <w:tcPr>
            <w:tcW w:type="dxa" w:w="2268"/>
            <w:shd w:val="clear" w:color="auto" w:fill="F5F5F5"/>
          </w:tcPr>
          <w:p>
            <w:pPr>
              <w:jc w:val="left"/>
            </w:pPr>
            <w:r>
              <w:rPr>
                <w:rFonts w:ascii="Arial" w:hAnsi="Arial"/>
                <w:b w:val="0"/>
                <w:i w:val="0"/>
                <w:color w:val="1A1A1A"/>
                <w:sz w:val="20"/>
              </w:rPr>
              <w:t>Security incident severity grading</w:t>
            </w:r>
          </w:p>
        </w:tc>
        <w:tc>
          <w:tcPr>
            <w:tcW w:type="dxa" w:w="2268"/>
            <w:shd w:val="clear" w:color="auto" w:fill="F5F5F5"/>
          </w:tcPr>
          <w:p>
            <w:pPr>
              <w:jc w:val="left"/>
            </w:pPr>
            <w:r>
              <w:rPr>
                <w:rFonts w:ascii="Arial" w:hAnsi="Arial"/>
                <w:b w:val="0"/>
                <w:i w:val="0"/>
                <w:color w:val="1A1A1A"/>
                <w:sz w:val="20"/>
              </w:rPr>
              <w:t>Camera alerts, sensor data</w:t>
            </w:r>
          </w:p>
        </w:tc>
        <w:tc>
          <w:tcPr>
            <w:tcW w:type="dxa" w:w="1984"/>
            <w:shd w:val="clear" w:color="auto" w:fill="F5F5F5"/>
          </w:tcPr>
          <w:p>
            <w:pPr>
              <w:jc w:val="left"/>
            </w:pPr>
            <w:r>
              <w:rPr>
                <w:rFonts w:ascii="Arial" w:hAnsi="Arial"/>
                <w:b w:val="0"/>
                <w:i w:val="0"/>
                <w:color w:val="1A1A1A"/>
                <w:sz w:val="20"/>
              </w:rPr>
              <w:t>Level 1/2/3 classification</w:t>
            </w:r>
          </w:p>
        </w:tc>
      </w:tr>
    </w:tbl>
    <w:p/>
    <w:p>
      <w:pPr>
        <w:spacing w:before="320" w:after="80"/>
        <w:jc w:val="left"/>
      </w:pPr>
      <w:r>
        <w:rPr>
          <w:rFonts w:ascii="Arial" w:hAnsi="Arial"/>
          <w:b/>
          <w:color w:val="1A3A6A"/>
          <w:sz w:val="26"/>
        </w:rPr>
        <w:t>9.2 Risk Scoring Algorithm</w:t>
      </w:r>
    </w:p>
    <w:p>
      <w:pPr>
        <w:spacing w:after="160" w:line="360" w:lineRule="auto"/>
        <w:ind w:left="0"/>
        <w:jc w:val="both"/>
      </w:pPr>
      <w:r>
        <w:rPr>
          <w:rFonts w:ascii="Arial" w:hAnsi="Arial"/>
          <w:b w:val="0"/>
          <w:i w:val="0"/>
          <w:color w:val="1A1A1A"/>
          <w:sz w:val="22"/>
        </w:rPr>
        <w:t>The cargo risk scoring algorithm is a weighted multi-factor model incorporating six primary risk dimensions: Country of Origin Risk (25%), Commodity Risk Category (20%), Declared Value Variance (20%), Importer History Score (15%), Intelligence Flags (15%), and Documentation Completeness (5%). Each dimension is scored independently and the composite score is computed using a weighted sum with non-linear escalation for intelligence flag matches, ensuring that NATGRID alerts can trigger high-risk classification regardless of other factor scores.</w:t>
      </w:r>
    </w:p>
    <w:p>
      <w:pPr>
        <w:spacing w:before="320" w:after="80"/>
        <w:jc w:val="left"/>
      </w:pPr>
      <w:r>
        <w:rPr>
          <w:rFonts w:ascii="Arial" w:hAnsi="Arial"/>
          <w:b/>
          <w:color w:val="1A3A6A"/>
          <w:sz w:val="26"/>
        </w:rPr>
        <w:t>9.3 Predictive Analytics Infrastructure</w:t>
      </w:r>
    </w:p>
    <w:p>
      <w:pPr>
        <w:spacing w:after="160" w:line="360" w:lineRule="auto"/>
        <w:ind w:left="0"/>
        <w:jc w:val="both"/>
      </w:pPr>
      <w:r>
        <w:rPr>
          <w:rFonts w:ascii="Arial" w:hAnsi="Arial"/>
          <w:b w:val="0"/>
          <w:i w:val="0"/>
          <w:color w:val="1A1A1A"/>
          <w:sz w:val="22"/>
        </w:rPr>
        <w:t>The predictive layer is built on time-series analysis of historical ICP traffic patterns, calibrated for day-of-week, seasonal, and festival-period effects. The queue prediction model uses an exponential smoothing approach with adaptive parameters that self-calibrate based on recent prediction accuracy. In the current proof-of-concept implementation, predictions are generated from the structured mock data; the production system will ingest live ITMS and immigration counter data via secure API streams.</w:t>
      </w:r>
    </w:p>
    <w:p>
      <w:r>
        <w:br w:type="page"/>
      </w:r>
    </w:p>
    <w:p>
      <w:pPr>
        <w:spacing w:before="480" w:after="120"/>
        <w:jc w:val="left"/>
        <w:pBdr>
          <w:bottom w:val="single" w:sz="8" w:space="4" w:color="1A3A6A"/>
        </w:pBdr>
      </w:pPr>
      <w:r>
        <w:rPr>
          <w:rFonts w:ascii="Arial" w:hAnsi="Arial"/>
          <w:b/>
          <w:color w:val="1A3A6A"/>
          <w:sz w:val="32"/>
        </w:rPr>
        <w:t>Chapter 10: Guided Walkthrough System</w:t>
      </w:r>
    </w:p>
    <w:p>
      <w:pPr>
        <w:spacing w:after="160" w:line="360" w:lineRule="auto"/>
        <w:ind w:left="0"/>
        <w:jc w:val="both"/>
      </w:pPr>
      <w:r>
        <w:rPr>
          <w:rFonts w:ascii="Arial" w:hAnsi="Arial"/>
          <w:b w:val="0"/>
          <w:i w:val="0"/>
          <w:color w:val="1A1A1A"/>
          <w:sz w:val="22"/>
        </w:rPr>
        <w:t>A critical deliverable of the LPAI Nexus internship project was the design and implementation of a 45-step interactive guided walkthrough system, purpose-built for demonstrations to senior IAS/Secretary-level officials who may be encountering the platform for the first time. The system draws inspiration from enterprise onboarding patterns used in Salesforce, Jira, and similar platforms, adapted for the government operational context.</w:t>
      </w:r>
    </w:p>
    <w:p>
      <w:pPr>
        <w:jc w:val="center"/>
      </w:pPr>
      <w:r>
        <w:drawing>
          <wp:inline xmlns:a="http://schemas.openxmlformats.org/drawingml/2006/main" xmlns:pic="http://schemas.openxmlformats.org/drawingml/2006/picture">
            <wp:extent cx="5303520" cy="4481934"/>
            <wp:docPr id="8" name="Picture 8"/>
            <wp:cNvGraphicFramePr>
              <a:graphicFrameLocks noChangeAspect="1"/>
            </wp:cNvGraphicFramePr>
            <a:graphic>
              <a:graphicData uri="http://schemas.openxmlformats.org/drawingml/2006/picture">
                <pic:pic>
                  <pic:nvPicPr>
                    <pic:cNvPr id="0" name="screenshot-walkthrough.png"/>
                    <pic:cNvPicPr/>
                  </pic:nvPicPr>
                  <pic:blipFill>
                    <a:blip r:embed="rId16"/>
                    <a:stretch>
                      <a:fillRect/>
                    </a:stretch>
                  </pic:blipFill>
                  <pic:spPr>
                    <a:xfrm>
                      <a:off x="0" y="0"/>
                      <a:ext cx="5303520" cy="4481934"/>
                    </a:xfrm>
                    <a:prstGeom prst="rect"/>
                  </pic:spPr>
                </pic:pic>
              </a:graphicData>
            </a:graphic>
          </wp:inline>
        </w:drawing>
      </w:r>
    </w:p>
    <w:p>
      <w:pPr>
        <w:spacing w:after="280"/>
        <w:jc w:val="center"/>
      </w:pPr>
      <w:r>
        <w:rPr>
          <w:rFonts w:ascii="Arial" w:hAnsi="Arial"/>
          <w:b w:val="0"/>
          <w:i/>
          <w:color w:val="555555"/>
          <w:sz w:val="18"/>
        </w:rPr>
        <w:t>Figure 7: Guided Walkthrough System — Spotlight Overlay with Module Navigation</w:t>
      </w:r>
    </w:p>
    <w:p>
      <w:pPr>
        <w:spacing w:before="320" w:after="80"/>
        <w:jc w:val="left"/>
      </w:pPr>
      <w:r>
        <w:rPr>
          <w:rFonts w:ascii="Arial" w:hAnsi="Arial"/>
          <w:b/>
          <w:color w:val="1A3A6A"/>
          <w:sz w:val="26"/>
        </w:rPr>
        <w:t>10.1 Technical Architecture</w:t>
      </w:r>
    </w:p>
    <w:p>
      <w:pPr>
        <w:spacing w:after="160" w:line="360" w:lineRule="auto"/>
        <w:ind w:left="0"/>
        <w:jc w:val="both"/>
      </w:pPr>
      <w:r>
        <w:rPr>
          <w:rFonts w:ascii="Arial" w:hAnsi="Arial"/>
          <w:b w:val="0"/>
          <w:i w:val="0"/>
          <w:color w:val="1A1A1A"/>
          <w:sz w:val="22"/>
        </w:rPr>
        <w:t>The walkthrough system is implemented as a self-contained React component suite: walkthroughSteps.js (45-step definition array), useWalkthrough.js (state management hook), WalkthroughOverlay.jsx (spotlight effect renderer), WalkthroughTooltip.jsx (positioned instruction cards), and WalkthroughController.jsx (orchestration layer). The system uses getBoundingClientRect() for pixel-precise element targeting and CSS box-shadow for the spotlight cutout effect.</w:t>
      </w:r>
    </w:p>
    <w:p>
      <w:pPr>
        <w:spacing w:after="160" w:line="360" w:lineRule="auto"/>
        <w:ind w:left="0"/>
        <w:jc w:val="both"/>
      </w:pPr>
      <w:r>
        <w:rPr>
          <w:rFonts w:ascii="Arial" w:hAnsi="Arial"/>
          <w:b w:val="0"/>
          <w:i w:val="0"/>
          <w:color w:val="1A1A1A"/>
          <w:sz w:val="22"/>
        </w:rPr>
        <w:t>The 45 steps are categorised into three types: center steps (full-screen cards for introductory and concluding content), transition steps (module navigation with loading animation, auto-advancing after 2000ms), and default steps (element-targeted spotlight with positioned tooltip). The system handles keyboard navigation (ArrowLeft/Right, Space, Escape), mobile responsive positioning, and localStorage persistence of tour completion state.</w:t>
      </w:r>
    </w:p>
    <w:p>
      <w:pPr>
        <w:spacing w:before="320" w:after="80"/>
        <w:jc w:val="left"/>
      </w:pPr>
      <w:r>
        <w:rPr>
          <w:rFonts w:ascii="Arial" w:hAnsi="Arial"/>
          <w:b/>
          <w:color w:val="1A3A6A"/>
          <w:sz w:val="26"/>
        </w:rPr>
        <w:t>10.2 Step Distribution</w:t>
      </w:r>
    </w:p>
    <w:p>
      <w:pPr>
        <w:spacing w:after="160" w:line="360" w:lineRule="auto"/>
        <w:ind w:left="0"/>
        <w:jc w:val="both"/>
      </w:pPr>
      <w:r>
        <w:rPr>
          <w:rFonts w:ascii="Arial" w:hAnsi="Arial"/>
          <w:b w:val="0"/>
          <w:i w:val="0"/>
          <w:color w:val="1A1A1A"/>
          <w:sz w:val="22"/>
        </w:rPr>
        <w:t>The 45 walkthrough steps are structured as: 3 introductory center steps, 3 navigation element steps, 6 Overview module steps, 7 Cargo module steps, 6 Immigration module steps, 4 Surveillance module steps, 4 Vehicle module steps, 5 Analytics module steps, 5 module transition animation steps, and 1 concluding center step. Each module group is preceded by a transition step that navigates the user to the correct module with a loading animation.</w:t>
      </w:r>
    </w:p>
    <w:p>
      <w:pPr>
        <w:spacing w:before="320" w:after="80"/>
        <w:jc w:val="left"/>
      </w:pPr>
      <w:r>
        <w:rPr>
          <w:rFonts w:ascii="Arial" w:hAnsi="Arial"/>
          <w:b/>
          <w:color w:val="1A3A6A"/>
          <w:sz w:val="26"/>
        </w:rPr>
        <w:t>10.3 User Experience Design</w:t>
      </w:r>
    </w:p>
    <w:p>
      <w:pPr>
        <w:spacing w:after="160" w:line="360" w:lineRule="auto"/>
        <w:ind w:left="0"/>
        <w:jc w:val="both"/>
      </w:pPr>
      <w:r>
        <w:rPr>
          <w:rFonts w:ascii="Arial" w:hAnsi="Arial"/>
          <w:b w:val="0"/>
          <w:i w:val="0"/>
          <w:color w:val="1A1A1A"/>
          <w:sz w:val="22"/>
        </w:rPr>
        <w:t>The walkthrough interface is calibrated for senior official audiences: large, readable text at Pt(11) minimum, emoji-enhanced step badges for visual anchoring, progress bar with completion percentage, previous/next navigation with keyboard equivalents clearly displayed, and an always-visible exit option. The spotlight effect uses a 78% opacity dark overlay with a transparent cutout precisely sized to the target element, with a pulsing cyan border to draw attention to the highlighted feature.</w:t>
      </w:r>
    </w:p>
    <w:p>
      <w:r>
        <w:br w:type="page"/>
      </w:r>
    </w:p>
    <w:p>
      <w:pPr>
        <w:spacing w:before="480" w:after="120"/>
        <w:jc w:val="left"/>
        <w:pBdr>
          <w:bottom w:val="single" w:sz="8" w:space="4" w:color="1A3A6A"/>
        </w:pBdr>
      </w:pPr>
      <w:r>
        <w:rPr>
          <w:rFonts w:ascii="Arial" w:hAnsi="Arial"/>
          <w:b/>
          <w:color w:val="1A3A6A"/>
          <w:sz w:val="32"/>
        </w:rPr>
        <w:t>Chapter 11: Observations and Recommendations</w:t>
      </w:r>
    </w:p>
    <w:p>
      <w:pPr>
        <w:spacing w:before="320" w:after="80"/>
        <w:jc w:val="left"/>
      </w:pPr>
      <w:r>
        <w:rPr>
          <w:rFonts w:ascii="Arial" w:hAnsi="Arial"/>
          <w:b/>
          <w:color w:val="1A3A6A"/>
          <w:sz w:val="26"/>
        </w:rPr>
        <w:t>11.1 Key Observations</w:t>
      </w:r>
    </w:p>
    <w:p>
      <w:pPr>
        <w:pStyle w:val="ListBullet"/>
        <w:spacing w:after="80"/>
        <w:ind w:left="283"/>
        <w:jc w:val="left"/>
      </w:pPr>
      <w:r>
        <w:rPr>
          <w:rFonts w:ascii="Arial" w:hAnsi="Arial"/>
          <w:b w:val="0"/>
          <w:i w:val="0"/>
          <w:color w:val="1A1A1A"/>
          <w:sz w:val="22"/>
        </w:rPr>
        <w:t>The absence of a unified data platform across ICPs is the single largest obstacle to strategic decision-making at LPAI headquarters. Senior officers currently rely on emailed PDF reports and telephonic briefings, creating delays of 12–48 hours in information availability.</w:t>
      </w:r>
    </w:p>
    <w:p>
      <w:pPr>
        <w:pStyle w:val="ListBullet"/>
        <w:spacing w:after="80"/>
        <w:ind w:left="283"/>
        <w:jc w:val="left"/>
      </w:pPr>
      <w:r>
        <w:rPr>
          <w:rFonts w:ascii="Arial" w:hAnsi="Arial"/>
          <w:b w:val="0"/>
          <w:i w:val="0"/>
          <w:color w:val="1A1A1A"/>
          <w:sz w:val="22"/>
        </w:rPr>
        <w:t>Border management data is inherently multi-modal — combining cargo manifests, biometric records, vehicle registrations, and security alerts — requiring a purpose-built integration layer rather than adaptation of generic BI tools.</w:t>
      </w:r>
    </w:p>
    <w:p>
      <w:pPr>
        <w:pStyle w:val="ListBullet"/>
        <w:spacing w:after="80"/>
        <w:ind w:left="283"/>
        <w:jc w:val="left"/>
      </w:pPr>
      <w:r>
        <w:rPr>
          <w:rFonts w:ascii="Arial" w:hAnsi="Arial"/>
          <w:b w:val="0"/>
          <w:i w:val="0"/>
          <w:color w:val="1A1A1A"/>
          <w:sz w:val="22"/>
        </w:rPr>
        <w:t>AI-powered briefings were received positively in internal demos: the ability to receive a 3-sentence situational summary instead of reading a 5-page report was identified as a high-value capability by all stakeholders.</w:t>
      </w:r>
    </w:p>
    <w:p>
      <w:pPr>
        <w:pStyle w:val="ListBullet"/>
        <w:spacing w:after="80"/>
        <w:ind w:left="283"/>
        <w:jc w:val="left"/>
      </w:pPr>
      <w:r>
        <w:rPr>
          <w:rFonts w:ascii="Arial" w:hAnsi="Arial"/>
          <w:b w:val="0"/>
          <w:i w:val="0"/>
          <w:color w:val="1A1A1A"/>
          <w:sz w:val="22"/>
        </w:rPr>
        <w:t>The 45-step walkthrough system proved essential for onboarding non-technical senior officials. Demonstrations without the walkthrough required 20–30 minutes of manual explanation; with the walkthrough, key features could be communicated in under 8 minutes.</w:t>
      </w:r>
    </w:p>
    <w:p>
      <w:pPr>
        <w:pStyle w:val="ListBullet"/>
        <w:spacing w:after="80"/>
        <w:ind w:left="283"/>
        <w:jc w:val="left"/>
      </w:pPr>
      <w:r>
        <w:rPr>
          <w:rFonts w:ascii="Arial" w:hAnsi="Arial"/>
          <w:b w:val="0"/>
          <w:i w:val="0"/>
          <w:color w:val="1A1A1A"/>
          <w:sz w:val="22"/>
        </w:rPr>
        <w:t>Mobile responsiveness is critical: several senior officials accessed the demo environment from mobile devices, and the responsive design ensured full functionality without degradation.</w:t>
      </w:r>
    </w:p>
    <w:p>
      <w:pPr>
        <w:spacing w:before="320" w:after="80"/>
        <w:jc w:val="left"/>
      </w:pPr>
      <w:r>
        <w:rPr>
          <w:rFonts w:ascii="Arial" w:hAnsi="Arial"/>
          <w:b/>
          <w:color w:val="1A3A6A"/>
          <w:sz w:val="26"/>
        </w:rPr>
        <w:t>11.2 Recommendations for Phase 2 Development</w:t>
      </w:r>
    </w:p>
    <w:p>
      <w:pPr>
        <w:spacing w:before="200" w:after="40"/>
        <w:jc w:val="left"/>
      </w:pPr>
      <w:r>
        <w:rPr>
          <w:rFonts w:ascii="Arial" w:hAnsi="Arial"/>
          <w:b/>
          <w:color w:val="D4881A"/>
          <w:sz w:val="22"/>
        </w:rPr>
        <w:t>Table 4: Recommended Phase 2 Enhancements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020"/>
            <w:shd w:val="clear" w:color="auto" w:fill="1A3A6A"/>
            <w:vAlign w:val="center"/>
          </w:tcPr>
          <w:p>
            <w:pPr>
              <w:jc w:val="center"/>
            </w:pPr>
            <w:r>
              <w:rPr>
                <w:rFonts w:ascii="Arial" w:hAnsi="Arial"/>
                <w:b/>
                <w:i w:val="0"/>
                <w:color w:val="FFFFFF"/>
                <w:sz w:val="20"/>
              </w:rPr>
              <w:t>Priority</w:t>
            </w:r>
          </w:p>
        </w:tc>
        <w:tc>
          <w:tcPr>
            <w:tcW w:type="dxa" w:w="2268"/>
            <w:shd w:val="clear" w:color="auto" w:fill="1A3A6A"/>
            <w:vAlign w:val="center"/>
          </w:tcPr>
          <w:p>
            <w:pPr>
              <w:jc w:val="center"/>
            </w:pPr>
            <w:r>
              <w:rPr>
                <w:rFonts w:ascii="Arial" w:hAnsi="Arial"/>
                <w:b/>
                <w:i w:val="0"/>
                <w:color w:val="FFFFFF"/>
                <w:sz w:val="20"/>
              </w:rPr>
              <w:t>Enhancement</w:t>
            </w:r>
          </w:p>
        </w:tc>
        <w:tc>
          <w:tcPr>
            <w:tcW w:type="dxa" w:w="2835"/>
            <w:shd w:val="clear" w:color="auto" w:fill="1A3A6A"/>
            <w:vAlign w:val="center"/>
          </w:tcPr>
          <w:p>
            <w:pPr>
              <w:jc w:val="center"/>
            </w:pPr>
            <w:r>
              <w:rPr>
                <w:rFonts w:ascii="Arial" w:hAnsi="Arial"/>
                <w:b/>
                <w:i w:val="0"/>
                <w:color w:val="FFFFFF"/>
                <w:sz w:val="20"/>
              </w:rPr>
              <w:t>Rationale</w:t>
            </w:r>
          </w:p>
        </w:tc>
        <w:tc>
          <w:tcPr>
            <w:tcW w:type="dxa" w:w="1814"/>
            <w:shd w:val="clear" w:color="auto" w:fill="1A3A6A"/>
            <w:vAlign w:val="center"/>
          </w:tcPr>
          <w:p>
            <w:pPr>
              <w:jc w:val="center"/>
            </w:pPr>
            <w:r>
              <w:rPr>
                <w:rFonts w:ascii="Arial" w:hAnsi="Arial"/>
                <w:b/>
                <w:i w:val="0"/>
                <w:color w:val="FFFFFF"/>
                <w:sz w:val="20"/>
              </w:rPr>
              <w:t>Estimated Effort</w:t>
            </w:r>
          </w:p>
        </w:tc>
      </w:tr>
      <w:tr>
        <w:tc>
          <w:tcPr>
            <w:tcW w:type="dxa" w:w="1020"/>
            <w:shd w:val="clear" w:color="auto" w:fill="F5F5F5"/>
          </w:tcPr>
          <w:p>
            <w:pPr>
              <w:jc w:val="left"/>
            </w:pPr>
            <w:r>
              <w:rPr>
                <w:rFonts w:ascii="Arial" w:hAnsi="Arial"/>
                <w:b w:val="0"/>
                <w:i w:val="0"/>
                <w:color w:val="1A1A1A"/>
                <w:sz w:val="20"/>
              </w:rPr>
              <w:t>P0</w:t>
            </w:r>
          </w:p>
        </w:tc>
        <w:tc>
          <w:tcPr>
            <w:tcW w:type="dxa" w:w="2268"/>
            <w:shd w:val="clear" w:color="auto" w:fill="F5F5F5"/>
          </w:tcPr>
          <w:p>
            <w:pPr>
              <w:jc w:val="left"/>
            </w:pPr>
            <w:r>
              <w:rPr>
                <w:rFonts w:ascii="Arial" w:hAnsi="Arial"/>
                <w:b w:val="0"/>
                <w:i w:val="0"/>
                <w:color w:val="1A1A1A"/>
                <w:sz w:val="20"/>
              </w:rPr>
              <w:t>ICEGATE API Integration</w:t>
            </w:r>
          </w:p>
        </w:tc>
        <w:tc>
          <w:tcPr>
            <w:tcW w:type="dxa" w:w="2835"/>
            <w:shd w:val="clear" w:color="auto" w:fill="F5F5F5"/>
          </w:tcPr>
          <w:p>
            <w:pPr>
              <w:jc w:val="left"/>
            </w:pPr>
            <w:r>
              <w:rPr>
                <w:rFonts w:ascii="Arial" w:hAnsi="Arial"/>
                <w:b w:val="0"/>
                <w:i w:val="0"/>
                <w:color w:val="1A1A1A"/>
                <w:sz w:val="20"/>
              </w:rPr>
              <w:t>Live cargo data eliminates manual data entry</w:t>
            </w:r>
          </w:p>
        </w:tc>
        <w:tc>
          <w:tcPr>
            <w:tcW w:type="dxa" w:w="1814"/>
            <w:shd w:val="clear" w:color="auto" w:fill="F5F5F5"/>
          </w:tcPr>
          <w:p>
            <w:pPr>
              <w:jc w:val="left"/>
            </w:pPr>
            <w:r>
              <w:rPr>
                <w:rFonts w:ascii="Arial" w:hAnsi="Arial"/>
                <w:b w:val="0"/>
                <w:i w:val="0"/>
                <w:color w:val="1A1A1A"/>
                <w:sz w:val="20"/>
              </w:rPr>
              <w:t>3–4 months</w:t>
            </w:r>
          </w:p>
        </w:tc>
      </w:tr>
      <w:tr>
        <w:tc>
          <w:tcPr>
            <w:tcW w:type="dxa" w:w="1020"/>
            <w:shd w:val="clear" w:color="auto" w:fill="FFFFFF"/>
          </w:tcPr>
          <w:p>
            <w:pPr>
              <w:jc w:val="left"/>
            </w:pPr>
            <w:r>
              <w:rPr>
                <w:rFonts w:ascii="Arial" w:hAnsi="Arial"/>
                <w:b w:val="0"/>
                <w:i w:val="0"/>
                <w:color w:val="1A1A1A"/>
                <w:sz w:val="20"/>
              </w:rPr>
              <w:t>P0</w:t>
            </w:r>
          </w:p>
        </w:tc>
        <w:tc>
          <w:tcPr>
            <w:tcW w:type="dxa" w:w="2268"/>
            <w:shd w:val="clear" w:color="auto" w:fill="FFFFFF"/>
          </w:tcPr>
          <w:p>
            <w:pPr>
              <w:jc w:val="left"/>
            </w:pPr>
            <w:r>
              <w:rPr>
                <w:rFonts w:ascii="Arial" w:hAnsi="Arial"/>
                <w:b w:val="0"/>
                <w:i w:val="0"/>
                <w:color w:val="1A1A1A"/>
                <w:sz w:val="20"/>
              </w:rPr>
              <w:t>Bureau of Immigration API</w:t>
            </w:r>
          </w:p>
        </w:tc>
        <w:tc>
          <w:tcPr>
            <w:tcW w:type="dxa" w:w="2835"/>
            <w:shd w:val="clear" w:color="auto" w:fill="FFFFFF"/>
          </w:tcPr>
          <w:p>
            <w:pPr>
              <w:jc w:val="left"/>
            </w:pPr>
            <w:r>
              <w:rPr>
                <w:rFonts w:ascii="Arial" w:hAnsi="Arial"/>
                <w:b w:val="0"/>
                <w:i w:val="0"/>
                <w:color w:val="1A1A1A"/>
                <w:sz w:val="20"/>
              </w:rPr>
              <w:t>Real-time traveller data for watchlist screening</w:t>
            </w:r>
          </w:p>
        </w:tc>
        <w:tc>
          <w:tcPr>
            <w:tcW w:type="dxa" w:w="1814"/>
            <w:shd w:val="clear" w:color="auto" w:fill="FFFFFF"/>
          </w:tcPr>
          <w:p>
            <w:pPr>
              <w:jc w:val="left"/>
            </w:pPr>
            <w:r>
              <w:rPr>
                <w:rFonts w:ascii="Arial" w:hAnsi="Arial"/>
                <w:b w:val="0"/>
                <w:i w:val="0"/>
                <w:color w:val="1A1A1A"/>
                <w:sz w:val="20"/>
              </w:rPr>
              <w:t>4–6 months</w:t>
            </w:r>
          </w:p>
        </w:tc>
      </w:tr>
      <w:tr>
        <w:tc>
          <w:tcPr>
            <w:tcW w:type="dxa" w:w="1020"/>
            <w:shd w:val="clear" w:color="auto" w:fill="F5F5F5"/>
          </w:tcPr>
          <w:p>
            <w:pPr>
              <w:jc w:val="left"/>
            </w:pPr>
            <w:r>
              <w:rPr>
                <w:rFonts w:ascii="Arial" w:hAnsi="Arial"/>
                <w:b w:val="0"/>
                <w:i w:val="0"/>
                <w:color w:val="1A1A1A"/>
                <w:sz w:val="20"/>
              </w:rPr>
              <w:t>P1</w:t>
            </w:r>
          </w:p>
        </w:tc>
        <w:tc>
          <w:tcPr>
            <w:tcW w:type="dxa" w:w="2268"/>
            <w:shd w:val="clear" w:color="auto" w:fill="F5F5F5"/>
          </w:tcPr>
          <w:p>
            <w:pPr>
              <w:jc w:val="left"/>
            </w:pPr>
            <w:r>
              <w:rPr>
                <w:rFonts w:ascii="Arial" w:hAnsi="Arial"/>
                <w:b w:val="0"/>
                <w:i w:val="0"/>
                <w:color w:val="1A1A1A"/>
                <w:sz w:val="20"/>
              </w:rPr>
              <w:t>Role-Based Access Control</w:t>
            </w:r>
          </w:p>
        </w:tc>
        <w:tc>
          <w:tcPr>
            <w:tcW w:type="dxa" w:w="2835"/>
            <w:shd w:val="clear" w:color="auto" w:fill="F5F5F5"/>
          </w:tcPr>
          <w:p>
            <w:pPr>
              <w:jc w:val="left"/>
            </w:pPr>
            <w:r>
              <w:rPr>
                <w:rFonts w:ascii="Arial" w:hAnsi="Arial"/>
                <w:b w:val="0"/>
                <w:i w:val="0"/>
                <w:color w:val="1A1A1A"/>
                <w:sz w:val="20"/>
              </w:rPr>
              <w:t>Tiered data access for ICP vs HQ officials</w:t>
            </w:r>
          </w:p>
        </w:tc>
        <w:tc>
          <w:tcPr>
            <w:tcW w:type="dxa" w:w="1814"/>
            <w:shd w:val="clear" w:color="auto" w:fill="F5F5F5"/>
          </w:tcPr>
          <w:p>
            <w:pPr>
              <w:jc w:val="left"/>
            </w:pPr>
            <w:r>
              <w:rPr>
                <w:rFonts w:ascii="Arial" w:hAnsi="Arial"/>
                <w:b w:val="0"/>
                <w:i w:val="0"/>
                <w:color w:val="1A1A1A"/>
                <w:sz w:val="20"/>
              </w:rPr>
              <w:t>2–3 months</w:t>
            </w:r>
          </w:p>
        </w:tc>
      </w:tr>
      <w:tr>
        <w:tc>
          <w:tcPr>
            <w:tcW w:type="dxa" w:w="1020"/>
            <w:shd w:val="clear" w:color="auto" w:fill="FFFFFF"/>
          </w:tcPr>
          <w:p>
            <w:pPr>
              <w:jc w:val="left"/>
            </w:pPr>
            <w:r>
              <w:rPr>
                <w:rFonts w:ascii="Arial" w:hAnsi="Arial"/>
                <w:b w:val="0"/>
                <w:i w:val="0"/>
                <w:color w:val="1A1A1A"/>
                <w:sz w:val="20"/>
              </w:rPr>
              <w:t>P1</w:t>
            </w:r>
          </w:p>
        </w:tc>
        <w:tc>
          <w:tcPr>
            <w:tcW w:type="dxa" w:w="2268"/>
            <w:shd w:val="clear" w:color="auto" w:fill="FFFFFF"/>
          </w:tcPr>
          <w:p>
            <w:pPr>
              <w:jc w:val="left"/>
            </w:pPr>
            <w:r>
              <w:rPr>
                <w:rFonts w:ascii="Arial" w:hAnsi="Arial"/>
                <w:b w:val="0"/>
                <w:i w:val="0"/>
                <w:color w:val="1A1A1A"/>
                <w:sz w:val="20"/>
              </w:rPr>
              <w:t>Live CCTV Feed Integration</w:t>
            </w:r>
          </w:p>
        </w:tc>
        <w:tc>
          <w:tcPr>
            <w:tcW w:type="dxa" w:w="2835"/>
            <w:shd w:val="clear" w:color="auto" w:fill="FFFFFF"/>
          </w:tcPr>
          <w:p>
            <w:pPr>
              <w:jc w:val="left"/>
            </w:pPr>
            <w:r>
              <w:rPr>
                <w:rFonts w:ascii="Arial" w:hAnsi="Arial"/>
                <w:b w:val="0"/>
                <w:i w:val="0"/>
                <w:color w:val="1A1A1A"/>
                <w:sz w:val="20"/>
              </w:rPr>
              <w:t>Replace simulated feeds with MPEG-DASH streams</w:t>
            </w:r>
          </w:p>
        </w:tc>
        <w:tc>
          <w:tcPr>
            <w:tcW w:type="dxa" w:w="1814"/>
            <w:shd w:val="clear" w:color="auto" w:fill="FFFFFF"/>
          </w:tcPr>
          <w:p>
            <w:pPr>
              <w:jc w:val="left"/>
            </w:pPr>
            <w:r>
              <w:rPr>
                <w:rFonts w:ascii="Arial" w:hAnsi="Arial"/>
                <w:b w:val="0"/>
                <w:i w:val="0"/>
                <w:color w:val="1A1A1A"/>
                <w:sz w:val="20"/>
              </w:rPr>
              <w:t>3–5 months</w:t>
            </w:r>
          </w:p>
        </w:tc>
      </w:tr>
      <w:tr>
        <w:tc>
          <w:tcPr>
            <w:tcW w:type="dxa" w:w="1020"/>
            <w:shd w:val="clear" w:color="auto" w:fill="F5F5F5"/>
          </w:tcPr>
          <w:p>
            <w:pPr>
              <w:jc w:val="left"/>
            </w:pPr>
            <w:r>
              <w:rPr>
                <w:rFonts w:ascii="Arial" w:hAnsi="Arial"/>
                <w:b w:val="0"/>
                <w:i w:val="0"/>
                <w:color w:val="1A1A1A"/>
                <w:sz w:val="20"/>
              </w:rPr>
              <w:t>P1</w:t>
            </w:r>
          </w:p>
        </w:tc>
        <w:tc>
          <w:tcPr>
            <w:tcW w:type="dxa" w:w="2268"/>
            <w:shd w:val="clear" w:color="auto" w:fill="F5F5F5"/>
          </w:tcPr>
          <w:p>
            <w:pPr>
              <w:jc w:val="left"/>
            </w:pPr>
            <w:r>
              <w:rPr>
                <w:rFonts w:ascii="Arial" w:hAnsi="Arial"/>
                <w:b w:val="0"/>
                <w:i w:val="0"/>
                <w:color w:val="1A1A1A"/>
                <w:sz w:val="20"/>
              </w:rPr>
              <w:t>VAHAN/ITMS API</w:t>
            </w:r>
          </w:p>
        </w:tc>
        <w:tc>
          <w:tcPr>
            <w:tcW w:type="dxa" w:w="2835"/>
            <w:shd w:val="clear" w:color="auto" w:fill="F5F5F5"/>
          </w:tcPr>
          <w:p>
            <w:pPr>
              <w:jc w:val="left"/>
            </w:pPr>
            <w:r>
              <w:rPr>
                <w:rFonts w:ascii="Arial" w:hAnsi="Arial"/>
                <w:b w:val="0"/>
                <w:i w:val="0"/>
                <w:color w:val="1A1A1A"/>
                <w:sz w:val="20"/>
              </w:rPr>
              <w:t>Live vehicle registration and ANPR data</w:t>
            </w:r>
          </w:p>
        </w:tc>
        <w:tc>
          <w:tcPr>
            <w:tcW w:type="dxa" w:w="1814"/>
            <w:shd w:val="clear" w:color="auto" w:fill="F5F5F5"/>
          </w:tcPr>
          <w:p>
            <w:pPr>
              <w:jc w:val="left"/>
            </w:pPr>
            <w:r>
              <w:rPr>
                <w:rFonts w:ascii="Arial" w:hAnsi="Arial"/>
                <w:b w:val="0"/>
                <w:i w:val="0"/>
                <w:color w:val="1A1A1A"/>
                <w:sz w:val="20"/>
              </w:rPr>
              <w:t>3–4 months</w:t>
            </w:r>
          </w:p>
        </w:tc>
      </w:tr>
      <w:tr>
        <w:tc>
          <w:tcPr>
            <w:tcW w:type="dxa" w:w="1020"/>
            <w:shd w:val="clear" w:color="auto" w:fill="FFFFFF"/>
          </w:tcPr>
          <w:p>
            <w:pPr>
              <w:jc w:val="left"/>
            </w:pPr>
            <w:r>
              <w:rPr>
                <w:rFonts w:ascii="Arial" w:hAnsi="Arial"/>
                <w:b w:val="0"/>
                <w:i w:val="0"/>
                <w:color w:val="1A1A1A"/>
                <w:sz w:val="20"/>
              </w:rPr>
              <w:t>P2</w:t>
            </w:r>
          </w:p>
        </w:tc>
        <w:tc>
          <w:tcPr>
            <w:tcW w:type="dxa" w:w="2268"/>
            <w:shd w:val="clear" w:color="auto" w:fill="FFFFFF"/>
          </w:tcPr>
          <w:p>
            <w:pPr>
              <w:jc w:val="left"/>
            </w:pPr>
            <w:r>
              <w:rPr>
                <w:rFonts w:ascii="Arial" w:hAnsi="Arial"/>
                <w:b w:val="0"/>
                <w:i w:val="0"/>
                <w:color w:val="1A1A1A"/>
                <w:sz w:val="20"/>
              </w:rPr>
              <w:t>Mobile App (PWA)</w:t>
            </w:r>
          </w:p>
        </w:tc>
        <w:tc>
          <w:tcPr>
            <w:tcW w:type="dxa" w:w="2835"/>
            <w:shd w:val="clear" w:color="auto" w:fill="FFFFFF"/>
          </w:tcPr>
          <w:p>
            <w:pPr>
              <w:jc w:val="left"/>
            </w:pPr>
            <w:r>
              <w:rPr>
                <w:rFonts w:ascii="Arial" w:hAnsi="Arial"/>
                <w:b w:val="0"/>
                <w:i w:val="0"/>
                <w:color w:val="1A1A1A"/>
                <w:sz w:val="20"/>
              </w:rPr>
              <w:t>Offline-capable access for field officers</w:t>
            </w:r>
          </w:p>
        </w:tc>
        <w:tc>
          <w:tcPr>
            <w:tcW w:type="dxa" w:w="1814"/>
            <w:shd w:val="clear" w:color="auto" w:fill="FFFFFF"/>
          </w:tcPr>
          <w:p>
            <w:pPr>
              <w:jc w:val="left"/>
            </w:pPr>
            <w:r>
              <w:rPr>
                <w:rFonts w:ascii="Arial" w:hAnsi="Arial"/>
                <w:b w:val="0"/>
                <w:i w:val="0"/>
                <w:color w:val="1A1A1A"/>
                <w:sz w:val="20"/>
              </w:rPr>
              <w:t>4–6 months</w:t>
            </w:r>
          </w:p>
        </w:tc>
      </w:tr>
      <w:tr>
        <w:tc>
          <w:tcPr>
            <w:tcW w:type="dxa" w:w="1020"/>
            <w:shd w:val="clear" w:color="auto" w:fill="F5F5F5"/>
          </w:tcPr>
          <w:p>
            <w:pPr>
              <w:jc w:val="left"/>
            </w:pPr>
            <w:r>
              <w:rPr>
                <w:rFonts w:ascii="Arial" w:hAnsi="Arial"/>
                <w:b w:val="0"/>
                <w:i w:val="0"/>
                <w:color w:val="1A1A1A"/>
                <w:sz w:val="20"/>
              </w:rPr>
              <w:t>P2</w:t>
            </w:r>
          </w:p>
        </w:tc>
        <w:tc>
          <w:tcPr>
            <w:tcW w:type="dxa" w:w="2268"/>
            <w:shd w:val="clear" w:color="auto" w:fill="F5F5F5"/>
          </w:tcPr>
          <w:p>
            <w:pPr>
              <w:jc w:val="left"/>
            </w:pPr>
            <w:r>
              <w:rPr>
                <w:rFonts w:ascii="Arial" w:hAnsi="Arial"/>
                <w:b w:val="0"/>
                <w:i w:val="0"/>
                <w:color w:val="1A1A1A"/>
                <w:sz w:val="20"/>
              </w:rPr>
              <w:t>AI Model Training</w:t>
            </w:r>
          </w:p>
        </w:tc>
        <w:tc>
          <w:tcPr>
            <w:tcW w:type="dxa" w:w="2835"/>
            <w:shd w:val="clear" w:color="auto" w:fill="F5F5F5"/>
          </w:tcPr>
          <w:p>
            <w:pPr>
              <w:jc w:val="left"/>
            </w:pPr>
            <w:r>
              <w:rPr>
                <w:rFonts w:ascii="Arial" w:hAnsi="Arial"/>
                <w:b w:val="0"/>
                <w:i w:val="0"/>
                <w:color w:val="1A1A1A"/>
                <w:sz w:val="20"/>
              </w:rPr>
              <w:t>Train Axiom on historical LPAI data for accuracy</w:t>
            </w:r>
          </w:p>
        </w:tc>
        <w:tc>
          <w:tcPr>
            <w:tcW w:type="dxa" w:w="1814"/>
            <w:shd w:val="clear" w:color="auto" w:fill="F5F5F5"/>
          </w:tcPr>
          <w:p>
            <w:pPr>
              <w:jc w:val="left"/>
            </w:pPr>
            <w:r>
              <w:rPr>
                <w:rFonts w:ascii="Arial" w:hAnsi="Arial"/>
                <w:b w:val="0"/>
                <w:i w:val="0"/>
                <w:color w:val="1A1A1A"/>
                <w:sz w:val="20"/>
              </w:rPr>
              <w:t>6–12 months</w:t>
            </w:r>
          </w:p>
        </w:tc>
      </w:tr>
      <w:tr>
        <w:tc>
          <w:tcPr>
            <w:tcW w:type="dxa" w:w="1020"/>
            <w:shd w:val="clear" w:color="auto" w:fill="FFFFFF"/>
          </w:tcPr>
          <w:p>
            <w:pPr>
              <w:jc w:val="left"/>
            </w:pPr>
            <w:r>
              <w:rPr>
                <w:rFonts w:ascii="Arial" w:hAnsi="Arial"/>
                <w:b w:val="0"/>
                <w:i w:val="0"/>
                <w:color w:val="1A1A1A"/>
                <w:sz w:val="20"/>
              </w:rPr>
              <w:t>P3</w:t>
            </w:r>
          </w:p>
        </w:tc>
        <w:tc>
          <w:tcPr>
            <w:tcW w:type="dxa" w:w="2268"/>
            <w:shd w:val="clear" w:color="auto" w:fill="FFFFFF"/>
          </w:tcPr>
          <w:p>
            <w:pPr>
              <w:jc w:val="left"/>
            </w:pPr>
            <w:r>
              <w:rPr>
                <w:rFonts w:ascii="Arial" w:hAnsi="Arial"/>
                <w:b w:val="0"/>
                <w:i w:val="0"/>
                <w:color w:val="1A1A1A"/>
                <w:sz w:val="20"/>
              </w:rPr>
              <w:t>Multi-Language Support</w:t>
            </w:r>
          </w:p>
        </w:tc>
        <w:tc>
          <w:tcPr>
            <w:tcW w:type="dxa" w:w="2835"/>
            <w:shd w:val="clear" w:color="auto" w:fill="FFFFFF"/>
          </w:tcPr>
          <w:p>
            <w:pPr>
              <w:jc w:val="left"/>
            </w:pPr>
            <w:r>
              <w:rPr>
                <w:rFonts w:ascii="Arial" w:hAnsi="Arial"/>
                <w:b w:val="0"/>
                <w:i w:val="0"/>
                <w:color w:val="1A1A1A"/>
                <w:sz w:val="20"/>
              </w:rPr>
              <w:t>Hindi and regional language UI for field officers</w:t>
            </w:r>
          </w:p>
        </w:tc>
        <w:tc>
          <w:tcPr>
            <w:tcW w:type="dxa" w:w="1814"/>
            <w:shd w:val="clear" w:color="auto" w:fill="FFFFFF"/>
          </w:tcPr>
          <w:p>
            <w:pPr>
              <w:jc w:val="left"/>
            </w:pPr>
            <w:r>
              <w:rPr>
                <w:rFonts w:ascii="Arial" w:hAnsi="Arial"/>
                <w:b w:val="0"/>
                <w:i w:val="0"/>
                <w:color w:val="1A1A1A"/>
                <w:sz w:val="20"/>
              </w:rPr>
              <w:t>2–3 months</w:t>
            </w:r>
          </w:p>
        </w:tc>
      </w:tr>
    </w:tbl>
    <w:p/>
    <w:p>
      <w:pPr>
        <w:spacing w:before="320" w:after="80"/>
        <w:jc w:val="left"/>
      </w:pPr>
      <w:r>
        <w:rPr>
          <w:rFonts w:ascii="Arial" w:hAnsi="Arial"/>
          <w:b/>
          <w:color w:val="1A3A6A"/>
          <w:sz w:val="26"/>
        </w:rPr>
        <w:t>11.3 Security and Compliance Recommendations</w:t>
      </w:r>
    </w:p>
    <w:p>
      <w:pPr>
        <w:spacing w:after="160" w:line="360" w:lineRule="auto"/>
        <w:ind w:left="0"/>
        <w:jc w:val="both"/>
      </w:pPr>
      <w:r>
        <w:rPr>
          <w:rFonts w:ascii="Arial" w:hAnsi="Arial"/>
          <w:b w:val="0"/>
          <w:i w:val="0"/>
          <w:color w:val="1A1A1A"/>
          <w:sz w:val="22"/>
        </w:rPr>
        <w:t>The production deployment of LPAI Nexus must be conducted in full compliance with MHA's Information Security Policy, the National Cyber Security Policy 2013, and CERT-In guidelines for government web applications. Specific recommendations include: mandatory deployment on NICNET or approved government cloud (MeghRaj), end-to-end encryption for all API data in transit, comprehensive audit logging of all data access and user actions, regular penetration testing by CERT-In empanelled agencies, and multi-factor authentication for all user accounts with biometric second factor for critical functions.</w:t>
      </w:r>
    </w:p>
    <w:p>
      <w:r>
        <w:br w:type="page"/>
      </w:r>
    </w:p>
    <w:p>
      <w:pPr>
        <w:spacing w:before="480" w:after="120"/>
        <w:jc w:val="left"/>
        <w:pBdr>
          <w:bottom w:val="single" w:sz="8" w:space="4" w:color="1A3A6A"/>
        </w:pBdr>
      </w:pPr>
      <w:r>
        <w:rPr>
          <w:rFonts w:ascii="Arial" w:hAnsi="Arial"/>
          <w:b/>
          <w:color w:val="1A3A6A"/>
          <w:sz w:val="32"/>
        </w:rPr>
        <w:t>Chapter 12: Conclusion</w:t>
      </w:r>
    </w:p>
    <w:p>
      <w:pPr>
        <w:spacing w:after="160" w:line="360" w:lineRule="auto"/>
        <w:ind w:left="0"/>
        <w:jc w:val="both"/>
      </w:pPr>
      <w:r>
        <w:rPr>
          <w:rFonts w:ascii="Arial" w:hAnsi="Arial"/>
          <w:b w:val="0"/>
          <w:i w:val="0"/>
          <w:color w:val="1A1A1A"/>
          <w:sz w:val="22"/>
        </w:rPr>
        <w:t>The LPAI Nexus internship project has demonstrated the transformative potential of AI-integrated command platforms for land border management. Over the course of the internship, a fully functional proof-of-concept was designed, developed, and demonstrated — encompassing five operational modules, an AI reasoning engine, and an interactive guided walkthrough system — representing a comprehensive reimagining of how LPAI can leverage digital technology to enhance operational effectiveness and strategic oversight.</w:t>
      </w:r>
    </w:p>
    <w:p>
      <w:pPr>
        <w:spacing w:after="160" w:line="360" w:lineRule="auto"/>
        <w:ind w:left="0"/>
        <w:jc w:val="both"/>
      </w:pPr>
      <w:r>
        <w:rPr>
          <w:rFonts w:ascii="Arial" w:hAnsi="Arial"/>
          <w:b w:val="0"/>
          <w:i w:val="0"/>
          <w:color w:val="1A1A1A"/>
          <w:sz w:val="22"/>
        </w:rPr>
        <w:t>The platform addresses a genuine and urgent operational need: the fragmentation of border management data across legacy systems, siloed reporting chains, and paper-based processes. By consolidating this data into a unified, AI-enhanced command interface, LPAI Nexus creates the conditions for evidence-based decision-making at both the ICP level and national headquarters level.</w:t>
      </w:r>
    </w:p>
    <w:p>
      <w:pPr>
        <w:spacing w:after="160" w:line="360" w:lineRule="auto"/>
        <w:ind w:left="0"/>
        <w:jc w:val="both"/>
      </w:pPr>
      <w:r>
        <w:rPr>
          <w:rFonts w:ascii="Arial" w:hAnsi="Arial"/>
          <w:b w:val="0"/>
          <w:i w:val="0"/>
          <w:color w:val="1A1A1A"/>
          <w:sz w:val="22"/>
        </w:rPr>
        <w:t>The internship experience provided deep insight into the unique challenges of developing technology for government operational contexts: the paramount importance of security and data sensitivity, the need for interfaces that serve both technical operators and senior non-technical officials, the complexity of multi-agency data integration, and the value of iterative demonstration and feedback in building institutional confidence in new technology.</w:t>
      </w:r>
    </w:p>
    <w:p>
      <w:pPr>
        <w:spacing w:after="160" w:line="360" w:lineRule="auto"/>
        <w:ind w:left="0"/>
        <w:jc w:val="both"/>
      </w:pPr>
      <w:r>
        <w:rPr>
          <w:rFonts w:ascii="Arial" w:hAnsi="Arial"/>
          <w:b w:val="0"/>
          <w:i w:val="0"/>
          <w:color w:val="1A1A1A"/>
          <w:sz w:val="22"/>
        </w:rPr>
        <w:t>LPAI Nexus stands as a foundation for what could become the primary command intelligence platform for India's land border management ecosystem. With Phase 2 development incorporating live API integrations, role-based access controls, and trained AI models, the platform has the potential to deliver measurable improvements in cargo clearance efficiency, threat detection accuracy, and strategic reporting quality — directly supporting LPAI's mandate to facilitate legitimate trade and movement while maintaining the highest standards of border security.</w:t>
      </w:r>
    </w:p>
    <w:p>
      <w:pPr>
        <w:spacing w:after="160" w:line="360" w:lineRule="auto"/>
        <w:ind w:left="0"/>
        <w:jc w:val="both"/>
      </w:pPr>
      <w:r>
        <w:rPr>
          <w:rFonts w:ascii="Arial" w:hAnsi="Arial"/>
          <w:b w:val="0"/>
          <w:i w:val="0"/>
          <w:color w:val="1A1A1A"/>
          <w:sz w:val="22"/>
        </w:rPr>
        <w:t>This project was completed with deep gratitude to the officers and staff of LPAI who provided operational context, domain knowledge, and invaluable feedback throughout the development process. Their expertise made it possible to build a platform that reflects the real-world complexity and stakes of India's land border management mission.</w:t>
      </w:r>
    </w:p>
    <w:p>
      <w:r>
        <w:br w:type="page"/>
      </w:r>
    </w:p>
    <w:p>
      <w:pPr>
        <w:spacing w:before="480" w:after="120"/>
        <w:jc w:val="left"/>
        <w:pBdr>
          <w:bottom w:val="single" w:sz="8" w:space="4" w:color="1A3A6A"/>
        </w:pBdr>
      </w:pPr>
      <w:r>
        <w:rPr>
          <w:rFonts w:ascii="Arial" w:hAnsi="Arial"/>
          <w:b/>
          <w:color w:val="1A3A6A"/>
          <w:sz w:val="32"/>
        </w:rPr>
        <w:t>References</w:t>
      </w:r>
    </w:p>
    <w:p>
      <w:pPr>
        <w:spacing w:after="120"/>
        <w:ind w:left="283" w:hanging="283"/>
        <w:jc w:val="both"/>
      </w:pPr>
      <w:r>
        <w:rPr>
          <w:rFonts w:ascii="Arial" w:hAnsi="Arial"/>
          <w:b w:val="0"/>
          <w:i w:val="0"/>
          <w:color w:val="1A1A1A"/>
          <w:sz w:val="20"/>
        </w:rPr>
        <w:t>[1]  Land Ports Authority of India Act, 2010 (Act 31 of 2010). Ministry of Home Affairs, Government of India.</w:t>
      </w:r>
    </w:p>
    <w:p>
      <w:pPr>
        <w:spacing w:after="120"/>
        <w:ind w:left="283" w:hanging="283"/>
        <w:jc w:val="both"/>
      </w:pPr>
      <w:r>
        <w:rPr>
          <w:rFonts w:ascii="Arial" w:hAnsi="Arial"/>
          <w:b w:val="0"/>
          <w:i w:val="0"/>
          <w:color w:val="1A1A1A"/>
          <w:sz w:val="20"/>
        </w:rPr>
        <w:t>[2]  Annual Report 2023–24, Land Port Authority of India. Ministry of Home Affairs, Government of India.</w:t>
      </w:r>
    </w:p>
    <w:p>
      <w:pPr>
        <w:spacing w:after="120"/>
        <w:ind w:left="283" w:hanging="283"/>
        <w:jc w:val="both"/>
      </w:pPr>
      <w:r>
        <w:rPr>
          <w:rFonts w:ascii="Arial" w:hAnsi="Arial"/>
          <w:b w:val="0"/>
          <w:i w:val="0"/>
          <w:color w:val="1A1A1A"/>
          <w:sz w:val="20"/>
        </w:rPr>
        <w:t>[3]  National Cyber Security Policy 2013. Ministry of Electronics &amp; Information Technology, Government of India.</w:t>
      </w:r>
    </w:p>
    <w:p>
      <w:pPr>
        <w:spacing w:after="120"/>
        <w:ind w:left="283" w:hanging="283"/>
        <w:jc w:val="both"/>
      </w:pPr>
      <w:r>
        <w:rPr>
          <w:rFonts w:ascii="Arial" w:hAnsi="Arial"/>
          <w:b w:val="0"/>
          <w:i w:val="0"/>
          <w:color w:val="1A1A1A"/>
          <w:sz w:val="20"/>
        </w:rPr>
        <w:t>[4]  CERT-In Guidelines for Secure Application Development. Indian Computer Emergency Response Team, 2023.</w:t>
      </w:r>
    </w:p>
    <w:p>
      <w:pPr>
        <w:spacing w:after="120"/>
        <w:ind w:left="283" w:hanging="283"/>
        <w:jc w:val="both"/>
      </w:pPr>
      <w:r>
        <w:rPr>
          <w:rFonts w:ascii="Arial" w:hAnsi="Arial"/>
          <w:b w:val="0"/>
          <w:i w:val="0"/>
          <w:color w:val="1A1A1A"/>
          <w:sz w:val="20"/>
        </w:rPr>
        <w:t>[5]  React Documentation — Version 18. Meta Platforms Inc. Available at: reactjs.org</w:t>
      </w:r>
    </w:p>
    <w:p>
      <w:pPr>
        <w:spacing w:after="120"/>
        <w:ind w:left="283" w:hanging="283"/>
        <w:jc w:val="both"/>
      </w:pPr>
      <w:r>
        <w:rPr>
          <w:rFonts w:ascii="Arial" w:hAnsi="Arial"/>
          <w:b w:val="0"/>
          <w:i w:val="0"/>
          <w:color w:val="1A1A1A"/>
          <w:sz w:val="20"/>
        </w:rPr>
        <w:t>[6]  Vite Documentation — Version 5. Evan You &amp; Vite Contributors. Available at: vitejs.dev</w:t>
      </w:r>
    </w:p>
    <w:p>
      <w:pPr>
        <w:spacing w:after="120"/>
        <w:ind w:left="283" w:hanging="283"/>
        <w:jc w:val="both"/>
      </w:pPr>
      <w:r>
        <w:rPr>
          <w:rFonts w:ascii="Arial" w:hAnsi="Arial"/>
          <w:b w:val="0"/>
          <w:i w:val="0"/>
          <w:color w:val="1A1A1A"/>
          <w:sz w:val="20"/>
        </w:rPr>
        <w:t>[7]  Tailwind CSS Documentation — Version 3. Tailwind Labs Inc. Available at: tailwindcss.com</w:t>
      </w:r>
    </w:p>
    <w:p>
      <w:pPr>
        <w:spacing w:after="120"/>
        <w:ind w:left="283" w:hanging="283"/>
        <w:jc w:val="both"/>
      </w:pPr>
      <w:r>
        <w:rPr>
          <w:rFonts w:ascii="Arial" w:hAnsi="Arial"/>
          <w:b w:val="0"/>
          <w:i w:val="0"/>
          <w:color w:val="1A1A1A"/>
          <w:sz w:val="20"/>
        </w:rPr>
        <w:t>[8]  Recharts Documentation — Version 2. Recharts Contributors. Available at: recharts.org</w:t>
      </w:r>
    </w:p>
    <w:p>
      <w:pPr>
        <w:spacing w:after="120"/>
        <w:ind w:left="283" w:hanging="283"/>
        <w:jc w:val="both"/>
      </w:pPr>
      <w:r>
        <w:rPr>
          <w:rFonts w:ascii="Arial" w:hAnsi="Arial"/>
          <w:b w:val="0"/>
          <w:i w:val="0"/>
          <w:color w:val="1A1A1A"/>
          <w:sz w:val="20"/>
        </w:rPr>
        <w:t>[9]  python-docx Documentation — Version 1.2. python-docx Contributors. Available at: python-docx.readthedocs.io</w:t>
      </w:r>
    </w:p>
    <w:p>
      <w:pPr>
        <w:spacing w:after="120"/>
        <w:ind w:left="283" w:hanging="283"/>
        <w:jc w:val="both"/>
      </w:pPr>
      <w:r>
        <w:rPr>
          <w:rFonts w:ascii="Arial" w:hAnsi="Arial"/>
          <w:b w:val="0"/>
          <w:i w:val="0"/>
          <w:color w:val="1A1A1A"/>
          <w:sz w:val="20"/>
        </w:rPr>
        <w:t>[10]  Integrated Check Posts — Overview. Ministry of Home Affairs, Government of India. Available at: mha.gov.in</w:t>
      </w:r>
    </w:p>
    <w:p>
      <w:pPr>
        <w:spacing w:after="120"/>
        <w:ind w:left="283" w:hanging="283"/>
        <w:jc w:val="both"/>
      </w:pPr>
      <w:r>
        <w:rPr>
          <w:rFonts w:ascii="Arial" w:hAnsi="Arial"/>
          <w:b w:val="0"/>
          <w:i w:val="0"/>
          <w:color w:val="1A1A1A"/>
          <w:sz w:val="20"/>
        </w:rPr>
        <w:t>[11]  ICEGATE — Indian Customs Electronic Commerce/EDI Gateway. Central Board of Indirect Taxes and Customs, 2024.</w:t>
      </w:r>
    </w:p>
    <w:p>
      <w:pPr>
        <w:spacing w:after="120"/>
        <w:ind w:left="283" w:hanging="283"/>
        <w:jc w:val="both"/>
      </w:pPr>
      <w:r>
        <w:rPr>
          <w:rFonts w:ascii="Arial" w:hAnsi="Arial"/>
          <w:b w:val="0"/>
          <w:i w:val="0"/>
          <w:color w:val="1A1A1A"/>
          <w:sz w:val="20"/>
        </w:rPr>
        <w:t>[12]  NATGRID — National Intelligence Grid. Ministry of Home Affairs, Government of India, 2024.</w:t>
      </w:r>
    </w:p>
    <w:p>
      <w:pPr>
        <w:spacing w:after="120"/>
        <w:ind w:left="283" w:hanging="283"/>
        <w:jc w:val="both"/>
      </w:pPr>
      <w:r>
        <w:rPr>
          <w:rFonts w:ascii="Arial" w:hAnsi="Arial"/>
          <w:b w:val="0"/>
          <w:i w:val="0"/>
          <w:color w:val="1A1A1A"/>
          <w:sz w:val="20"/>
        </w:rPr>
        <w:t>[13]  ITMS — Integrated Traffic Management System. Ministry of Road Transport and Highways, Government of India.</w:t>
      </w:r>
    </w:p>
    <w:p>
      <w:pPr>
        <w:spacing w:after="120"/>
        <w:ind w:left="283" w:hanging="283"/>
        <w:jc w:val="both"/>
      </w:pPr>
      <w:r>
        <w:rPr>
          <w:rFonts w:ascii="Arial" w:hAnsi="Arial"/>
          <w:b w:val="0"/>
          <w:i w:val="0"/>
          <w:color w:val="1A1A1A"/>
          <w:sz w:val="20"/>
        </w:rPr>
        <w:t>[14]  Web Content Accessibility Guidelines (WCAG) 2.2. W3C, 2023.</w:t>
      </w:r>
    </w:p>
    <w:p>
      <w:pPr>
        <w:spacing w:after="120"/>
        <w:ind w:left="283" w:hanging="283"/>
        <w:jc w:val="both"/>
      </w:pPr>
      <w:r>
        <w:rPr>
          <w:rFonts w:ascii="Arial" w:hAnsi="Arial"/>
          <w:b w:val="0"/>
          <w:i w:val="0"/>
          <w:color w:val="1A1A1A"/>
          <w:sz w:val="20"/>
        </w:rPr>
        <w:t>[15]  Government of India Design System (GIDS). Ministry of Electronics &amp; Information Technology, 2024.</w:t>
      </w:r>
    </w:p>
    <w:p>
      <w:r>
        <w:br w:type="page"/>
      </w:r>
    </w:p>
    <w:p>
      <w:pPr>
        <w:spacing w:before="480" w:after="120"/>
        <w:jc w:val="left"/>
        <w:pBdr>
          <w:bottom w:val="single" w:sz="8" w:space="4" w:color="1A3A6A"/>
        </w:pBdr>
      </w:pPr>
      <w:r>
        <w:rPr>
          <w:rFonts w:ascii="Arial" w:hAnsi="Arial"/>
          <w:b/>
          <w:color w:val="1A3A6A"/>
          <w:sz w:val="32"/>
        </w:rPr>
        <w:t>Appendices</w:t>
      </w:r>
    </w:p>
    <w:p>
      <w:pPr>
        <w:spacing w:before="320" w:after="80"/>
        <w:jc w:val="left"/>
      </w:pPr>
      <w:r>
        <w:rPr>
          <w:rFonts w:ascii="Arial" w:hAnsi="Arial"/>
          <w:b/>
          <w:color w:val="1A3A6A"/>
          <w:sz w:val="26"/>
        </w:rPr>
        <w:t>Appendix A: Module-wise Feature Summary</w:t>
      </w:r>
    </w:p>
    <w:p>
      <w:pPr>
        <w:spacing w:before="200" w:after="40"/>
        <w:jc w:val="left"/>
      </w:pPr>
      <w:r>
        <w:rPr>
          <w:rFonts w:ascii="Arial" w:hAnsi="Arial"/>
          <w:b/>
          <w:color w:val="D4881A"/>
          <w:sz w:val="22"/>
        </w:rPr>
        <w:t>Table 5: LPAI Nexus — Module Feature Matrix</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val="clear" w:color="auto" w:fill="1A3A6A"/>
            <w:vAlign w:val="center"/>
          </w:tcPr>
          <w:p>
            <w:pPr>
              <w:jc w:val="center"/>
            </w:pPr>
            <w:r>
              <w:rPr>
                <w:rFonts w:ascii="Arial" w:hAnsi="Arial"/>
                <w:b/>
                <w:i w:val="0"/>
                <w:color w:val="FFFFFF"/>
                <w:sz w:val="20"/>
              </w:rPr>
              <w:t>Module</w:t>
            </w:r>
          </w:p>
        </w:tc>
        <w:tc>
          <w:tcPr>
            <w:tcW w:type="dxa" w:w="1587"/>
            <w:shd w:val="clear" w:color="auto" w:fill="1A3A6A"/>
            <w:vAlign w:val="center"/>
          </w:tcPr>
          <w:p>
            <w:pPr>
              <w:jc w:val="center"/>
            </w:pPr>
            <w:r>
              <w:rPr>
                <w:rFonts w:ascii="Arial" w:hAnsi="Arial"/>
                <w:b/>
                <w:i w:val="0"/>
                <w:color w:val="FFFFFF"/>
                <w:sz w:val="20"/>
              </w:rPr>
              <w:t>Primary Users</w:t>
            </w:r>
          </w:p>
        </w:tc>
        <w:tc>
          <w:tcPr>
            <w:tcW w:type="dxa" w:w="2551"/>
            <w:shd w:val="clear" w:color="auto" w:fill="1A3A6A"/>
            <w:vAlign w:val="center"/>
          </w:tcPr>
          <w:p>
            <w:pPr>
              <w:jc w:val="center"/>
            </w:pPr>
            <w:r>
              <w:rPr>
                <w:rFonts w:ascii="Arial" w:hAnsi="Arial"/>
                <w:b/>
                <w:i w:val="0"/>
                <w:color w:val="FFFFFF"/>
                <w:sz w:val="20"/>
              </w:rPr>
              <w:t>Key Features</w:t>
            </w:r>
          </w:p>
        </w:tc>
        <w:tc>
          <w:tcPr>
            <w:tcW w:type="dxa" w:w="1984"/>
            <w:shd w:val="clear" w:color="auto" w:fill="1A3A6A"/>
            <w:vAlign w:val="center"/>
          </w:tcPr>
          <w:p>
            <w:pPr>
              <w:jc w:val="center"/>
            </w:pPr>
            <w:r>
              <w:rPr>
                <w:rFonts w:ascii="Arial" w:hAnsi="Arial"/>
                <w:b/>
                <w:i w:val="0"/>
                <w:color w:val="FFFFFF"/>
                <w:sz w:val="20"/>
              </w:rPr>
              <w:t>AI Capabilities</w:t>
            </w:r>
          </w:p>
        </w:tc>
        <w:tc>
          <w:tcPr>
            <w:tcW w:type="dxa" w:w="1814"/>
            <w:shd w:val="clear" w:color="auto" w:fill="1A3A6A"/>
            <w:vAlign w:val="center"/>
          </w:tcPr>
          <w:p>
            <w:pPr>
              <w:jc w:val="center"/>
            </w:pPr>
            <w:r>
              <w:rPr>
                <w:rFonts w:ascii="Arial" w:hAnsi="Arial"/>
                <w:b/>
                <w:i w:val="0"/>
                <w:color w:val="FFFFFF"/>
                <w:sz w:val="20"/>
              </w:rPr>
              <w:t>Data Sources</w:t>
            </w:r>
          </w:p>
        </w:tc>
      </w:tr>
      <w:tr>
        <w:tc>
          <w:tcPr>
            <w:tcW w:type="dxa" w:w="1417"/>
            <w:shd w:val="clear" w:color="auto" w:fill="F5F5F5"/>
          </w:tcPr>
          <w:p>
            <w:pPr>
              <w:jc w:val="left"/>
            </w:pPr>
            <w:r>
              <w:rPr>
                <w:rFonts w:ascii="Arial" w:hAnsi="Arial"/>
                <w:b w:val="0"/>
                <w:i w:val="0"/>
                <w:color w:val="1A1A1A"/>
                <w:sz w:val="20"/>
              </w:rPr>
              <w:t>Overview</w:t>
            </w:r>
          </w:p>
        </w:tc>
        <w:tc>
          <w:tcPr>
            <w:tcW w:type="dxa" w:w="1587"/>
            <w:shd w:val="clear" w:color="auto" w:fill="F5F5F5"/>
          </w:tcPr>
          <w:p>
            <w:pPr>
              <w:jc w:val="left"/>
            </w:pPr>
            <w:r>
              <w:rPr>
                <w:rFonts w:ascii="Arial" w:hAnsi="Arial"/>
                <w:b w:val="0"/>
                <w:i w:val="0"/>
                <w:color w:val="1A1A1A"/>
                <w:sz w:val="20"/>
              </w:rPr>
              <w:t>All levels</w:t>
            </w:r>
          </w:p>
        </w:tc>
        <w:tc>
          <w:tcPr>
            <w:tcW w:type="dxa" w:w="2551"/>
            <w:shd w:val="clear" w:color="auto" w:fill="F5F5F5"/>
          </w:tcPr>
          <w:p>
            <w:pPr>
              <w:jc w:val="left"/>
            </w:pPr>
            <w:r>
              <w:rPr>
                <w:rFonts w:ascii="Arial" w:hAnsi="Arial"/>
                <w:b w:val="0"/>
                <w:i w:val="0"/>
                <w:color w:val="1A1A1A"/>
                <w:sz w:val="20"/>
              </w:rPr>
              <w:t>ICP selector, KPI strip, Axiom briefing, ICP grid</w:t>
            </w:r>
          </w:p>
        </w:tc>
        <w:tc>
          <w:tcPr>
            <w:tcW w:type="dxa" w:w="1984"/>
            <w:shd w:val="clear" w:color="auto" w:fill="F5F5F5"/>
          </w:tcPr>
          <w:p>
            <w:pPr>
              <w:jc w:val="left"/>
            </w:pPr>
            <w:r>
              <w:rPr>
                <w:rFonts w:ascii="Arial" w:hAnsi="Arial"/>
                <w:b w:val="0"/>
                <w:i w:val="0"/>
                <w:color w:val="1A1A1A"/>
                <w:sz w:val="20"/>
              </w:rPr>
              <w:t>Contextual briefing</w:t>
            </w:r>
          </w:p>
        </w:tc>
        <w:tc>
          <w:tcPr>
            <w:tcW w:type="dxa" w:w="1814"/>
            <w:shd w:val="clear" w:color="auto" w:fill="F5F5F5"/>
          </w:tcPr>
          <w:p>
            <w:pPr>
              <w:jc w:val="left"/>
            </w:pPr>
            <w:r>
              <w:rPr>
                <w:rFonts w:ascii="Arial" w:hAnsi="Arial"/>
                <w:b w:val="0"/>
                <w:i w:val="0"/>
                <w:color w:val="1A1A1A"/>
                <w:sz w:val="20"/>
              </w:rPr>
              <w:t>All modules aggregate</w:t>
            </w:r>
          </w:p>
        </w:tc>
      </w:tr>
      <w:tr>
        <w:tc>
          <w:tcPr>
            <w:tcW w:type="dxa" w:w="1417"/>
            <w:shd w:val="clear" w:color="auto" w:fill="FFFFFF"/>
          </w:tcPr>
          <w:p>
            <w:pPr>
              <w:jc w:val="left"/>
            </w:pPr>
            <w:r>
              <w:rPr>
                <w:rFonts w:ascii="Arial" w:hAnsi="Arial"/>
                <w:b w:val="0"/>
                <w:i w:val="0"/>
                <w:color w:val="1A1A1A"/>
                <w:sz w:val="20"/>
              </w:rPr>
              <w:t>Cargo</w:t>
            </w:r>
          </w:p>
        </w:tc>
        <w:tc>
          <w:tcPr>
            <w:tcW w:type="dxa" w:w="1587"/>
            <w:shd w:val="clear" w:color="auto" w:fill="FFFFFF"/>
          </w:tcPr>
          <w:p>
            <w:pPr>
              <w:jc w:val="left"/>
            </w:pPr>
            <w:r>
              <w:rPr>
                <w:rFonts w:ascii="Arial" w:hAnsi="Arial"/>
                <w:b w:val="0"/>
                <w:i w:val="0"/>
                <w:color w:val="1A1A1A"/>
                <w:sz w:val="20"/>
              </w:rPr>
              <w:t>Customs, ICP Mgr</w:t>
            </w:r>
          </w:p>
        </w:tc>
        <w:tc>
          <w:tcPr>
            <w:tcW w:type="dxa" w:w="2551"/>
            <w:shd w:val="clear" w:color="auto" w:fill="FFFFFF"/>
          </w:tcPr>
          <w:p>
            <w:pPr>
              <w:jc w:val="left"/>
            </w:pPr>
            <w:r>
              <w:rPr>
                <w:rFonts w:ascii="Arial" w:hAnsi="Arial"/>
                <w:b w:val="0"/>
                <w:i w:val="0"/>
                <w:color w:val="1A1A1A"/>
                <w:sz w:val="20"/>
              </w:rPr>
              <w:t>Risk ribbon, throughput chart, anomaly detection</w:t>
            </w:r>
          </w:p>
        </w:tc>
        <w:tc>
          <w:tcPr>
            <w:tcW w:type="dxa" w:w="1984"/>
            <w:shd w:val="clear" w:color="auto" w:fill="FFFFFF"/>
          </w:tcPr>
          <w:p>
            <w:pPr>
              <w:jc w:val="left"/>
            </w:pPr>
            <w:r>
              <w:rPr>
                <w:rFonts w:ascii="Arial" w:hAnsi="Arial"/>
                <w:b w:val="0"/>
                <w:i w:val="0"/>
                <w:color w:val="1A1A1A"/>
                <w:sz w:val="20"/>
              </w:rPr>
              <w:t>Risk scoring, anomaly detection</w:t>
            </w:r>
          </w:p>
        </w:tc>
        <w:tc>
          <w:tcPr>
            <w:tcW w:type="dxa" w:w="1814"/>
            <w:shd w:val="clear" w:color="auto" w:fill="FFFFFF"/>
          </w:tcPr>
          <w:p>
            <w:pPr>
              <w:jc w:val="left"/>
            </w:pPr>
            <w:r>
              <w:rPr>
                <w:rFonts w:ascii="Arial" w:hAnsi="Arial"/>
                <w:b w:val="0"/>
                <w:i w:val="0"/>
                <w:color w:val="1A1A1A"/>
                <w:sz w:val="20"/>
              </w:rPr>
              <w:t>ICEGATE, NATGRID</w:t>
            </w:r>
          </w:p>
        </w:tc>
      </w:tr>
      <w:tr>
        <w:tc>
          <w:tcPr>
            <w:tcW w:type="dxa" w:w="1417"/>
            <w:shd w:val="clear" w:color="auto" w:fill="F5F5F5"/>
          </w:tcPr>
          <w:p>
            <w:pPr>
              <w:jc w:val="left"/>
            </w:pPr>
            <w:r>
              <w:rPr>
                <w:rFonts w:ascii="Arial" w:hAnsi="Arial"/>
                <w:b w:val="0"/>
                <w:i w:val="0"/>
                <w:color w:val="1A1A1A"/>
                <w:sz w:val="20"/>
              </w:rPr>
              <w:t>Immigration</w:t>
            </w:r>
          </w:p>
        </w:tc>
        <w:tc>
          <w:tcPr>
            <w:tcW w:type="dxa" w:w="1587"/>
            <w:shd w:val="clear" w:color="auto" w:fill="F5F5F5"/>
          </w:tcPr>
          <w:p>
            <w:pPr>
              <w:jc w:val="left"/>
            </w:pPr>
            <w:r>
              <w:rPr>
                <w:rFonts w:ascii="Arial" w:hAnsi="Arial"/>
                <w:b w:val="0"/>
                <w:i w:val="0"/>
                <w:color w:val="1A1A1A"/>
                <w:sz w:val="20"/>
              </w:rPr>
              <w:t>Immigration, BSF</w:t>
            </w:r>
          </w:p>
        </w:tc>
        <w:tc>
          <w:tcPr>
            <w:tcW w:type="dxa" w:w="2551"/>
            <w:shd w:val="clear" w:color="auto" w:fill="F5F5F5"/>
          </w:tcPr>
          <w:p>
            <w:pPr>
              <w:jc w:val="left"/>
            </w:pPr>
            <w:r>
              <w:rPr>
                <w:rFonts w:ascii="Arial" w:hAnsi="Arial"/>
                <w:b w:val="0"/>
                <w:i w:val="0"/>
                <w:color w:val="1A1A1A"/>
                <w:sz w:val="20"/>
              </w:rPr>
              <w:t>Queue predictor, counter grid, watchlist</w:t>
            </w:r>
          </w:p>
        </w:tc>
        <w:tc>
          <w:tcPr>
            <w:tcW w:type="dxa" w:w="1984"/>
            <w:shd w:val="clear" w:color="auto" w:fill="F5F5F5"/>
          </w:tcPr>
          <w:p>
            <w:pPr>
              <w:jc w:val="left"/>
            </w:pPr>
            <w:r>
              <w:rPr>
                <w:rFonts w:ascii="Arial" w:hAnsi="Arial"/>
                <w:b w:val="0"/>
                <w:i w:val="0"/>
                <w:color w:val="1A1A1A"/>
                <w:sz w:val="20"/>
              </w:rPr>
              <w:t>Queue prediction, alert classification</w:t>
            </w:r>
          </w:p>
        </w:tc>
        <w:tc>
          <w:tcPr>
            <w:tcW w:type="dxa" w:w="1814"/>
            <w:shd w:val="clear" w:color="auto" w:fill="F5F5F5"/>
          </w:tcPr>
          <w:p>
            <w:pPr>
              <w:jc w:val="left"/>
            </w:pPr>
            <w:r>
              <w:rPr>
                <w:rFonts w:ascii="Arial" w:hAnsi="Arial"/>
                <w:b w:val="0"/>
                <w:i w:val="0"/>
                <w:color w:val="1A1A1A"/>
                <w:sz w:val="20"/>
              </w:rPr>
              <w:t>Bureau of Immigration, NATGRID</w:t>
            </w:r>
          </w:p>
        </w:tc>
      </w:tr>
      <w:tr>
        <w:tc>
          <w:tcPr>
            <w:tcW w:type="dxa" w:w="1417"/>
            <w:shd w:val="clear" w:color="auto" w:fill="FFFFFF"/>
          </w:tcPr>
          <w:p>
            <w:pPr>
              <w:jc w:val="left"/>
            </w:pPr>
            <w:r>
              <w:rPr>
                <w:rFonts w:ascii="Arial" w:hAnsi="Arial"/>
                <w:b w:val="0"/>
                <w:i w:val="0"/>
                <w:color w:val="1A1A1A"/>
                <w:sz w:val="20"/>
              </w:rPr>
              <w:t>Surveillance</w:t>
            </w:r>
          </w:p>
        </w:tc>
        <w:tc>
          <w:tcPr>
            <w:tcW w:type="dxa" w:w="1587"/>
            <w:shd w:val="clear" w:color="auto" w:fill="FFFFFF"/>
          </w:tcPr>
          <w:p>
            <w:pPr>
              <w:jc w:val="left"/>
            </w:pPr>
            <w:r>
              <w:rPr>
                <w:rFonts w:ascii="Arial" w:hAnsi="Arial"/>
                <w:b w:val="0"/>
                <w:i w:val="0"/>
                <w:color w:val="1A1A1A"/>
                <w:sz w:val="20"/>
              </w:rPr>
              <w:t>Security Officer</w:t>
            </w:r>
          </w:p>
        </w:tc>
        <w:tc>
          <w:tcPr>
            <w:tcW w:type="dxa" w:w="2551"/>
            <w:shd w:val="clear" w:color="auto" w:fill="FFFFFF"/>
          </w:tcPr>
          <w:p>
            <w:pPr>
              <w:jc w:val="left"/>
            </w:pPr>
            <w:r>
              <w:rPr>
                <w:rFonts w:ascii="Arial" w:hAnsi="Arial"/>
                <w:b w:val="0"/>
                <w:i w:val="0"/>
                <w:color w:val="1A1A1A"/>
                <w:sz w:val="20"/>
              </w:rPr>
              <w:t>Camera grid, alert camera, sector status</w:t>
            </w:r>
          </w:p>
        </w:tc>
        <w:tc>
          <w:tcPr>
            <w:tcW w:type="dxa" w:w="1984"/>
            <w:shd w:val="clear" w:color="auto" w:fill="FFFFFF"/>
          </w:tcPr>
          <w:p>
            <w:pPr>
              <w:jc w:val="left"/>
            </w:pPr>
            <w:r>
              <w:rPr>
                <w:rFonts w:ascii="Arial" w:hAnsi="Arial"/>
                <w:b w:val="0"/>
                <w:i w:val="0"/>
                <w:color w:val="1A1A1A"/>
                <w:sz w:val="20"/>
              </w:rPr>
              <w:t>Alert classification, threat assessment</w:t>
            </w:r>
          </w:p>
        </w:tc>
        <w:tc>
          <w:tcPr>
            <w:tcW w:type="dxa" w:w="1814"/>
            <w:shd w:val="clear" w:color="auto" w:fill="FFFFFF"/>
          </w:tcPr>
          <w:p>
            <w:pPr>
              <w:jc w:val="left"/>
            </w:pPr>
            <w:r>
              <w:rPr>
                <w:rFonts w:ascii="Arial" w:hAnsi="Arial"/>
                <w:b w:val="0"/>
                <w:i w:val="0"/>
                <w:color w:val="1A1A1A"/>
                <w:sz w:val="20"/>
              </w:rPr>
              <w:t>CCTNS, IP Camera</w:t>
            </w:r>
          </w:p>
        </w:tc>
      </w:tr>
      <w:tr>
        <w:tc>
          <w:tcPr>
            <w:tcW w:type="dxa" w:w="1417"/>
            <w:shd w:val="clear" w:color="auto" w:fill="F5F5F5"/>
          </w:tcPr>
          <w:p>
            <w:pPr>
              <w:jc w:val="left"/>
            </w:pPr>
            <w:r>
              <w:rPr>
                <w:rFonts w:ascii="Arial" w:hAnsi="Arial"/>
                <w:b w:val="0"/>
                <w:i w:val="0"/>
                <w:color w:val="1A1A1A"/>
                <w:sz w:val="20"/>
              </w:rPr>
              <w:t>Vehicle</w:t>
            </w:r>
          </w:p>
        </w:tc>
        <w:tc>
          <w:tcPr>
            <w:tcW w:type="dxa" w:w="1587"/>
            <w:shd w:val="clear" w:color="auto" w:fill="F5F5F5"/>
          </w:tcPr>
          <w:p>
            <w:pPr>
              <w:jc w:val="left"/>
            </w:pPr>
            <w:r>
              <w:rPr>
                <w:rFonts w:ascii="Arial" w:hAnsi="Arial"/>
                <w:b w:val="0"/>
                <w:i w:val="0"/>
                <w:color w:val="1A1A1A"/>
                <w:sz w:val="20"/>
              </w:rPr>
              <w:t>Gate Manager</w:t>
            </w:r>
          </w:p>
        </w:tc>
        <w:tc>
          <w:tcPr>
            <w:tcW w:type="dxa" w:w="2551"/>
            <w:shd w:val="clear" w:color="auto" w:fill="F5F5F5"/>
          </w:tcPr>
          <w:p>
            <w:pPr>
              <w:jc w:val="left"/>
            </w:pPr>
            <w:r>
              <w:rPr>
                <w:rFonts w:ascii="Arial" w:hAnsi="Arial"/>
                <w:b w:val="0"/>
                <w:i w:val="0"/>
                <w:color w:val="1A1A1A"/>
                <w:sz w:val="20"/>
              </w:rPr>
              <w:t>ANPR widget, lane status, vehicle table</w:t>
            </w:r>
          </w:p>
        </w:tc>
        <w:tc>
          <w:tcPr>
            <w:tcW w:type="dxa" w:w="1984"/>
            <w:shd w:val="clear" w:color="auto" w:fill="F5F5F5"/>
          </w:tcPr>
          <w:p>
            <w:pPr>
              <w:jc w:val="left"/>
            </w:pPr>
            <w:r>
              <w:rPr>
                <w:rFonts w:ascii="Arial" w:hAnsi="Arial"/>
                <w:b w:val="0"/>
                <w:i w:val="0"/>
                <w:color w:val="1A1A1A"/>
                <w:sz w:val="20"/>
              </w:rPr>
              <w:t>Lane optimization, ANPR matching</w:t>
            </w:r>
          </w:p>
        </w:tc>
        <w:tc>
          <w:tcPr>
            <w:tcW w:type="dxa" w:w="1814"/>
            <w:shd w:val="clear" w:color="auto" w:fill="F5F5F5"/>
          </w:tcPr>
          <w:p>
            <w:pPr>
              <w:jc w:val="left"/>
            </w:pPr>
            <w:r>
              <w:rPr>
                <w:rFonts w:ascii="Arial" w:hAnsi="Arial"/>
                <w:b w:val="0"/>
                <w:i w:val="0"/>
                <w:color w:val="1A1A1A"/>
                <w:sz w:val="20"/>
              </w:rPr>
              <w:t>VAHAN, ITMS</w:t>
            </w:r>
          </w:p>
        </w:tc>
      </w:tr>
      <w:tr>
        <w:tc>
          <w:tcPr>
            <w:tcW w:type="dxa" w:w="1417"/>
            <w:shd w:val="clear" w:color="auto" w:fill="FFFFFF"/>
          </w:tcPr>
          <w:p>
            <w:pPr>
              <w:jc w:val="left"/>
            </w:pPr>
            <w:r>
              <w:rPr>
                <w:rFonts w:ascii="Arial" w:hAnsi="Arial"/>
                <w:b w:val="0"/>
                <w:i w:val="0"/>
                <w:color w:val="1A1A1A"/>
                <w:sz w:val="20"/>
              </w:rPr>
              <w:t>Analytics</w:t>
            </w:r>
          </w:p>
        </w:tc>
        <w:tc>
          <w:tcPr>
            <w:tcW w:type="dxa" w:w="1587"/>
            <w:shd w:val="clear" w:color="auto" w:fill="FFFFFF"/>
          </w:tcPr>
          <w:p>
            <w:pPr>
              <w:jc w:val="left"/>
            </w:pPr>
            <w:r>
              <w:rPr>
                <w:rFonts w:ascii="Arial" w:hAnsi="Arial"/>
                <w:b w:val="0"/>
                <w:i w:val="0"/>
                <w:color w:val="1A1A1A"/>
                <w:sz w:val="20"/>
              </w:rPr>
              <w:t>HQ, Policy</w:t>
            </w:r>
          </w:p>
        </w:tc>
        <w:tc>
          <w:tcPr>
            <w:tcW w:type="dxa" w:w="2551"/>
            <w:shd w:val="clear" w:color="auto" w:fill="FFFFFF"/>
          </w:tcPr>
          <w:p>
            <w:pPr>
              <w:jc w:val="left"/>
            </w:pPr>
            <w:r>
              <w:rPr>
                <w:rFonts w:ascii="Arial" w:hAnsi="Arial"/>
                <w:b w:val="0"/>
                <w:i w:val="0"/>
                <w:color w:val="1A1A1A"/>
                <w:sz w:val="20"/>
              </w:rPr>
              <w:t>Multi-ICP table, trade flow, benchmarking</w:t>
            </w:r>
          </w:p>
        </w:tc>
        <w:tc>
          <w:tcPr>
            <w:tcW w:type="dxa" w:w="1984"/>
            <w:shd w:val="clear" w:color="auto" w:fill="FFFFFF"/>
          </w:tcPr>
          <w:p>
            <w:pPr>
              <w:jc w:val="left"/>
            </w:pPr>
            <w:r>
              <w:rPr>
                <w:rFonts w:ascii="Arial" w:hAnsi="Arial"/>
                <w:b w:val="0"/>
                <w:i w:val="0"/>
                <w:color w:val="1A1A1A"/>
                <w:sz w:val="20"/>
              </w:rPr>
              <w:t>Trend analysis, strategic briefing</w:t>
            </w:r>
          </w:p>
        </w:tc>
        <w:tc>
          <w:tcPr>
            <w:tcW w:type="dxa" w:w="1814"/>
            <w:shd w:val="clear" w:color="auto" w:fill="FFFFFF"/>
          </w:tcPr>
          <w:p>
            <w:pPr>
              <w:jc w:val="left"/>
            </w:pPr>
            <w:r>
              <w:rPr>
                <w:rFonts w:ascii="Arial" w:hAnsi="Arial"/>
                <w:b w:val="0"/>
                <w:i w:val="0"/>
                <w:color w:val="1A1A1A"/>
                <w:sz w:val="20"/>
              </w:rPr>
              <w:t>All ICP data aggregate</w:t>
            </w:r>
          </w:p>
        </w:tc>
      </w:tr>
    </w:tbl>
    <w:p/>
    <w:p>
      <w:pPr>
        <w:spacing w:before="320" w:after="80"/>
        <w:jc w:val="left"/>
      </w:pPr>
      <w:r>
        <w:rPr>
          <w:rFonts w:ascii="Arial" w:hAnsi="Arial"/>
          <w:b/>
          <w:color w:val="1A3A6A"/>
          <w:sz w:val="26"/>
        </w:rPr>
        <w:t>Appendix B: Walkthrough Step Index</w:t>
      </w:r>
    </w:p>
    <w:p>
      <w:pPr>
        <w:spacing w:before="200" w:after="40"/>
        <w:jc w:val="left"/>
      </w:pPr>
      <w:r>
        <w:rPr>
          <w:rFonts w:ascii="Arial" w:hAnsi="Arial"/>
          <w:b/>
          <w:color w:val="D4881A"/>
          <w:sz w:val="22"/>
        </w:rPr>
        <w:t>Table 6: Guided Walkthrough — 45-Step Index</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680"/>
            <w:shd w:val="clear" w:color="auto" w:fill="1A3A6A"/>
            <w:vAlign w:val="center"/>
          </w:tcPr>
          <w:p>
            <w:pPr>
              <w:jc w:val="center"/>
            </w:pPr>
            <w:r>
              <w:rPr>
                <w:rFonts w:ascii="Arial" w:hAnsi="Arial"/>
                <w:b/>
                <w:i w:val="0"/>
                <w:color w:val="FFFFFF"/>
                <w:sz w:val="20"/>
              </w:rPr>
              <w:t>Step</w:t>
            </w:r>
          </w:p>
        </w:tc>
        <w:tc>
          <w:tcPr>
            <w:tcW w:type="dxa" w:w="1134"/>
            <w:shd w:val="clear" w:color="auto" w:fill="1A3A6A"/>
            <w:vAlign w:val="center"/>
          </w:tcPr>
          <w:p>
            <w:pPr>
              <w:jc w:val="center"/>
            </w:pPr>
            <w:r>
              <w:rPr>
                <w:rFonts w:ascii="Arial" w:hAnsi="Arial"/>
                <w:b/>
                <w:i w:val="0"/>
                <w:color w:val="FFFFFF"/>
                <w:sz w:val="20"/>
              </w:rPr>
              <w:t>Type</w:t>
            </w:r>
          </w:p>
        </w:tc>
        <w:tc>
          <w:tcPr>
            <w:tcW w:type="dxa" w:w="1417"/>
            <w:shd w:val="clear" w:color="auto" w:fill="1A3A6A"/>
            <w:vAlign w:val="center"/>
          </w:tcPr>
          <w:p>
            <w:pPr>
              <w:jc w:val="center"/>
            </w:pPr>
            <w:r>
              <w:rPr>
                <w:rFonts w:ascii="Arial" w:hAnsi="Arial"/>
                <w:b/>
                <w:i w:val="0"/>
                <w:color w:val="FFFFFF"/>
                <w:sz w:val="20"/>
              </w:rPr>
              <w:t>Module</w:t>
            </w:r>
          </w:p>
        </w:tc>
        <w:tc>
          <w:tcPr>
            <w:tcW w:type="dxa" w:w="2154"/>
            <w:shd w:val="clear" w:color="auto" w:fill="1A3A6A"/>
            <w:vAlign w:val="center"/>
          </w:tcPr>
          <w:p>
            <w:pPr>
              <w:jc w:val="center"/>
            </w:pPr>
            <w:r>
              <w:rPr>
                <w:rFonts w:ascii="Arial" w:hAnsi="Arial"/>
                <w:b/>
                <w:i w:val="0"/>
                <w:color w:val="FFFFFF"/>
                <w:sz w:val="20"/>
              </w:rPr>
              <w:t>Target Element</w:t>
            </w:r>
          </w:p>
        </w:tc>
        <w:tc>
          <w:tcPr>
            <w:tcW w:type="dxa" w:w="2551"/>
            <w:shd w:val="clear" w:color="auto" w:fill="1A3A6A"/>
            <w:vAlign w:val="center"/>
          </w:tcPr>
          <w:p>
            <w:pPr>
              <w:jc w:val="center"/>
            </w:pPr>
            <w:r>
              <w:rPr>
                <w:rFonts w:ascii="Arial" w:hAnsi="Arial"/>
                <w:b/>
                <w:i w:val="0"/>
                <w:color w:val="FFFFFF"/>
                <w:sz w:val="20"/>
              </w:rPr>
              <w:t>Title</w:t>
            </w:r>
          </w:p>
        </w:tc>
      </w:tr>
      <w:tr>
        <w:tc>
          <w:tcPr>
            <w:tcW w:type="dxa" w:w="680"/>
            <w:shd w:val="clear" w:color="auto" w:fill="F5F5F5"/>
          </w:tcPr>
          <w:p>
            <w:pPr>
              <w:jc w:val="left"/>
            </w:pPr>
            <w:r>
              <w:rPr>
                <w:rFonts w:ascii="Arial" w:hAnsi="Arial"/>
                <w:b w:val="0"/>
                <w:i w:val="0"/>
                <w:color w:val="1A1A1A"/>
                <w:sz w:val="20"/>
              </w:rPr>
              <w:t>1</w:t>
            </w:r>
          </w:p>
        </w:tc>
        <w:tc>
          <w:tcPr>
            <w:tcW w:type="dxa" w:w="1134"/>
            <w:shd w:val="clear" w:color="auto" w:fill="F5F5F5"/>
          </w:tcPr>
          <w:p>
            <w:pPr>
              <w:jc w:val="left"/>
            </w:pPr>
            <w:r>
              <w:rPr>
                <w:rFonts w:ascii="Arial" w:hAnsi="Arial"/>
                <w:b w:val="0"/>
                <w:i w:val="0"/>
                <w:color w:val="1A1A1A"/>
                <w:sz w:val="20"/>
              </w:rPr>
              <w:t>Center</w:t>
            </w:r>
          </w:p>
        </w:tc>
        <w:tc>
          <w:tcPr>
            <w:tcW w:type="dxa" w:w="1417"/>
            <w:shd w:val="clear" w:color="auto" w:fill="F5F5F5"/>
          </w:tcPr>
          <w:p>
            <w:pPr>
              <w:jc w:val="left"/>
            </w:pPr>
            <w:r>
              <w:rPr>
                <w:rFonts w:ascii="Arial" w:hAnsi="Arial"/>
                <w:b w:val="0"/>
                <w:i w:val="0"/>
                <w:color w:val="1A1A1A"/>
                <w:sz w:val="20"/>
              </w:rPr>
              <w:t>—</w:t>
            </w:r>
          </w:p>
        </w:tc>
        <w:tc>
          <w:tcPr>
            <w:tcW w:type="dxa" w:w="2154"/>
            <w:shd w:val="clear" w:color="auto" w:fill="F5F5F5"/>
          </w:tcPr>
          <w:p>
            <w:pPr>
              <w:jc w:val="left"/>
            </w:pPr>
            <w:r>
              <w:rPr>
                <w:rFonts w:ascii="Arial" w:hAnsi="Arial"/>
                <w:b w:val="0"/>
                <w:i w:val="0"/>
                <w:color w:val="1A1A1A"/>
                <w:sz w:val="20"/>
              </w:rPr>
              <w:t>—</w:t>
            </w:r>
          </w:p>
        </w:tc>
        <w:tc>
          <w:tcPr>
            <w:tcW w:type="dxa" w:w="2551"/>
            <w:shd w:val="clear" w:color="auto" w:fill="F5F5F5"/>
          </w:tcPr>
          <w:p>
            <w:pPr>
              <w:jc w:val="left"/>
            </w:pPr>
            <w:r>
              <w:rPr>
                <w:rFonts w:ascii="Arial" w:hAnsi="Arial"/>
                <w:b w:val="0"/>
                <w:i w:val="0"/>
                <w:color w:val="1A1A1A"/>
                <w:sz w:val="20"/>
              </w:rPr>
              <w:t>Welcome to LPAI Nexus</w:t>
            </w:r>
          </w:p>
        </w:tc>
      </w:tr>
      <w:tr>
        <w:tc>
          <w:tcPr>
            <w:tcW w:type="dxa" w:w="680"/>
            <w:shd w:val="clear" w:color="auto" w:fill="FFFFFF"/>
          </w:tcPr>
          <w:p>
            <w:pPr>
              <w:jc w:val="left"/>
            </w:pPr>
            <w:r>
              <w:rPr>
                <w:rFonts w:ascii="Arial" w:hAnsi="Arial"/>
                <w:b w:val="0"/>
                <w:i w:val="0"/>
                <w:color w:val="1A1A1A"/>
                <w:sz w:val="20"/>
              </w:rPr>
              <w:t>2</w:t>
            </w:r>
          </w:p>
        </w:tc>
        <w:tc>
          <w:tcPr>
            <w:tcW w:type="dxa" w:w="1134"/>
            <w:shd w:val="clear" w:color="auto" w:fill="FFFFFF"/>
          </w:tcPr>
          <w:p>
            <w:pPr>
              <w:jc w:val="left"/>
            </w:pPr>
            <w:r>
              <w:rPr>
                <w:rFonts w:ascii="Arial" w:hAnsi="Arial"/>
                <w:b w:val="0"/>
                <w:i w:val="0"/>
                <w:color w:val="1A1A1A"/>
                <w:sz w:val="20"/>
              </w:rPr>
              <w:t>Center</w:t>
            </w:r>
          </w:p>
        </w:tc>
        <w:tc>
          <w:tcPr>
            <w:tcW w:type="dxa" w:w="1417"/>
            <w:shd w:val="clear" w:color="auto" w:fill="FFFFFF"/>
          </w:tcPr>
          <w:p>
            <w:pPr>
              <w:jc w:val="left"/>
            </w:pPr>
            <w:r>
              <w:rPr>
                <w:rFonts w:ascii="Arial" w:hAnsi="Arial"/>
                <w:b w:val="0"/>
                <w:i w:val="0"/>
                <w:color w:val="1A1A1A"/>
                <w:sz w:val="20"/>
              </w:rPr>
              <w:t>—</w:t>
            </w:r>
          </w:p>
        </w:tc>
        <w:tc>
          <w:tcPr>
            <w:tcW w:type="dxa" w:w="2154"/>
            <w:shd w:val="clear" w:color="auto" w:fill="FFFFFF"/>
          </w:tcPr>
          <w:p>
            <w:pPr>
              <w:jc w:val="left"/>
            </w:pPr>
            <w:r>
              <w:rPr>
                <w:rFonts w:ascii="Arial" w:hAnsi="Arial"/>
                <w:b w:val="0"/>
                <w:i w:val="0"/>
                <w:color w:val="1A1A1A"/>
                <w:sz w:val="20"/>
              </w:rPr>
              <w:t>—</w:t>
            </w:r>
          </w:p>
        </w:tc>
        <w:tc>
          <w:tcPr>
            <w:tcW w:type="dxa" w:w="2551"/>
            <w:shd w:val="clear" w:color="auto" w:fill="FFFFFF"/>
          </w:tcPr>
          <w:p>
            <w:pPr>
              <w:jc w:val="left"/>
            </w:pPr>
            <w:r>
              <w:rPr>
                <w:rFonts w:ascii="Arial" w:hAnsi="Arial"/>
                <w:b w:val="0"/>
                <w:i w:val="0"/>
                <w:color w:val="1A1A1A"/>
                <w:sz w:val="20"/>
              </w:rPr>
              <w:t>About LPAI</w:t>
            </w:r>
          </w:p>
        </w:tc>
      </w:tr>
      <w:tr>
        <w:tc>
          <w:tcPr>
            <w:tcW w:type="dxa" w:w="680"/>
            <w:shd w:val="clear" w:color="auto" w:fill="F5F5F5"/>
          </w:tcPr>
          <w:p>
            <w:pPr>
              <w:jc w:val="left"/>
            </w:pPr>
            <w:r>
              <w:rPr>
                <w:rFonts w:ascii="Arial" w:hAnsi="Arial"/>
                <w:b w:val="0"/>
                <w:i w:val="0"/>
                <w:color w:val="1A1A1A"/>
                <w:sz w:val="20"/>
              </w:rPr>
              <w:t>3</w:t>
            </w:r>
          </w:p>
        </w:tc>
        <w:tc>
          <w:tcPr>
            <w:tcW w:type="dxa" w:w="1134"/>
            <w:shd w:val="clear" w:color="auto" w:fill="F5F5F5"/>
          </w:tcPr>
          <w:p>
            <w:pPr>
              <w:jc w:val="left"/>
            </w:pPr>
            <w:r>
              <w:rPr>
                <w:rFonts w:ascii="Arial" w:hAnsi="Arial"/>
                <w:b w:val="0"/>
                <w:i w:val="0"/>
                <w:color w:val="1A1A1A"/>
                <w:sz w:val="20"/>
              </w:rPr>
              <w:t>Center</w:t>
            </w:r>
          </w:p>
        </w:tc>
        <w:tc>
          <w:tcPr>
            <w:tcW w:type="dxa" w:w="1417"/>
            <w:shd w:val="clear" w:color="auto" w:fill="F5F5F5"/>
          </w:tcPr>
          <w:p>
            <w:pPr>
              <w:jc w:val="left"/>
            </w:pPr>
            <w:r>
              <w:rPr>
                <w:rFonts w:ascii="Arial" w:hAnsi="Arial"/>
                <w:b w:val="0"/>
                <w:i w:val="0"/>
                <w:color w:val="1A1A1A"/>
                <w:sz w:val="20"/>
              </w:rPr>
              <w:t>—</w:t>
            </w:r>
          </w:p>
        </w:tc>
        <w:tc>
          <w:tcPr>
            <w:tcW w:type="dxa" w:w="2154"/>
            <w:shd w:val="clear" w:color="auto" w:fill="F5F5F5"/>
          </w:tcPr>
          <w:p>
            <w:pPr>
              <w:jc w:val="left"/>
            </w:pPr>
            <w:r>
              <w:rPr>
                <w:rFonts w:ascii="Arial" w:hAnsi="Arial"/>
                <w:b w:val="0"/>
                <w:i w:val="0"/>
                <w:color w:val="1A1A1A"/>
                <w:sz w:val="20"/>
              </w:rPr>
              <w:t>—</w:t>
            </w:r>
          </w:p>
        </w:tc>
        <w:tc>
          <w:tcPr>
            <w:tcW w:type="dxa" w:w="2551"/>
            <w:shd w:val="clear" w:color="auto" w:fill="F5F5F5"/>
          </w:tcPr>
          <w:p>
            <w:pPr>
              <w:jc w:val="left"/>
            </w:pPr>
            <w:r>
              <w:rPr>
                <w:rFonts w:ascii="Arial" w:hAnsi="Arial"/>
                <w:b w:val="0"/>
                <w:i w:val="0"/>
                <w:color w:val="1A1A1A"/>
                <w:sz w:val="20"/>
              </w:rPr>
              <w:t>Powered by Axiom AI</w:t>
            </w:r>
          </w:p>
        </w:tc>
      </w:tr>
      <w:tr>
        <w:tc>
          <w:tcPr>
            <w:tcW w:type="dxa" w:w="680"/>
            <w:shd w:val="clear" w:color="auto" w:fill="FFFFFF"/>
          </w:tcPr>
          <w:p>
            <w:pPr>
              <w:jc w:val="left"/>
            </w:pPr>
            <w:r>
              <w:rPr>
                <w:rFonts w:ascii="Arial" w:hAnsi="Arial"/>
                <w:b w:val="0"/>
                <w:i w:val="0"/>
                <w:color w:val="1A1A1A"/>
                <w:sz w:val="20"/>
              </w:rPr>
              <w:t>4</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Overview</w:t>
            </w:r>
          </w:p>
        </w:tc>
        <w:tc>
          <w:tcPr>
            <w:tcW w:type="dxa" w:w="2154"/>
            <w:shd w:val="clear" w:color="auto" w:fill="FFFFFF"/>
          </w:tcPr>
          <w:p>
            <w:pPr>
              <w:jc w:val="left"/>
            </w:pPr>
            <w:r>
              <w:rPr>
                <w:rFonts w:ascii="Arial" w:hAnsi="Arial"/>
                <w:b w:val="0"/>
                <w:i w:val="0"/>
                <w:color w:val="1A1A1A"/>
                <w:sz w:val="20"/>
              </w:rPr>
              <w:t>nav-bar</w:t>
            </w:r>
          </w:p>
        </w:tc>
        <w:tc>
          <w:tcPr>
            <w:tcW w:type="dxa" w:w="2551"/>
            <w:shd w:val="clear" w:color="auto" w:fill="FFFFFF"/>
          </w:tcPr>
          <w:p>
            <w:pPr>
              <w:jc w:val="left"/>
            </w:pPr>
            <w:r>
              <w:rPr>
                <w:rFonts w:ascii="Arial" w:hAnsi="Arial"/>
                <w:b w:val="0"/>
                <w:i w:val="0"/>
                <w:color w:val="1A1A1A"/>
                <w:sz w:val="20"/>
              </w:rPr>
              <w:t>The Command Navigation Bar</w:t>
            </w:r>
          </w:p>
        </w:tc>
      </w:tr>
      <w:tr>
        <w:tc>
          <w:tcPr>
            <w:tcW w:type="dxa" w:w="680"/>
            <w:shd w:val="clear" w:color="auto" w:fill="F5F5F5"/>
          </w:tcPr>
          <w:p>
            <w:pPr>
              <w:jc w:val="left"/>
            </w:pPr>
            <w:r>
              <w:rPr>
                <w:rFonts w:ascii="Arial" w:hAnsi="Arial"/>
                <w:b w:val="0"/>
                <w:i w:val="0"/>
                <w:color w:val="1A1A1A"/>
                <w:sz w:val="20"/>
              </w:rPr>
              <w:t>5</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Overview</w:t>
            </w:r>
          </w:p>
        </w:tc>
        <w:tc>
          <w:tcPr>
            <w:tcW w:type="dxa" w:w="2154"/>
            <w:shd w:val="clear" w:color="auto" w:fill="F5F5F5"/>
          </w:tcPr>
          <w:p>
            <w:pPr>
              <w:jc w:val="left"/>
            </w:pPr>
            <w:r>
              <w:rPr>
                <w:rFonts w:ascii="Arial" w:hAnsi="Arial"/>
                <w:b w:val="0"/>
                <w:i w:val="0"/>
                <w:color w:val="1A1A1A"/>
                <w:sz w:val="20"/>
              </w:rPr>
              <w:t>icp-selector</w:t>
            </w:r>
          </w:p>
        </w:tc>
        <w:tc>
          <w:tcPr>
            <w:tcW w:type="dxa" w:w="2551"/>
            <w:shd w:val="clear" w:color="auto" w:fill="F5F5F5"/>
          </w:tcPr>
          <w:p>
            <w:pPr>
              <w:jc w:val="left"/>
            </w:pPr>
            <w:r>
              <w:rPr>
                <w:rFonts w:ascii="Arial" w:hAnsi="Arial"/>
                <w:b w:val="0"/>
                <w:i w:val="0"/>
                <w:color w:val="1A1A1A"/>
                <w:sz w:val="20"/>
              </w:rPr>
              <w:t>ICP Selection Control</w:t>
            </w:r>
          </w:p>
        </w:tc>
      </w:tr>
      <w:tr>
        <w:tc>
          <w:tcPr>
            <w:tcW w:type="dxa" w:w="680"/>
            <w:shd w:val="clear" w:color="auto" w:fill="FFFFFF"/>
          </w:tcPr>
          <w:p>
            <w:pPr>
              <w:jc w:val="left"/>
            </w:pPr>
            <w:r>
              <w:rPr>
                <w:rFonts w:ascii="Arial" w:hAnsi="Arial"/>
                <w:b w:val="0"/>
                <w:i w:val="0"/>
                <w:color w:val="1A1A1A"/>
                <w:sz w:val="20"/>
              </w:rPr>
              <w:t>6</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Overview</w:t>
            </w:r>
          </w:p>
        </w:tc>
        <w:tc>
          <w:tcPr>
            <w:tcW w:type="dxa" w:w="2154"/>
            <w:shd w:val="clear" w:color="auto" w:fill="FFFFFF"/>
          </w:tcPr>
          <w:p>
            <w:pPr>
              <w:jc w:val="left"/>
            </w:pPr>
            <w:r>
              <w:rPr>
                <w:rFonts w:ascii="Arial" w:hAnsi="Arial"/>
                <w:b w:val="0"/>
                <w:i w:val="0"/>
                <w:color w:val="1A1A1A"/>
                <w:sz w:val="20"/>
              </w:rPr>
              <w:t>alert-bell</w:t>
            </w:r>
          </w:p>
        </w:tc>
        <w:tc>
          <w:tcPr>
            <w:tcW w:type="dxa" w:w="2551"/>
            <w:shd w:val="clear" w:color="auto" w:fill="FFFFFF"/>
          </w:tcPr>
          <w:p>
            <w:pPr>
              <w:jc w:val="left"/>
            </w:pPr>
            <w:r>
              <w:rPr>
                <w:rFonts w:ascii="Arial" w:hAnsi="Arial"/>
                <w:b w:val="0"/>
                <w:i w:val="0"/>
                <w:color w:val="1A1A1A"/>
                <w:sz w:val="20"/>
              </w:rPr>
              <w:t>Live Alert System</w:t>
            </w:r>
          </w:p>
        </w:tc>
      </w:tr>
      <w:tr>
        <w:tc>
          <w:tcPr>
            <w:tcW w:type="dxa" w:w="680"/>
            <w:shd w:val="clear" w:color="auto" w:fill="F5F5F5"/>
          </w:tcPr>
          <w:p>
            <w:pPr>
              <w:jc w:val="left"/>
            </w:pPr>
            <w:r>
              <w:rPr>
                <w:rFonts w:ascii="Arial" w:hAnsi="Arial"/>
                <w:b w:val="0"/>
                <w:i w:val="0"/>
                <w:color w:val="1A1A1A"/>
                <w:sz w:val="20"/>
              </w:rPr>
              <w:t>7</w:t>
            </w:r>
          </w:p>
        </w:tc>
        <w:tc>
          <w:tcPr>
            <w:tcW w:type="dxa" w:w="1134"/>
            <w:shd w:val="clear" w:color="auto" w:fill="F5F5F5"/>
          </w:tcPr>
          <w:p>
            <w:pPr>
              <w:jc w:val="left"/>
            </w:pPr>
            <w:r>
              <w:rPr>
                <w:rFonts w:ascii="Arial" w:hAnsi="Arial"/>
                <w:b w:val="0"/>
                <w:i w:val="0"/>
                <w:color w:val="1A1A1A"/>
                <w:sz w:val="20"/>
              </w:rPr>
              <w:t>Transition</w:t>
            </w:r>
          </w:p>
        </w:tc>
        <w:tc>
          <w:tcPr>
            <w:tcW w:type="dxa" w:w="1417"/>
            <w:shd w:val="clear" w:color="auto" w:fill="F5F5F5"/>
          </w:tcPr>
          <w:p>
            <w:pPr>
              <w:jc w:val="left"/>
            </w:pPr>
            <w:r>
              <w:rPr>
                <w:rFonts w:ascii="Arial" w:hAnsi="Arial"/>
                <w:b w:val="0"/>
                <w:i w:val="0"/>
                <w:color w:val="1A1A1A"/>
                <w:sz w:val="20"/>
              </w:rPr>
              <w:t>Overview</w:t>
            </w:r>
          </w:p>
        </w:tc>
        <w:tc>
          <w:tcPr>
            <w:tcW w:type="dxa" w:w="2154"/>
            <w:shd w:val="clear" w:color="auto" w:fill="F5F5F5"/>
          </w:tcPr>
          <w:p>
            <w:pPr>
              <w:jc w:val="left"/>
            </w:pPr>
            <w:r>
              <w:rPr>
                <w:rFonts w:ascii="Arial" w:hAnsi="Arial"/>
                <w:b w:val="0"/>
                <w:i w:val="0"/>
                <w:color w:val="1A1A1A"/>
                <w:sz w:val="20"/>
              </w:rPr>
              <w:t>—</w:t>
            </w:r>
          </w:p>
        </w:tc>
        <w:tc>
          <w:tcPr>
            <w:tcW w:type="dxa" w:w="2551"/>
            <w:shd w:val="clear" w:color="auto" w:fill="F5F5F5"/>
          </w:tcPr>
          <w:p>
            <w:pPr>
              <w:jc w:val="left"/>
            </w:pPr>
            <w:r>
              <w:rPr>
                <w:rFonts w:ascii="Arial" w:hAnsi="Arial"/>
                <w:b w:val="0"/>
                <w:i w:val="0"/>
                <w:color w:val="1A1A1A"/>
                <w:sz w:val="20"/>
              </w:rPr>
              <w:t>Loading Overview Module</w:t>
            </w:r>
          </w:p>
        </w:tc>
      </w:tr>
      <w:tr>
        <w:tc>
          <w:tcPr>
            <w:tcW w:type="dxa" w:w="680"/>
            <w:shd w:val="clear" w:color="auto" w:fill="FFFFFF"/>
          </w:tcPr>
          <w:p>
            <w:pPr>
              <w:jc w:val="left"/>
            </w:pPr>
            <w:r>
              <w:rPr>
                <w:rFonts w:ascii="Arial" w:hAnsi="Arial"/>
                <w:b w:val="0"/>
                <w:i w:val="0"/>
                <w:color w:val="1A1A1A"/>
                <w:sz w:val="20"/>
              </w:rPr>
              <w:t>8</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Overview</w:t>
            </w:r>
          </w:p>
        </w:tc>
        <w:tc>
          <w:tcPr>
            <w:tcW w:type="dxa" w:w="2154"/>
            <w:shd w:val="clear" w:color="auto" w:fill="FFFFFF"/>
          </w:tcPr>
          <w:p>
            <w:pPr>
              <w:jc w:val="left"/>
            </w:pPr>
            <w:r>
              <w:rPr>
                <w:rFonts w:ascii="Arial" w:hAnsi="Arial"/>
                <w:b w:val="0"/>
                <w:i w:val="0"/>
                <w:color w:val="1A1A1A"/>
                <w:sz w:val="20"/>
              </w:rPr>
              <w:t>hero-section</w:t>
            </w:r>
          </w:p>
        </w:tc>
        <w:tc>
          <w:tcPr>
            <w:tcW w:type="dxa" w:w="2551"/>
            <w:shd w:val="clear" w:color="auto" w:fill="FFFFFF"/>
          </w:tcPr>
          <w:p>
            <w:pPr>
              <w:jc w:val="left"/>
            </w:pPr>
            <w:r>
              <w:rPr>
                <w:rFonts w:ascii="Arial" w:hAnsi="Arial"/>
                <w:b w:val="0"/>
                <w:i w:val="0"/>
                <w:color w:val="1A1A1A"/>
                <w:sz w:val="20"/>
              </w:rPr>
              <w:t>Mission Control Overview</w:t>
            </w:r>
          </w:p>
        </w:tc>
      </w:tr>
      <w:tr>
        <w:tc>
          <w:tcPr>
            <w:tcW w:type="dxa" w:w="680"/>
            <w:shd w:val="clear" w:color="auto" w:fill="F5F5F5"/>
          </w:tcPr>
          <w:p>
            <w:pPr>
              <w:jc w:val="left"/>
            </w:pPr>
            <w:r>
              <w:rPr>
                <w:rFonts w:ascii="Arial" w:hAnsi="Arial"/>
                <w:b w:val="0"/>
                <w:i w:val="0"/>
                <w:color w:val="1A1A1A"/>
                <w:sz w:val="20"/>
              </w:rPr>
              <w:t>9</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Overview</w:t>
            </w:r>
          </w:p>
        </w:tc>
        <w:tc>
          <w:tcPr>
            <w:tcW w:type="dxa" w:w="2154"/>
            <w:shd w:val="clear" w:color="auto" w:fill="F5F5F5"/>
          </w:tcPr>
          <w:p>
            <w:pPr>
              <w:jc w:val="left"/>
            </w:pPr>
            <w:r>
              <w:rPr>
                <w:rFonts w:ascii="Arial" w:hAnsi="Arial"/>
                <w:b w:val="0"/>
                <w:i w:val="0"/>
                <w:color w:val="1A1A1A"/>
                <w:sz w:val="20"/>
              </w:rPr>
              <w:t>hero-kpi-strip</w:t>
            </w:r>
          </w:p>
        </w:tc>
        <w:tc>
          <w:tcPr>
            <w:tcW w:type="dxa" w:w="2551"/>
            <w:shd w:val="clear" w:color="auto" w:fill="F5F5F5"/>
          </w:tcPr>
          <w:p>
            <w:pPr>
              <w:jc w:val="left"/>
            </w:pPr>
            <w:r>
              <w:rPr>
                <w:rFonts w:ascii="Arial" w:hAnsi="Arial"/>
                <w:b w:val="0"/>
                <w:i w:val="0"/>
                <w:color w:val="1A1A1A"/>
                <w:sz w:val="20"/>
              </w:rPr>
              <w:t>National KPI Summary</w:t>
            </w:r>
          </w:p>
        </w:tc>
      </w:tr>
      <w:tr>
        <w:tc>
          <w:tcPr>
            <w:tcW w:type="dxa" w:w="680"/>
            <w:shd w:val="clear" w:color="auto" w:fill="FFFFFF"/>
          </w:tcPr>
          <w:p>
            <w:pPr>
              <w:jc w:val="left"/>
            </w:pPr>
            <w:r>
              <w:rPr>
                <w:rFonts w:ascii="Arial" w:hAnsi="Arial"/>
                <w:b w:val="0"/>
                <w:i w:val="0"/>
                <w:color w:val="1A1A1A"/>
                <w:sz w:val="20"/>
              </w:rPr>
              <w:t>10</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Overview</w:t>
            </w:r>
          </w:p>
        </w:tc>
        <w:tc>
          <w:tcPr>
            <w:tcW w:type="dxa" w:w="2154"/>
            <w:shd w:val="clear" w:color="auto" w:fill="FFFFFF"/>
          </w:tcPr>
          <w:p>
            <w:pPr>
              <w:jc w:val="left"/>
            </w:pPr>
            <w:r>
              <w:rPr>
                <w:rFonts w:ascii="Arial" w:hAnsi="Arial"/>
                <w:b w:val="0"/>
                <w:i w:val="0"/>
                <w:color w:val="1A1A1A"/>
                <w:sz w:val="20"/>
              </w:rPr>
              <w:t>axiom-briefing</w:t>
            </w:r>
          </w:p>
        </w:tc>
        <w:tc>
          <w:tcPr>
            <w:tcW w:type="dxa" w:w="2551"/>
            <w:shd w:val="clear" w:color="auto" w:fill="FFFFFF"/>
          </w:tcPr>
          <w:p>
            <w:pPr>
              <w:jc w:val="left"/>
            </w:pPr>
            <w:r>
              <w:rPr>
                <w:rFonts w:ascii="Arial" w:hAnsi="Arial"/>
                <w:b w:val="0"/>
                <w:i w:val="0"/>
                <w:color w:val="1A1A1A"/>
                <w:sz w:val="20"/>
              </w:rPr>
              <w:t>Axiom AI Daily Briefing</w:t>
            </w:r>
          </w:p>
        </w:tc>
      </w:tr>
      <w:tr>
        <w:tc>
          <w:tcPr>
            <w:tcW w:type="dxa" w:w="680"/>
            <w:shd w:val="clear" w:color="auto" w:fill="F5F5F5"/>
          </w:tcPr>
          <w:p>
            <w:pPr>
              <w:jc w:val="left"/>
            </w:pPr>
            <w:r>
              <w:rPr>
                <w:rFonts w:ascii="Arial" w:hAnsi="Arial"/>
                <w:b w:val="0"/>
                <w:i w:val="0"/>
                <w:color w:val="1A1A1A"/>
                <w:sz w:val="20"/>
              </w:rPr>
              <w:t>11</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Overview</w:t>
            </w:r>
          </w:p>
        </w:tc>
        <w:tc>
          <w:tcPr>
            <w:tcW w:type="dxa" w:w="2154"/>
            <w:shd w:val="clear" w:color="auto" w:fill="F5F5F5"/>
          </w:tcPr>
          <w:p>
            <w:pPr>
              <w:jc w:val="left"/>
            </w:pPr>
            <w:r>
              <w:rPr>
                <w:rFonts w:ascii="Arial" w:hAnsi="Arial"/>
                <w:b w:val="0"/>
                <w:i w:val="0"/>
                <w:color w:val="1A1A1A"/>
                <w:sz w:val="20"/>
              </w:rPr>
              <w:t>ai-insight-card</w:t>
            </w:r>
          </w:p>
        </w:tc>
        <w:tc>
          <w:tcPr>
            <w:tcW w:type="dxa" w:w="2551"/>
            <w:shd w:val="clear" w:color="auto" w:fill="F5F5F5"/>
          </w:tcPr>
          <w:p>
            <w:pPr>
              <w:jc w:val="left"/>
            </w:pPr>
            <w:r>
              <w:rPr>
                <w:rFonts w:ascii="Arial" w:hAnsi="Arial"/>
                <w:b w:val="0"/>
                <w:i w:val="0"/>
                <w:color w:val="1A1A1A"/>
                <w:sz w:val="20"/>
              </w:rPr>
              <w:t>AI Intelligence Cards</w:t>
            </w:r>
          </w:p>
        </w:tc>
      </w:tr>
      <w:tr>
        <w:tc>
          <w:tcPr>
            <w:tcW w:type="dxa" w:w="680"/>
            <w:shd w:val="clear" w:color="auto" w:fill="FFFFFF"/>
          </w:tcPr>
          <w:p>
            <w:pPr>
              <w:jc w:val="left"/>
            </w:pPr>
            <w:r>
              <w:rPr>
                <w:rFonts w:ascii="Arial" w:hAnsi="Arial"/>
                <w:b w:val="0"/>
                <w:i w:val="0"/>
                <w:color w:val="1A1A1A"/>
                <w:sz w:val="20"/>
              </w:rPr>
              <w:t>12</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Overview</w:t>
            </w:r>
          </w:p>
        </w:tc>
        <w:tc>
          <w:tcPr>
            <w:tcW w:type="dxa" w:w="2154"/>
            <w:shd w:val="clear" w:color="auto" w:fill="FFFFFF"/>
          </w:tcPr>
          <w:p>
            <w:pPr>
              <w:jc w:val="left"/>
            </w:pPr>
            <w:r>
              <w:rPr>
                <w:rFonts w:ascii="Arial" w:hAnsi="Arial"/>
                <w:b w:val="0"/>
                <w:i w:val="0"/>
                <w:color w:val="1A1A1A"/>
                <w:sz w:val="20"/>
              </w:rPr>
              <w:t>icp-grid</w:t>
            </w:r>
          </w:p>
        </w:tc>
        <w:tc>
          <w:tcPr>
            <w:tcW w:type="dxa" w:w="2551"/>
            <w:shd w:val="clear" w:color="auto" w:fill="FFFFFF"/>
          </w:tcPr>
          <w:p>
            <w:pPr>
              <w:jc w:val="left"/>
            </w:pPr>
            <w:r>
              <w:rPr>
                <w:rFonts w:ascii="Arial" w:hAnsi="Arial"/>
                <w:b w:val="0"/>
                <w:i w:val="0"/>
                <w:color w:val="1A1A1A"/>
                <w:sz w:val="20"/>
              </w:rPr>
              <w:t>12-ICP Command Grid</w:t>
            </w:r>
          </w:p>
        </w:tc>
      </w:tr>
      <w:tr>
        <w:tc>
          <w:tcPr>
            <w:tcW w:type="dxa" w:w="680"/>
            <w:shd w:val="clear" w:color="auto" w:fill="F5F5F5"/>
          </w:tcPr>
          <w:p>
            <w:pPr>
              <w:jc w:val="left"/>
            </w:pPr>
            <w:r>
              <w:rPr>
                <w:rFonts w:ascii="Arial" w:hAnsi="Arial"/>
                <w:b w:val="0"/>
                <w:i w:val="0"/>
                <w:color w:val="1A1A1A"/>
                <w:sz w:val="20"/>
              </w:rPr>
              <w:t>13</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Overview</w:t>
            </w:r>
          </w:p>
        </w:tc>
        <w:tc>
          <w:tcPr>
            <w:tcW w:type="dxa" w:w="2154"/>
            <w:shd w:val="clear" w:color="auto" w:fill="F5F5F5"/>
          </w:tcPr>
          <w:p>
            <w:pPr>
              <w:jc w:val="left"/>
            </w:pPr>
            <w:r>
              <w:rPr>
                <w:rFonts w:ascii="Arial" w:hAnsi="Arial"/>
                <w:b w:val="0"/>
                <w:i w:val="0"/>
                <w:color w:val="1A1A1A"/>
                <w:sz w:val="20"/>
              </w:rPr>
              <w:t>secondary-stats</w:t>
            </w:r>
          </w:p>
        </w:tc>
        <w:tc>
          <w:tcPr>
            <w:tcW w:type="dxa" w:w="2551"/>
            <w:shd w:val="clear" w:color="auto" w:fill="F5F5F5"/>
          </w:tcPr>
          <w:p>
            <w:pPr>
              <w:jc w:val="left"/>
            </w:pPr>
            <w:r>
              <w:rPr>
                <w:rFonts w:ascii="Arial" w:hAnsi="Arial"/>
                <w:b w:val="0"/>
                <w:i w:val="0"/>
                <w:color w:val="1A1A1A"/>
                <w:sz w:val="20"/>
              </w:rPr>
              <w:t>Secondary Statistics</w:t>
            </w:r>
          </w:p>
        </w:tc>
      </w:tr>
      <w:tr>
        <w:tc>
          <w:tcPr>
            <w:tcW w:type="dxa" w:w="680"/>
            <w:shd w:val="clear" w:color="auto" w:fill="FFFFFF"/>
          </w:tcPr>
          <w:p>
            <w:pPr>
              <w:jc w:val="left"/>
            </w:pPr>
            <w:r>
              <w:rPr>
                <w:rFonts w:ascii="Arial" w:hAnsi="Arial"/>
                <w:b w:val="0"/>
                <w:i w:val="0"/>
                <w:color w:val="1A1A1A"/>
                <w:sz w:val="20"/>
              </w:rPr>
              <w:t>14</w:t>
            </w:r>
          </w:p>
        </w:tc>
        <w:tc>
          <w:tcPr>
            <w:tcW w:type="dxa" w:w="1134"/>
            <w:shd w:val="clear" w:color="auto" w:fill="FFFFFF"/>
          </w:tcPr>
          <w:p>
            <w:pPr>
              <w:jc w:val="left"/>
            </w:pPr>
            <w:r>
              <w:rPr>
                <w:rFonts w:ascii="Arial" w:hAnsi="Arial"/>
                <w:b w:val="0"/>
                <w:i w:val="0"/>
                <w:color w:val="1A1A1A"/>
                <w:sz w:val="20"/>
              </w:rPr>
              <w:t>Transition</w:t>
            </w:r>
          </w:p>
        </w:tc>
        <w:tc>
          <w:tcPr>
            <w:tcW w:type="dxa" w:w="1417"/>
            <w:shd w:val="clear" w:color="auto" w:fill="FFFFFF"/>
          </w:tcPr>
          <w:p>
            <w:pPr>
              <w:jc w:val="left"/>
            </w:pPr>
            <w:r>
              <w:rPr>
                <w:rFonts w:ascii="Arial" w:hAnsi="Arial"/>
                <w:b w:val="0"/>
                <w:i w:val="0"/>
                <w:color w:val="1A1A1A"/>
                <w:sz w:val="20"/>
              </w:rPr>
              <w:t>Cargo</w:t>
            </w:r>
          </w:p>
        </w:tc>
        <w:tc>
          <w:tcPr>
            <w:tcW w:type="dxa" w:w="2154"/>
            <w:shd w:val="clear" w:color="auto" w:fill="FFFFFF"/>
          </w:tcPr>
          <w:p>
            <w:pPr>
              <w:jc w:val="left"/>
            </w:pPr>
            <w:r>
              <w:rPr>
                <w:rFonts w:ascii="Arial" w:hAnsi="Arial"/>
                <w:b w:val="0"/>
                <w:i w:val="0"/>
                <w:color w:val="1A1A1A"/>
                <w:sz w:val="20"/>
              </w:rPr>
              <w:t>—</w:t>
            </w:r>
          </w:p>
        </w:tc>
        <w:tc>
          <w:tcPr>
            <w:tcW w:type="dxa" w:w="2551"/>
            <w:shd w:val="clear" w:color="auto" w:fill="FFFFFF"/>
          </w:tcPr>
          <w:p>
            <w:pPr>
              <w:jc w:val="left"/>
            </w:pPr>
            <w:r>
              <w:rPr>
                <w:rFonts w:ascii="Arial" w:hAnsi="Arial"/>
                <w:b w:val="0"/>
                <w:i w:val="0"/>
                <w:color w:val="1A1A1A"/>
                <w:sz w:val="20"/>
              </w:rPr>
              <w:t>Loading Cargo Intelligence</w:t>
            </w:r>
          </w:p>
        </w:tc>
      </w:tr>
      <w:tr>
        <w:tc>
          <w:tcPr>
            <w:tcW w:type="dxa" w:w="680"/>
            <w:shd w:val="clear" w:color="auto" w:fill="F5F5F5"/>
          </w:tcPr>
          <w:p>
            <w:pPr>
              <w:jc w:val="left"/>
            </w:pPr>
            <w:r>
              <w:rPr>
                <w:rFonts w:ascii="Arial" w:hAnsi="Arial"/>
                <w:b w:val="0"/>
                <w:i w:val="0"/>
                <w:color w:val="1A1A1A"/>
                <w:sz w:val="20"/>
              </w:rPr>
              <w:t>15</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Cargo</w:t>
            </w:r>
          </w:p>
        </w:tc>
        <w:tc>
          <w:tcPr>
            <w:tcW w:type="dxa" w:w="2154"/>
            <w:shd w:val="clear" w:color="auto" w:fill="F5F5F5"/>
          </w:tcPr>
          <w:p>
            <w:pPr>
              <w:jc w:val="left"/>
            </w:pPr>
            <w:r>
              <w:rPr>
                <w:rFonts w:ascii="Arial" w:hAnsi="Arial"/>
                <w:b w:val="0"/>
                <w:i w:val="0"/>
                <w:color w:val="1A1A1A"/>
                <w:sz w:val="20"/>
              </w:rPr>
              <w:t>cargo-kpi-row</w:t>
            </w:r>
          </w:p>
        </w:tc>
        <w:tc>
          <w:tcPr>
            <w:tcW w:type="dxa" w:w="2551"/>
            <w:shd w:val="clear" w:color="auto" w:fill="F5F5F5"/>
          </w:tcPr>
          <w:p>
            <w:pPr>
              <w:jc w:val="left"/>
            </w:pPr>
            <w:r>
              <w:rPr>
                <w:rFonts w:ascii="Arial" w:hAnsi="Arial"/>
                <w:b w:val="0"/>
                <w:i w:val="0"/>
                <w:color w:val="1A1A1A"/>
                <w:sz w:val="20"/>
              </w:rPr>
              <w:t>Cargo KPI Dashboard</w:t>
            </w:r>
          </w:p>
        </w:tc>
      </w:tr>
      <w:tr>
        <w:tc>
          <w:tcPr>
            <w:tcW w:type="dxa" w:w="680"/>
            <w:shd w:val="clear" w:color="auto" w:fill="FFFFFF"/>
          </w:tcPr>
          <w:p>
            <w:pPr>
              <w:jc w:val="left"/>
            </w:pPr>
            <w:r>
              <w:rPr>
                <w:rFonts w:ascii="Arial" w:hAnsi="Arial"/>
                <w:b w:val="0"/>
                <w:i w:val="0"/>
                <w:color w:val="1A1A1A"/>
                <w:sz w:val="20"/>
              </w:rPr>
              <w:t>16</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Cargo</w:t>
            </w:r>
          </w:p>
        </w:tc>
        <w:tc>
          <w:tcPr>
            <w:tcW w:type="dxa" w:w="2154"/>
            <w:shd w:val="clear" w:color="auto" w:fill="FFFFFF"/>
          </w:tcPr>
          <w:p>
            <w:pPr>
              <w:jc w:val="left"/>
            </w:pPr>
            <w:r>
              <w:rPr>
                <w:rFonts w:ascii="Arial" w:hAnsi="Arial"/>
                <w:b w:val="0"/>
                <w:i w:val="0"/>
                <w:color w:val="1A1A1A"/>
                <w:sz w:val="20"/>
              </w:rPr>
              <w:t>risk-ribbon</w:t>
            </w:r>
          </w:p>
        </w:tc>
        <w:tc>
          <w:tcPr>
            <w:tcW w:type="dxa" w:w="2551"/>
            <w:shd w:val="clear" w:color="auto" w:fill="FFFFFF"/>
          </w:tcPr>
          <w:p>
            <w:pPr>
              <w:jc w:val="left"/>
            </w:pPr>
            <w:r>
              <w:rPr>
                <w:rFonts w:ascii="Arial" w:hAnsi="Arial"/>
                <w:b w:val="0"/>
                <w:i w:val="0"/>
                <w:color w:val="1A1A1A"/>
                <w:sz w:val="20"/>
              </w:rPr>
              <w:t>Risk Alert Ribbon</w:t>
            </w:r>
          </w:p>
        </w:tc>
      </w:tr>
      <w:tr>
        <w:tc>
          <w:tcPr>
            <w:tcW w:type="dxa" w:w="680"/>
            <w:shd w:val="clear" w:color="auto" w:fill="F5F5F5"/>
          </w:tcPr>
          <w:p>
            <w:pPr>
              <w:jc w:val="left"/>
            </w:pPr>
            <w:r>
              <w:rPr>
                <w:rFonts w:ascii="Arial" w:hAnsi="Arial"/>
                <w:b w:val="0"/>
                <w:i w:val="0"/>
                <w:color w:val="1A1A1A"/>
                <w:sz w:val="20"/>
              </w:rPr>
              <w:t>17</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Cargo</w:t>
            </w:r>
          </w:p>
        </w:tc>
        <w:tc>
          <w:tcPr>
            <w:tcW w:type="dxa" w:w="2154"/>
            <w:shd w:val="clear" w:color="auto" w:fill="F5F5F5"/>
          </w:tcPr>
          <w:p>
            <w:pPr>
              <w:jc w:val="left"/>
            </w:pPr>
            <w:r>
              <w:rPr>
                <w:rFonts w:ascii="Arial" w:hAnsi="Arial"/>
                <w:b w:val="0"/>
                <w:i w:val="0"/>
                <w:color w:val="1A1A1A"/>
                <w:sz w:val="20"/>
              </w:rPr>
              <w:t>cargo-chart</w:t>
            </w:r>
          </w:p>
        </w:tc>
        <w:tc>
          <w:tcPr>
            <w:tcW w:type="dxa" w:w="2551"/>
            <w:shd w:val="clear" w:color="auto" w:fill="F5F5F5"/>
          </w:tcPr>
          <w:p>
            <w:pPr>
              <w:jc w:val="left"/>
            </w:pPr>
            <w:r>
              <w:rPr>
                <w:rFonts w:ascii="Arial" w:hAnsi="Arial"/>
                <w:b w:val="0"/>
                <w:i w:val="0"/>
                <w:color w:val="1A1A1A"/>
                <w:sz w:val="20"/>
              </w:rPr>
              <w:t>Throughput Chart</w:t>
            </w:r>
          </w:p>
        </w:tc>
      </w:tr>
      <w:tr>
        <w:tc>
          <w:tcPr>
            <w:tcW w:type="dxa" w:w="680"/>
            <w:shd w:val="clear" w:color="auto" w:fill="FFFFFF"/>
          </w:tcPr>
          <w:p>
            <w:pPr>
              <w:jc w:val="left"/>
            </w:pPr>
            <w:r>
              <w:rPr>
                <w:rFonts w:ascii="Arial" w:hAnsi="Arial"/>
                <w:b w:val="0"/>
                <w:i w:val="0"/>
                <w:color w:val="1A1A1A"/>
                <w:sz w:val="20"/>
              </w:rPr>
              <w:t>18</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Cargo</w:t>
            </w:r>
          </w:p>
        </w:tc>
        <w:tc>
          <w:tcPr>
            <w:tcW w:type="dxa" w:w="2154"/>
            <w:shd w:val="clear" w:color="auto" w:fill="FFFFFF"/>
          </w:tcPr>
          <w:p>
            <w:pPr>
              <w:jc w:val="left"/>
            </w:pPr>
            <w:r>
              <w:rPr>
                <w:rFonts w:ascii="Arial" w:hAnsi="Arial"/>
                <w:b w:val="0"/>
                <w:i w:val="0"/>
                <w:color w:val="1A1A1A"/>
                <w:sz w:val="20"/>
              </w:rPr>
              <w:t>risk-donut</w:t>
            </w:r>
          </w:p>
        </w:tc>
        <w:tc>
          <w:tcPr>
            <w:tcW w:type="dxa" w:w="2551"/>
            <w:shd w:val="clear" w:color="auto" w:fill="FFFFFF"/>
          </w:tcPr>
          <w:p>
            <w:pPr>
              <w:jc w:val="left"/>
            </w:pPr>
            <w:r>
              <w:rPr>
                <w:rFonts w:ascii="Arial" w:hAnsi="Arial"/>
                <w:b w:val="0"/>
                <w:i w:val="0"/>
                <w:color w:val="1A1A1A"/>
                <w:sz w:val="20"/>
              </w:rPr>
              <w:t>Risk Distribution Chart</w:t>
            </w:r>
          </w:p>
        </w:tc>
      </w:tr>
      <w:tr>
        <w:tc>
          <w:tcPr>
            <w:tcW w:type="dxa" w:w="680"/>
            <w:shd w:val="clear" w:color="auto" w:fill="F5F5F5"/>
          </w:tcPr>
          <w:p>
            <w:pPr>
              <w:jc w:val="left"/>
            </w:pPr>
            <w:r>
              <w:rPr>
                <w:rFonts w:ascii="Arial" w:hAnsi="Arial"/>
                <w:b w:val="0"/>
                <w:i w:val="0"/>
                <w:color w:val="1A1A1A"/>
                <w:sz w:val="20"/>
              </w:rPr>
              <w:t>19</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Cargo</w:t>
            </w:r>
          </w:p>
        </w:tc>
        <w:tc>
          <w:tcPr>
            <w:tcW w:type="dxa" w:w="2154"/>
            <w:shd w:val="clear" w:color="auto" w:fill="F5F5F5"/>
          </w:tcPr>
          <w:p>
            <w:pPr>
              <w:jc w:val="left"/>
            </w:pPr>
            <w:r>
              <w:rPr>
                <w:rFonts w:ascii="Arial" w:hAnsi="Arial"/>
                <w:b w:val="0"/>
                <w:i w:val="0"/>
                <w:color w:val="1A1A1A"/>
                <w:sz w:val="20"/>
              </w:rPr>
              <w:t>cargo-table</w:t>
            </w:r>
          </w:p>
        </w:tc>
        <w:tc>
          <w:tcPr>
            <w:tcW w:type="dxa" w:w="2551"/>
            <w:shd w:val="clear" w:color="auto" w:fill="F5F5F5"/>
          </w:tcPr>
          <w:p>
            <w:pPr>
              <w:jc w:val="left"/>
            </w:pPr>
            <w:r>
              <w:rPr>
                <w:rFonts w:ascii="Arial" w:hAnsi="Arial"/>
                <w:b w:val="0"/>
                <w:i w:val="0"/>
                <w:color w:val="1A1A1A"/>
                <w:sz w:val="20"/>
              </w:rPr>
              <w:t>Consignment Table</w:t>
            </w:r>
          </w:p>
        </w:tc>
      </w:tr>
      <w:tr>
        <w:tc>
          <w:tcPr>
            <w:tcW w:type="dxa" w:w="680"/>
            <w:shd w:val="clear" w:color="auto" w:fill="FFFFFF"/>
          </w:tcPr>
          <w:p>
            <w:pPr>
              <w:jc w:val="left"/>
            </w:pPr>
            <w:r>
              <w:rPr>
                <w:rFonts w:ascii="Arial" w:hAnsi="Arial"/>
                <w:b w:val="0"/>
                <w:i w:val="0"/>
                <w:color w:val="1A1A1A"/>
                <w:sz w:val="20"/>
              </w:rPr>
              <w:t>20</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Cargo</w:t>
            </w:r>
          </w:p>
        </w:tc>
        <w:tc>
          <w:tcPr>
            <w:tcW w:type="dxa" w:w="2154"/>
            <w:shd w:val="clear" w:color="auto" w:fill="FFFFFF"/>
          </w:tcPr>
          <w:p>
            <w:pPr>
              <w:jc w:val="left"/>
            </w:pPr>
            <w:r>
              <w:rPr>
                <w:rFonts w:ascii="Arial" w:hAnsi="Arial"/>
                <w:b w:val="0"/>
                <w:i w:val="0"/>
                <w:color w:val="1A1A1A"/>
                <w:sz w:val="20"/>
              </w:rPr>
              <w:t>risk-score-cell</w:t>
            </w:r>
          </w:p>
        </w:tc>
        <w:tc>
          <w:tcPr>
            <w:tcW w:type="dxa" w:w="2551"/>
            <w:shd w:val="clear" w:color="auto" w:fill="FFFFFF"/>
          </w:tcPr>
          <w:p>
            <w:pPr>
              <w:jc w:val="left"/>
            </w:pPr>
            <w:r>
              <w:rPr>
                <w:rFonts w:ascii="Arial" w:hAnsi="Arial"/>
                <w:b w:val="0"/>
                <w:i w:val="0"/>
                <w:color w:val="1A1A1A"/>
                <w:sz w:val="20"/>
              </w:rPr>
              <w:t>AI Risk Score</w:t>
            </w:r>
          </w:p>
        </w:tc>
      </w:tr>
      <w:tr>
        <w:tc>
          <w:tcPr>
            <w:tcW w:type="dxa" w:w="680"/>
            <w:shd w:val="clear" w:color="auto" w:fill="F5F5F5"/>
          </w:tcPr>
          <w:p>
            <w:pPr>
              <w:jc w:val="left"/>
            </w:pPr>
            <w:r>
              <w:rPr>
                <w:rFonts w:ascii="Arial" w:hAnsi="Arial"/>
                <w:b w:val="0"/>
                <w:i w:val="0"/>
                <w:color w:val="1A1A1A"/>
                <w:sz w:val="20"/>
              </w:rPr>
              <w:t>21</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Cargo</w:t>
            </w:r>
          </w:p>
        </w:tc>
        <w:tc>
          <w:tcPr>
            <w:tcW w:type="dxa" w:w="2154"/>
            <w:shd w:val="clear" w:color="auto" w:fill="F5F5F5"/>
          </w:tcPr>
          <w:p>
            <w:pPr>
              <w:jc w:val="left"/>
            </w:pPr>
            <w:r>
              <w:rPr>
                <w:rFonts w:ascii="Arial" w:hAnsi="Arial"/>
                <w:b w:val="0"/>
                <w:i w:val="0"/>
                <w:color w:val="1A1A1A"/>
                <w:sz w:val="20"/>
              </w:rPr>
              <w:t>anomaly-panel</w:t>
            </w:r>
          </w:p>
        </w:tc>
        <w:tc>
          <w:tcPr>
            <w:tcW w:type="dxa" w:w="2551"/>
            <w:shd w:val="clear" w:color="auto" w:fill="F5F5F5"/>
          </w:tcPr>
          <w:p>
            <w:pPr>
              <w:jc w:val="left"/>
            </w:pPr>
            <w:r>
              <w:rPr>
                <w:rFonts w:ascii="Arial" w:hAnsi="Arial"/>
                <w:b w:val="0"/>
                <w:i w:val="0"/>
                <w:color w:val="1A1A1A"/>
                <w:sz w:val="20"/>
              </w:rPr>
              <w:t>Axiom Anomaly Detection</w:t>
            </w:r>
          </w:p>
        </w:tc>
      </w:tr>
      <w:tr>
        <w:tc>
          <w:tcPr>
            <w:tcW w:type="dxa" w:w="680"/>
            <w:shd w:val="clear" w:color="auto" w:fill="FFFFFF"/>
          </w:tcPr>
          <w:p>
            <w:pPr>
              <w:jc w:val="left"/>
            </w:pPr>
            <w:r>
              <w:rPr>
                <w:rFonts w:ascii="Arial" w:hAnsi="Arial"/>
                <w:b w:val="0"/>
                <w:i w:val="0"/>
                <w:color w:val="1A1A1A"/>
                <w:sz w:val="20"/>
              </w:rPr>
              <w:t>22</w:t>
            </w:r>
          </w:p>
        </w:tc>
        <w:tc>
          <w:tcPr>
            <w:tcW w:type="dxa" w:w="1134"/>
            <w:shd w:val="clear" w:color="auto" w:fill="FFFFFF"/>
          </w:tcPr>
          <w:p>
            <w:pPr>
              <w:jc w:val="left"/>
            </w:pPr>
            <w:r>
              <w:rPr>
                <w:rFonts w:ascii="Arial" w:hAnsi="Arial"/>
                <w:b w:val="0"/>
                <w:i w:val="0"/>
                <w:color w:val="1A1A1A"/>
                <w:sz w:val="20"/>
              </w:rPr>
              <w:t>Transition</w:t>
            </w:r>
          </w:p>
        </w:tc>
        <w:tc>
          <w:tcPr>
            <w:tcW w:type="dxa" w:w="1417"/>
            <w:shd w:val="clear" w:color="auto" w:fill="FFFFFF"/>
          </w:tcPr>
          <w:p>
            <w:pPr>
              <w:jc w:val="left"/>
            </w:pPr>
            <w:r>
              <w:rPr>
                <w:rFonts w:ascii="Arial" w:hAnsi="Arial"/>
                <w:b w:val="0"/>
                <w:i w:val="0"/>
                <w:color w:val="1A1A1A"/>
                <w:sz w:val="20"/>
              </w:rPr>
              <w:t>Immigration</w:t>
            </w:r>
          </w:p>
        </w:tc>
        <w:tc>
          <w:tcPr>
            <w:tcW w:type="dxa" w:w="2154"/>
            <w:shd w:val="clear" w:color="auto" w:fill="FFFFFF"/>
          </w:tcPr>
          <w:p>
            <w:pPr>
              <w:jc w:val="left"/>
            </w:pPr>
            <w:r>
              <w:rPr>
                <w:rFonts w:ascii="Arial" w:hAnsi="Arial"/>
                <w:b w:val="0"/>
                <w:i w:val="0"/>
                <w:color w:val="1A1A1A"/>
                <w:sz w:val="20"/>
              </w:rPr>
              <w:t>—</w:t>
            </w:r>
          </w:p>
        </w:tc>
        <w:tc>
          <w:tcPr>
            <w:tcW w:type="dxa" w:w="2551"/>
            <w:shd w:val="clear" w:color="auto" w:fill="FFFFFF"/>
          </w:tcPr>
          <w:p>
            <w:pPr>
              <w:jc w:val="left"/>
            </w:pPr>
            <w:r>
              <w:rPr>
                <w:rFonts w:ascii="Arial" w:hAnsi="Arial"/>
                <w:b w:val="0"/>
                <w:i w:val="0"/>
                <w:color w:val="1A1A1A"/>
                <w:sz w:val="20"/>
              </w:rPr>
              <w:t>Loading Immigration Module</w:t>
            </w:r>
          </w:p>
        </w:tc>
      </w:tr>
      <w:tr>
        <w:tc>
          <w:tcPr>
            <w:tcW w:type="dxa" w:w="680"/>
            <w:shd w:val="clear" w:color="auto" w:fill="F5F5F5"/>
          </w:tcPr>
          <w:p>
            <w:pPr>
              <w:jc w:val="left"/>
            </w:pPr>
            <w:r>
              <w:rPr>
                <w:rFonts w:ascii="Arial" w:hAnsi="Arial"/>
                <w:b w:val="0"/>
                <w:i w:val="0"/>
                <w:color w:val="1A1A1A"/>
                <w:sz w:val="20"/>
              </w:rPr>
              <w:t>23</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Immigration</w:t>
            </w:r>
          </w:p>
        </w:tc>
        <w:tc>
          <w:tcPr>
            <w:tcW w:type="dxa" w:w="2154"/>
            <w:shd w:val="clear" w:color="auto" w:fill="F5F5F5"/>
          </w:tcPr>
          <w:p>
            <w:pPr>
              <w:jc w:val="left"/>
            </w:pPr>
            <w:r>
              <w:rPr>
                <w:rFonts w:ascii="Arial" w:hAnsi="Arial"/>
                <w:b w:val="0"/>
                <w:i w:val="0"/>
                <w:color w:val="1A1A1A"/>
                <w:sz w:val="20"/>
              </w:rPr>
              <w:t>immigration-kpi-row</w:t>
            </w:r>
          </w:p>
        </w:tc>
        <w:tc>
          <w:tcPr>
            <w:tcW w:type="dxa" w:w="2551"/>
            <w:shd w:val="clear" w:color="auto" w:fill="F5F5F5"/>
          </w:tcPr>
          <w:p>
            <w:pPr>
              <w:jc w:val="left"/>
            </w:pPr>
            <w:r>
              <w:rPr>
                <w:rFonts w:ascii="Arial" w:hAnsi="Arial"/>
                <w:b w:val="0"/>
                <w:i w:val="0"/>
                <w:color w:val="1A1A1A"/>
                <w:sz w:val="20"/>
              </w:rPr>
              <w:t>Immigration KPIs</w:t>
            </w:r>
          </w:p>
        </w:tc>
      </w:tr>
      <w:tr>
        <w:tc>
          <w:tcPr>
            <w:tcW w:type="dxa" w:w="680"/>
            <w:shd w:val="clear" w:color="auto" w:fill="FFFFFF"/>
          </w:tcPr>
          <w:p>
            <w:pPr>
              <w:jc w:val="left"/>
            </w:pPr>
            <w:r>
              <w:rPr>
                <w:rFonts w:ascii="Arial" w:hAnsi="Arial"/>
                <w:b w:val="0"/>
                <w:i w:val="0"/>
                <w:color w:val="1A1A1A"/>
                <w:sz w:val="20"/>
              </w:rPr>
              <w:t>24</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Immigration</w:t>
            </w:r>
          </w:p>
        </w:tc>
        <w:tc>
          <w:tcPr>
            <w:tcW w:type="dxa" w:w="2154"/>
            <w:shd w:val="clear" w:color="auto" w:fill="FFFFFF"/>
          </w:tcPr>
          <w:p>
            <w:pPr>
              <w:jc w:val="left"/>
            </w:pPr>
            <w:r>
              <w:rPr>
                <w:rFonts w:ascii="Arial" w:hAnsi="Arial"/>
                <w:b w:val="0"/>
                <w:i w:val="0"/>
                <w:color w:val="1A1A1A"/>
                <w:sz w:val="20"/>
              </w:rPr>
              <w:t>queue-chart</w:t>
            </w:r>
          </w:p>
        </w:tc>
        <w:tc>
          <w:tcPr>
            <w:tcW w:type="dxa" w:w="2551"/>
            <w:shd w:val="clear" w:color="auto" w:fill="FFFFFF"/>
          </w:tcPr>
          <w:p>
            <w:pPr>
              <w:jc w:val="left"/>
            </w:pPr>
            <w:r>
              <w:rPr>
                <w:rFonts w:ascii="Arial" w:hAnsi="Arial"/>
                <w:b w:val="0"/>
                <w:i w:val="0"/>
                <w:color w:val="1A1A1A"/>
                <w:sz w:val="20"/>
              </w:rPr>
              <w:t>Queue Prediction Chart</w:t>
            </w:r>
          </w:p>
        </w:tc>
      </w:tr>
      <w:tr>
        <w:tc>
          <w:tcPr>
            <w:tcW w:type="dxa" w:w="680"/>
            <w:shd w:val="clear" w:color="auto" w:fill="F5F5F5"/>
          </w:tcPr>
          <w:p>
            <w:pPr>
              <w:jc w:val="left"/>
            </w:pPr>
            <w:r>
              <w:rPr>
                <w:rFonts w:ascii="Arial" w:hAnsi="Arial"/>
                <w:b w:val="0"/>
                <w:i w:val="0"/>
                <w:color w:val="1A1A1A"/>
                <w:sz w:val="20"/>
              </w:rPr>
              <w:t>25</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Immigration</w:t>
            </w:r>
          </w:p>
        </w:tc>
        <w:tc>
          <w:tcPr>
            <w:tcW w:type="dxa" w:w="2154"/>
            <w:shd w:val="clear" w:color="auto" w:fill="F5F5F5"/>
          </w:tcPr>
          <w:p>
            <w:pPr>
              <w:jc w:val="left"/>
            </w:pPr>
            <w:r>
              <w:rPr>
                <w:rFonts w:ascii="Arial" w:hAnsi="Arial"/>
                <w:b w:val="0"/>
                <w:i w:val="0"/>
                <w:color w:val="1A1A1A"/>
                <w:sz w:val="20"/>
              </w:rPr>
              <w:t>counter-grid</w:t>
            </w:r>
          </w:p>
        </w:tc>
        <w:tc>
          <w:tcPr>
            <w:tcW w:type="dxa" w:w="2551"/>
            <w:shd w:val="clear" w:color="auto" w:fill="F5F5F5"/>
          </w:tcPr>
          <w:p>
            <w:pPr>
              <w:jc w:val="left"/>
            </w:pPr>
            <w:r>
              <w:rPr>
                <w:rFonts w:ascii="Arial" w:hAnsi="Arial"/>
                <w:b w:val="0"/>
                <w:i w:val="0"/>
                <w:color w:val="1A1A1A"/>
                <w:sz w:val="20"/>
              </w:rPr>
              <w:t>Counter Status Grid</w:t>
            </w:r>
          </w:p>
        </w:tc>
      </w:tr>
      <w:tr>
        <w:tc>
          <w:tcPr>
            <w:tcW w:type="dxa" w:w="680"/>
            <w:shd w:val="clear" w:color="auto" w:fill="FFFFFF"/>
          </w:tcPr>
          <w:p>
            <w:pPr>
              <w:jc w:val="left"/>
            </w:pPr>
            <w:r>
              <w:rPr>
                <w:rFonts w:ascii="Arial" w:hAnsi="Arial"/>
                <w:b w:val="0"/>
                <w:i w:val="0"/>
                <w:color w:val="1A1A1A"/>
                <w:sz w:val="20"/>
              </w:rPr>
              <w:t>26</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Immigration</w:t>
            </w:r>
          </w:p>
        </w:tc>
        <w:tc>
          <w:tcPr>
            <w:tcW w:type="dxa" w:w="2154"/>
            <w:shd w:val="clear" w:color="auto" w:fill="FFFFFF"/>
          </w:tcPr>
          <w:p>
            <w:pPr>
              <w:jc w:val="left"/>
            </w:pPr>
            <w:r>
              <w:rPr>
                <w:rFonts w:ascii="Arial" w:hAnsi="Arial"/>
                <w:b w:val="0"/>
                <w:i w:val="0"/>
                <w:color w:val="1A1A1A"/>
                <w:sz w:val="20"/>
              </w:rPr>
              <w:t>immigration-table</w:t>
            </w:r>
          </w:p>
        </w:tc>
        <w:tc>
          <w:tcPr>
            <w:tcW w:type="dxa" w:w="2551"/>
            <w:shd w:val="clear" w:color="auto" w:fill="FFFFFF"/>
          </w:tcPr>
          <w:p>
            <w:pPr>
              <w:jc w:val="left"/>
            </w:pPr>
            <w:r>
              <w:rPr>
                <w:rFonts w:ascii="Arial" w:hAnsi="Arial"/>
                <w:b w:val="0"/>
                <w:i w:val="0"/>
                <w:color w:val="1A1A1A"/>
                <w:sz w:val="20"/>
              </w:rPr>
              <w:t>Immigration Records</w:t>
            </w:r>
          </w:p>
        </w:tc>
      </w:tr>
      <w:tr>
        <w:tc>
          <w:tcPr>
            <w:tcW w:type="dxa" w:w="680"/>
            <w:shd w:val="clear" w:color="auto" w:fill="F5F5F5"/>
          </w:tcPr>
          <w:p>
            <w:pPr>
              <w:jc w:val="left"/>
            </w:pPr>
            <w:r>
              <w:rPr>
                <w:rFonts w:ascii="Arial" w:hAnsi="Arial"/>
                <w:b w:val="0"/>
                <w:i w:val="0"/>
                <w:color w:val="1A1A1A"/>
                <w:sz w:val="20"/>
              </w:rPr>
              <w:t>27</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Immigration</w:t>
            </w:r>
          </w:p>
        </w:tc>
        <w:tc>
          <w:tcPr>
            <w:tcW w:type="dxa" w:w="2154"/>
            <w:shd w:val="clear" w:color="auto" w:fill="F5F5F5"/>
          </w:tcPr>
          <w:p>
            <w:pPr>
              <w:jc w:val="left"/>
            </w:pPr>
            <w:r>
              <w:rPr>
                <w:rFonts w:ascii="Arial" w:hAnsi="Arial"/>
                <w:b w:val="0"/>
                <w:i w:val="0"/>
                <w:color w:val="1A1A1A"/>
                <w:sz w:val="20"/>
              </w:rPr>
              <w:t>watchlist-alert</w:t>
            </w:r>
          </w:p>
        </w:tc>
        <w:tc>
          <w:tcPr>
            <w:tcW w:type="dxa" w:w="2551"/>
            <w:shd w:val="clear" w:color="auto" w:fill="F5F5F5"/>
          </w:tcPr>
          <w:p>
            <w:pPr>
              <w:jc w:val="left"/>
            </w:pPr>
            <w:r>
              <w:rPr>
                <w:rFonts w:ascii="Arial" w:hAnsi="Arial"/>
                <w:b w:val="0"/>
                <w:i w:val="0"/>
                <w:color w:val="1A1A1A"/>
                <w:sz w:val="20"/>
              </w:rPr>
              <w:t>Watchlist Alert</w:t>
            </w:r>
          </w:p>
        </w:tc>
      </w:tr>
      <w:tr>
        <w:tc>
          <w:tcPr>
            <w:tcW w:type="dxa" w:w="680"/>
            <w:shd w:val="clear" w:color="auto" w:fill="FFFFFF"/>
          </w:tcPr>
          <w:p>
            <w:pPr>
              <w:jc w:val="left"/>
            </w:pPr>
            <w:r>
              <w:rPr>
                <w:rFonts w:ascii="Arial" w:hAnsi="Arial"/>
                <w:b w:val="0"/>
                <w:i w:val="0"/>
                <w:color w:val="1A1A1A"/>
                <w:sz w:val="20"/>
              </w:rPr>
              <w:t>28</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Immigration</w:t>
            </w:r>
          </w:p>
        </w:tc>
        <w:tc>
          <w:tcPr>
            <w:tcW w:type="dxa" w:w="2154"/>
            <w:shd w:val="clear" w:color="auto" w:fill="FFFFFF"/>
          </w:tcPr>
          <w:p>
            <w:pPr>
              <w:jc w:val="left"/>
            </w:pPr>
            <w:r>
              <w:rPr>
                <w:rFonts w:ascii="Arial" w:hAnsi="Arial"/>
                <w:b w:val="0"/>
                <w:i w:val="0"/>
                <w:color w:val="1A1A1A"/>
                <w:sz w:val="20"/>
              </w:rPr>
              <w:t>profile-modal-trigger</w:t>
            </w:r>
          </w:p>
        </w:tc>
        <w:tc>
          <w:tcPr>
            <w:tcW w:type="dxa" w:w="2551"/>
            <w:shd w:val="clear" w:color="auto" w:fill="FFFFFF"/>
          </w:tcPr>
          <w:p>
            <w:pPr>
              <w:jc w:val="left"/>
            </w:pPr>
            <w:r>
              <w:rPr>
                <w:rFonts w:ascii="Arial" w:hAnsi="Arial"/>
                <w:b w:val="0"/>
                <w:i w:val="0"/>
                <w:color w:val="1A1A1A"/>
                <w:sz w:val="20"/>
              </w:rPr>
              <w:t>Traveller Profile</w:t>
            </w:r>
          </w:p>
        </w:tc>
      </w:tr>
      <w:tr>
        <w:tc>
          <w:tcPr>
            <w:tcW w:type="dxa" w:w="680"/>
            <w:shd w:val="clear" w:color="auto" w:fill="F5F5F5"/>
          </w:tcPr>
          <w:p>
            <w:pPr>
              <w:jc w:val="left"/>
            </w:pPr>
            <w:r>
              <w:rPr>
                <w:rFonts w:ascii="Arial" w:hAnsi="Arial"/>
                <w:b w:val="0"/>
                <w:i w:val="0"/>
                <w:color w:val="1A1A1A"/>
                <w:sz w:val="20"/>
              </w:rPr>
              <w:t>29</w:t>
            </w:r>
          </w:p>
        </w:tc>
        <w:tc>
          <w:tcPr>
            <w:tcW w:type="dxa" w:w="1134"/>
            <w:shd w:val="clear" w:color="auto" w:fill="F5F5F5"/>
          </w:tcPr>
          <w:p>
            <w:pPr>
              <w:jc w:val="left"/>
            </w:pPr>
            <w:r>
              <w:rPr>
                <w:rFonts w:ascii="Arial" w:hAnsi="Arial"/>
                <w:b w:val="0"/>
                <w:i w:val="0"/>
                <w:color w:val="1A1A1A"/>
                <w:sz w:val="20"/>
              </w:rPr>
              <w:t>Transition</w:t>
            </w:r>
          </w:p>
        </w:tc>
        <w:tc>
          <w:tcPr>
            <w:tcW w:type="dxa" w:w="1417"/>
            <w:shd w:val="clear" w:color="auto" w:fill="F5F5F5"/>
          </w:tcPr>
          <w:p>
            <w:pPr>
              <w:jc w:val="left"/>
            </w:pPr>
            <w:r>
              <w:rPr>
                <w:rFonts w:ascii="Arial" w:hAnsi="Arial"/>
                <w:b w:val="0"/>
                <w:i w:val="0"/>
                <w:color w:val="1A1A1A"/>
                <w:sz w:val="20"/>
              </w:rPr>
              <w:t>Surveillance</w:t>
            </w:r>
          </w:p>
        </w:tc>
        <w:tc>
          <w:tcPr>
            <w:tcW w:type="dxa" w:w="2154"/>
            <w:shd w:val="clear" w:color="auto" w:fill="F5F5F5"/>
          </w:tcPr>
          <w:p>
            <w:pPr>
              <w:jc w:val="left"/>
            </w:pPr>
            <w:r>
              <w:rPr>
                <w:rFonts w:ascii="Arial" w:hAnsi="Arial"/>
                <w:b w:val="0"/>
                <w:i w:val="0"/>
                <w:color w:val="1A1A1A"/>
                <w:sz w:val="20"/>
              </w:rPr>
              <w:t>—</w:t>
            </w:r>
          </w:p>
        </w:tc>
        <w:tc>
          <w:tcPr>
            <w:tcW w:type="dxa" w:w="2551"/>
            <w:shd w:val="clear" w:color="auto" w:fill="F5F5F5"/>
          </w:tcPr>
          <w:p>
            <w:pPr>
              <w:jc w:val="left"/>
            </w:pPr>
            <w:r>
              <w:rPr>
                <w:rFonts w:ascii="Arial" w:hAnsi="Arial"/>
                <w:b w:val="0"/>
                <w:i w:val="0"/>
                <w:color w:val="1A1A1A"/>
                <w:sz w:val="20"/>
              </w:rPr>
              <w:t>Loading Surveillance Module</w:t>
            </w:r>
          </w:p>
        </w:tc>
      </w:tr>
      <w:tr>
        <w:tc>
          <w:tcPr>
            <w:tcW w:type="dxa" w:w="680"/>
            <w:shd w:val="clear" w:color="auto" w:fill="FFFFFF"/>
          </w:tcPr>
          <w:p>
            <w:pPr>
              <w:jc w:val="left"/>
            </w:pPr>
            <w:r>
              <w:rPr>
                <w:rFonts w:ascii="Arial" w:hAnsi="Arial"/>
                <w:b w:val="0"/>
                <w:i w:val="0"/>
                <w:color w:val="1A1A1A"/>
                <w:sz w:val="20"/>
              </w:rPr>
              <w:t>30</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Surveillance</w:t>
            </w:r>
          </w:p>
        </w:tc>
        <w:tc>
          <w:tcPr>
            <w:tcW w:type="dxa" w:w="2154"/>
            <w:shd w:val="clear" w:color="auto" w:fill="FFFFFF"/>
          </w:tcPr>
          <w:p>
            <w:pPr>
              <w:jc w:val="left"/>
            </w:pPr>
            <w:r>
              <w:rPr>
                <w:rFonts w:ascii="Arial" w:hAnsi="Arial"/>
                <w:b w:val="0"/>
                <w:i w:val="0"/>
                <w:color w:val="1A1A1A"/>
                <w:sz w:val="20"/>
              </w:rPr>
              <w:t>surveillance-kpi-row</w:t>
            </w:r>
          </w:p>
        </w:tc>
        <w:tc>
          <w:tcPr>
            <w:tcW w:type="dxa" w:w="2551"/>
            <w:shd w:val="clear" w:color="auto" w:fill="FFFFFF"/>
          </w:tcPr>
          <w:p>
            <w:pPr>
              <w:jc w:val="left"/>
            </w:pPr>
            <w:r>
              <w:rPr>
                <w:rFonts w:ascii="Arial" w:hAnsi="Arial"/>
                <w:b w:val="0"/>
                <w:i w:val="0"/>
                <w:color w:val="1A1A1A"/>
                <w:sz w:val="20"/>
              </w:rPr>
              <w:t>Security KPIs</w:t>
            </w:r>
          </w:p>
        </w:tc>
      </w:tr>
      <w:tr>
        <w:tc>
          <w:tcPr>
            <w:tcW w:type="dxa" w:w="680"/>
            <w:shd w:val="clear" w:color="auto" w:fill="F5F5F5"/>
          </w:tcPr>
          <w:p>
            <w:pPr>
              <w:jc w:val="left"/>
            </w:pPr>
            <w:r>
              <w:rPr>
                <w:rFonts w:ascii="Arial" w:hAnsi="Arial"/>
                <w:b w:val="0"/>
                <w:i w:val="0"/>
                <w:color w:val="1A1A1A"/>
                <w:sz w:val="20"/>
              </w:rPr>
              <w:t>31</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Surveillance</w:t>
            </w:r>
          </w:p>
        </w:tc>
        <w:tc>
          <w:tcPr>
            <w:tcW w:type="dxa" w:w="2154"/>
            <w:shd w:val="clear" w:color="auto" w:fill="F5F5F5"/>
          </w:tcPr>
          <w:p>
            <w:pPr>
              <w:jc w:val="left"/>
            </w:pPr>
            <w:r>
              <w:rPr>
                <w:rFonts w:ascii="Arial" w:hAnsi="Arial"/>
                <w:b w:val="0"/>
                <w:i w:val="0"/>
                <w:color w:val="1A1A1A"/>
                <w:sz w:val="20"/>
              </w:rPr>
              <w:t>camera-grid</w:t>
            </w:r>
          </w:p>
        </w:tc>
        <w:tc>
          <w:tcPr>
            <w:tcW w:type="dxa" w:w="2551"/>
            <w:shd w:val="clear" w:color="auto" w:fill="F5F5F5"/>
          </w:tcPr>
          <w:p>
            <w:pPr>
              <w:jc w:val="left"/>
            </w:pPr>
            <w:r>
              <w:rPr>
                <w:rFonts w:ascii="Arial" w:hAnsi="Arial"/>
                <w:b w:val="0"/>
                <w:i w:val="0"/>
                <w:color w:val="1A1A1A"/>
                <w:sz w:val="20"/>
              </w:rPr>
              <w:t>Camera Grid</w:t>
            </w:r>
          </w:p>
        </w:tc>
      </w:tr>
      <w:tr>
        <w:tc>
          <w:tcPr>
            <w:tcW w:type="dxa" w:w="680"/>
            <w:shd w:val="clear" w:color="auto" w:fill="FFFFFF"/>
          </w:tcPr>
          <w:p>
            <w:pPr>
              <w:jc w:val="left"/>
            </w:pPr>
            <w:r>
              <w:rPr>
                <w:rFonts w:ascii="Arial" w:hAnsi="Arial"/>
                <w:b w:val="0"/>
                <w:i w:val="0"/>
                <w:color w:val="1A1A1A"/>
                <w:sz w:val="20"/>
              </w:rPr>
              <w:t>32</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Surveillance</w:t>
            </w:r>
          </w:p>
        </w:tc>
        <w:tc>
          <w:tcPr>
            <w:tcW w:type="dxa" w:w="2154"/>
            <w:shd w:val="clear" w:color="auto" w:fill="FFFFFF"/>
          </w:tcPr>
          <w:p>
            <w:pPr>
              <w:jc w:val="left"/>
            </w:pPr>
            <w:r>
              <w:rPr>
                <w:rFonts w:ascii="Arial" w:hAnsi="Arial"/>
                <w:b w:val="0"/>
                <w:i w:val="0"/>
                <w:color w:val="1A1A1A"/>
                <w:sz w:val="20"/>
              </w:rPr>
              <w:t>alert-camera</w:t>
            </w:r>
          </w:p>
        </w:tc>
        <w:tc>
          <w:tcPr>
            <w:tcW w:type="dxa" w:w="2551"/>
            <w:shd w:val="clear" w:color="auto" w:fill="FFFFFF"/>
          </w:tcPr>
          <w:p>
            <w:pPr>
              <w:jc w:val="left"/>
            </w:pPr>
            <w:r>
              <w:rPr>
                <w:rFonts w:ascii="Arial" w:hAnsi="Arial"/>
                <w:b w:val="0"/>
                <w:i w:val="0"/>
                <w:color w:val="1A1A1A"/>
                <w:sz w:val="20"/>
              </w:rPr>
              <w:t>Alert Camera</w:t>
            </w:r>
          </w:p>
        </w:tc>
      </w:tr>
      <w:tr>
        <w:tc>
          <w:tcPr>
            <w:tcW w:type="dxa" w:w="680"/>
            <w:shd w:val="clear" w:color="auto" w:fill="F5F5F5"/>
          </w:tcPr>
          <w:p>
            <w:pPr>
              <w:jc w:val="left"/>
            </w:pPr>
            <w:r>
              <w:rPr>
                <w:rFonts w:ascii="Arial" w:hAnsi="Arial"/>
                <w:b w:val="0"/>
                <w:i w:val="0"/>
                <w:color w:val="1A1A1A"/>
                <w:sz w:val="20"/>
              </w:rPr>
              <w:t>33</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Surveillance</w:t>
            </w:r>
          </w:p>
        </w:tc>
        <w:tc>
          <w:tcPr>
            <w:tcW w:type="dxa" w:w="2154"/>
            <w:shd w:val="clear" w:color="auto" w:fill="F5F5F5"/>
          </w:tcPr>
          <w:p>
            <w:pPr>
              <w:jc w:val="left"/>
            </w:pPr>
            <w:r>
              <w:rPr>
                <w:rFonts w:ascii="Arial" w:hAnsi="Arial"/>
                <w:b w:val="0"/>
                <w:i w:val="0"/>
                <w:color w:val="1A1A1A"/>
                <w:sz w:val="20"/>
              </w:rPr>
              <w:t>camera-legend</w:t>
            </w:r>
          </w:p>
        </w:tc>
        <w:tc>
          <w:tcPr>
            <w:tcW w:type="dxa" w:w="2551"/>
            <w:shd w:val="clear" w:color="auto" w:fill="F5F5F5"/>
          </w:tcPr>
          <w:p>
            <w:pPr>
              <w:jc w:val="left"/>
            </w:pPr>
            <w:r>
              <w:rPr>
                <w:rFonts w:ascii="Arial" w:hAnsi="Arial"/>
                <w:b w:val="0"/>
                <w:i w:val="0"/>
                <w:color w:val="1A1A1A"/>
                <w:sz w:val="20"/>
              </w:rPr>
              <w:t>Camera Legend</w:t>
            </w:r>
          </w:p>
        </w:tc>
      </w:tr>
      <w:tr>
        <w:tc>
          <w:tcPr>
            <w:tcW w:type="dxa" w:w="680"/>
            <w:shd w:val="clear" w:color="auto" w:fill="FFFFFF"/>
          </w:tcPr>
          <w:p>
            <w:pPr>
              <w:jc w:val="left"/>
            </w:pPr>
            <w:r>
              <w:rPr>
                <w:rFonts w:ascii="Arial" w:hAnsi="Arial"/>
                <w:b w:val="0"/>
                <w:i w:val="0"/>
                <w:color w:val="1A1A1A"/>
                <w:sz w:val="20"/>
              </w:rPr>
              <w:t>34</w:t>
            </w:r>
          </w:p>
        </w:tc>
        <w:tc>
          <w:tcPr>
            <w:tcW w:type="dxa" w:w="1134"/>
            <w:shd w:val="clear" w:color="auto" w:fill="FFFFFF"/>
          </w:tcPr>
          <w:p>
            <w:pPr>
              <w:jc w:val="left"/>
            </w:pPr>
            <w:r>
              <w:rPr>
                <w:rFonts w:ascii="Arial" w:hAnsi="Arial"/>
                <w:b w:val="0"/>
                <w:i w:val="0"/>
                <w:color w:val="1A1A1A"/>
                <w:sz w:val="20"/>
              </w:rPr>
              <w:t>Transition</w:t>
            </w:r>
          </w:p>
        </w:tc>
        <w:tc>
          <w:tcPr>
            <w:tcW w:type="dxa" w:w="1417"/>
            <w:shd w:val="clear" w:color="auto" w:fill="FFFFFF"/>
          </w:tcPr>
          <w:p>
            <w:pPr>
              <w:jc w:val="left"/>
            </w:pPr>
            <w:r>
              <w:rPr>
                <w:rFonts w:ascii="Arial" w:hAnsi="Arial"/>
                <w:b w:val="0"/>
                <w:i w:val="0"/>
                <w:color w:val="1A1A1A"/>
                <w:sz w:val="20"/>
              </w:rPr>
              <w:t>Vehicle</w:t>
            </w:r>
          </w:p>
        </w:tc>
        <w:tc>
          <w:tcPr>
            <w:tcW w:type="dxa" w:w="2154"/>
            <w:shd w:val="clear" w:color="auto" w:fill="FFFFFF"/>
          </w:tcPr>
          <w:p>
            <w:pPr>
              <w:jc w:val="left"/>
            </w:pPr>
            <w:r>
              <w:rPr>
                <w:rFonts w:ascii="Arial" w:hAnsi="Arial"/>
                <w:b w:val="0"/>
                <w:i w:val="0"/>
                <w:color w:val="1A1A1A"/>
                <w:sz w:val="20"/>
              </w:rPr>
              <w:t>—</w:t>
            </w:r>
          </w:p>
        </w:tc>
        <w:tc>
          <w:tcPr>
            <w:tcW w:type="dxa" w:w="2551"/>
            <w:shd w:val="clear" w:color="auto" w:fill="FFFFFF"/>
          </w:tcPr>
          <w:p>
            <w:pPr>
              <w:jc w:val="left"/>
            </w:pPr>
            <w:r>
              <w:rPr>
                <w:rFonts w:ascii="Arial" w:hAnsi="Arial"/>
                <w:b w:val="0"/>
                <w:i w:val="0"/>
                <w:color w:val="1A1A1A"/>
                <w:sz w:val="20"/>
              </w:rPr>
              <w:t>Loading Vehicle Module</w:t>
            </w:r>
          </w:p>
        </w:tc>
      </w:tr>
      <w:tr>
        <w:tc>
          <w:tcPr>
            <w:tcW w:type="dxa" w:w="680"/>
            <w:shd w:val="clear" w:color="auto" w:fill="F5F5F5"/>
          </w:tcPr>
          <w:p>
            <w:pPr>
              <w:jc w:val="left"/>
            </w:pPr>
            <w:r>
              <w:rPr>
                <w:rFonts w:ascii="Arial" w:hAnsi="Arial"/>
                <w:b w:val="0"/>
                <w:i w:val="0"/>
                <w:color w:val="1A1A1A"/>
                <w:sz w:val="20"/>
              </w:rPr>
              <w:t>35</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Vehicle</w:t>
            </w:r>
          </w:p>
        </w:tc>
        <w:tc>
          <w:tcPr>
            <w:tcW w:type="dxa" w:w="2154"/>
            <w:shd w:val="clear" w:color="auto" w:fill="F5F5F5"/>
          </w:tcPr>
          <w:p>
            <w:pPr>
              <w:jc w:val="left"/>
            </w:pPr>
            <w:r>
              <w:rPr>
                <w:rFonts w:ascii="Arial" w:hAnsi="Arial"/>
                <w:b w:val="0"/>
                <w:i w:val="0"/>
                <w:color w:val="1A1A1A"/>
                <w:sz w:val="20"/>
              </w:rPr>
              <w:t>vehicle-kpi-row</w:t>
            </w:r>
          </w:p>
        </w:tc>
        <w:tc>
          <w:tcPr>
            <w:tcW w:type="dxa" w:w="2551"/>
            <w:shd w:val="clear" w:color="auto" w:fill="F5F5F5"/>
          </w:tcPr>
          <w:p>
            <w:pPr>
              <w:jc w:val="left"/>
            </w:pPr>
            <w:r>
              <w:rPr>
                <w:rFonts w:ascii="Arial" w:hAnsi="Arial"/>
                <w:b w:val="0"/>
                <w:i w:val="0"/>
                <w:color w:val="1A1A1A"/>
                <w:sz w:val="20"/>
              </w:rPr>
              <w:t>Vehicle KPIs</w:t>
            </w:r>
          </w:p>
        </w:tc>
      </w:tr>
      <w:tr>
        <w:tc>
          <w:tcPr>
            <w:tcW w:type="dxa" w:w="680"/>
            <w:shd w:val="clear" w:color="auto" w:fill="FFFFFF"/>
          </w:tcPr>
          <w:p>
            <w:pPr>
              <w:jc w:val="left"/>
            </w:pPr>
            <w:r>
              <w:rPr>
                <w:rFonts w:ascii="Arial" w:hAnsi="Arial"/>
                <w:b w:val="0"/>
                <w:i w:val="0"/>
                <w:color w:val="1A1A1A"/>
                <w:sz w:val="20"/>
              </w:rPr>
              <w:t>36</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Vehicle</w:t>
            </w:r>
          </w:p>
        </w:tc>
        <w:tc>
          <w:tcPr>
            <w:tcW w:type="dxa" w:w="2154"/>
            <w:shd w:val="clear" w:color="auto" w:fill="FFFFFF"/>
          </w:tcPr>
          <w:p>
            <w:pPr>
              <w:jc w:val="left"/>
            </w:pPr>
            <w:r>
              <w:rPr>
                <w:rFonts w:ascii="Arial" w:hAnsi="Arial"/>
                <w:b w:val="0"/>
                <w:i w:val="0"/>
                <w:color w:val="1A1A1A"/>
                <w:sz w:val="20"/>
              </w:rPr>
              <w:t>anpr-widget</w:t>
            </w:r>
          </w:p>
        </w:tc>
        <w:tc>
          <w:tcPr>
            <w:tcW w:type="dxa" w:w="2551"/>
            <w:shd w:val="clear" w:color="auto" w:fill="FFFFFF"/>
          </w:tcPr>
          <w:p>
            <w:pPr>
              <w:jc w:val="left"/>
            </w:pPr>
            <w:r>
              <w:rPr>
                <w:rFonts w:ascii="Arial" w:hAnsi="Arial"/>
                <w:b w:val="0"/>
                <w:i w:val="0"/>
                <w:color w:val="1A1A1A"/>
                <w:sz w:val="20"/>
              </w:rPr>
              <w:t>ANPR Intelligence</w:t>
            </w:r>
          </w:p>
        </w:tc>
      </w:tr>
      <w:tr>
        <w:tc>
          <w:tcPr>
            <w:tcW w:type="dxa" w:w="680"/>
            <w:shd w:val="clear" w:color="auto" w:fill="F5F5F5"/>
          </w:tcPr>
          <w:p>
            <w:pPr>
              <w:jc w:val="left"/>
            </w:pPr>
            <w:r>
              <w:rPr>
                <w:rFonts w:ascii="Arial" w:hAnsi="Arial"/>
                <w:b w:val="0"/>
                <w:i w:val="0"/>
                <w:color w:val="1A1A1A"/>
                <w:sz w:val="20"/>
              </w:rPr>
              <w:t>37</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Vehicle</w:t>
            </w:r>
          </w:p>
        </w:tc>
        <w:tc>
          <w:tcPr>
            <w:tcW w:type="dxa" w:w="2154"/>
            <w:shd w:val="clear" w:color="auto" w:fill="F5F5F5"/>
          </w:tcPr>
          <w:p>
            <w:pPr>
              <w:jc w:val="left"/>
            </w:pPr>
            <w:r>
              <w:rPr>
                <w:rFonts w:ascii="Arial" w:hAnsi="Arial"/>
                <w:b w:val="0"/>
                <w:i w:val="0"/>
                <w:color w:val="1A1A1A"/>
                <w:sz w:val="20"/>
              </w:rPr>
              <w:t>vehicle-table</w:t>
            </w:r>
          </w:p>
        </w:tc>
        <w:tc>
          <w:tcPr>
            <w:tcW w:type="dxa" w:w="2551"/>
            <w:shd w:val="clear" w:color="auto" w:fill="F5F5F5"/>
          </w:tcPr>
          <w:p>
            <w:pPr>
              <w:jc w:val="left"/>
            </w:pPr>
            <w:r>
              <w:rPr>
                <w:rFonts w:ascii="Arial" w:hAnsi="Arial"/>
                <w:b w:val="0"/>
                <w:i w:val="0"/>
                <w:color w:val="1A1A1A"/>
                <w:sz w:val="20"/>
              </w:rPr>
              <w:t>Vehicle Processing Table</w:t>
            </w:r>
          </w:p>
        </w:tc>
      </w:tr>
      <w:tr>
        <w:tc>
          <w:tcPr>
            <w:tcW w:type="dxa" w:w="680"/>
            <w:shd w:val="clear" w:color="auto" w:fill="FFFFFF"/>
          </w:tcPr>
          <w:p>
            <w:pPr>
              <w:jc w:val="left"/>
            </w:pPr>
            <w:r>
              <w:rPr>
                <w:rFonts w:ascii="Arial" w:hAnsi="Arial"/>
                <w:b w:val="0"/>
                <w:i w:val="0"/>
                <w:color w:val="1A1A1A"/>
                <w:sz w:val="20"/>
              </w:rPr>
              <w:t>38</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Vehicle</w:t>
            </w:r>
          </w:p>
        </w:tc>
        <w:tc>
          <w:tcPr>
            <w:tcW w:type="dxa" w:w="2154"/>
            <w:shd w:val="clear" w:color="auto" w:fill="FFFFFF"/>
          </w:tcPr>
          <w:p>
            <w:pPr>
              <w:jc w:val="left"/>
            </w:pPr>
            <w:r>
              <w:rPr>
                <w:rFonts w:ascii="Arial" w:hAnsi="Arial"/>
                <w:b w:val="0"/>
                <w:i w:val="0"/>
                <w:color w:val="1A1A1A"/>
                <w:sz w:val="20"/>
              </w:rPr>
              <w:t>lane-status</w:t>
            </w:r>
          </w:p>
        </w:tc>
        <w:tc>
          <w:tcPr>
            <w:tcW w:type="dxa" w:w="2551"/>
            <w:shd w:val="clear" w:color="auto" w:fill="FFFFFF"/>
          </w:tcPr>
          <w:p>
            <w:pPr>
              <w:jc w:val="left"/>
            </w:pPr>
            <w:r>
              <w:rPr>
                <w:rFonts w:ascii="Arial" w:hAnsi="Arial"/>
                <w:b w:val="0"/>
                <w:i w:val="0"/>
                <w:color w:val="1A1A1A"/>
                <w:sz w:val="20"/>
              </w:rPr>
              <w:t>Lane Status Panel</w:t>
            </w:r>
          </w:p>
        </w:tc>
      </w:tr>
      <w:tr>
        <w:tc>
          <w:tcPr>
            <w:tcW w:type="dxa" w:w="680"/>
            <w:shd w:val="clear" w:color="auto" w:fill="F5F5F5"/>
          </w:tcPr>
          <w:p>
            <w:pPr>
              <w:jc w:val="left"/>
            </w:pPr>
            <w:r>
              <w:rPr>
                <w:rFonts w:ascii="Arial" w:hAnsi="Arial"/>
                <w:b w:val="0"/>
                <w:i w:val="0"/>
                <w:color w:val="1A1A1A"/>
                <w:sz w:val="20"/>
              </w:rPr>
              <w:t>39</w:t>
            </w:r>
          </w:p>
        </w:tc>
        <w:tc>
          <w:tcPr>
            <w:tcW w:type="dxa" w:w="1134"/>
            <w:shd w:val="clear" w:color="auto" w:fill="F5F5F5"/>
          </w:tcPr>
          <w:p>
            <w:pPr>
              <w:jc w:val="left"/>
            </w:pPr>
            <w:r>
              <w:rPr>
                <w:rFonts w:ascii="Arial" w:hAnsi="Arial"/>
                <w:b w:val="0"/>
                <w:i w:val="0"/>
                <w:color w:val="1A1A1A"/>
                <w:sz w:val="20"/>
              </w:rPr>
              <w:t>Transition</w:t>
            </w:r>
          </w:p>
        </w:tc>
        <w:tc>
          <w:tcPr>
            <w:tcW w:type="dxa" w:w="1417"/>
            <w:shd w:val="clear" w:color="auto" w:fill="F5F5F5"/>
          </w:tcPr>
          <w:p>
            <w:pPr>
              <w:jc w:val="left"/>
            </w:pPr>
            <w:r>
              <w:rPr>
                <w:rFonts w:ascii="Arial" w:hAnsi="Arial"/>
                <w:b w:val="0"/>
                <w:i w:val="0"/>
                <w:color w:val="1A1A1A"/>
                <w:sz w:val="20"/>
              </w:rPr>
              <w:t>Analytics</w:t>
            </w:r>
          </w:p>
        </w:tc>
        <w:tc>
          <w:tcPr>
            <w:tcW w:type="dxa" w:w="2154"/>
            <w:shd w:val="clear" w:color="auto" w:fill="F5F5F5"/>
          </w:tcPr>
          <w:p>
            <w:pPr>
              <w:jc w:val="left"/>
            </w:pPr>
            <w:r>
              <w:rPr>
                <w:rFonts w:ascii="Arial" w:hAnsi="Arial"/>
                <w:b w:val="0"/>
                <w:i w:val="0"/>
                <w:color w:val="1A1A1A"/>
                <w:sz w:val="20"/>
              </w:rPr>
              <w:t>—</w:t>
            </w:r>
          </w:p>
        </w:tc>
        <w:tc>
          <w:tcPr>
            <w:tcW w:type="dxa" w:w="2551"/>
            <w:shd w:val="clear" w:color="auto" w:fill="F5F5F5"/>
          </w:tcPr>
          <w:p>
            <w:pPr>
              <w:jc w:val="left"/>
            </w:pPr>
            <w:r>
              <w:rPr>
                <w:rFonts w:ascii="Arial" w:hAnsi="Arial"/>
                <w:b w:val="0"/>
                <w:i w:val="0"/>
                <w:color w:val="1A1A1A"/>
                <w:sz w:val="20"/>
              </w:rPr>
              <w:t>Loading Analytics Module</w:t>
            </w:r>
          </w:p>
        </w:tc>
      </w:tr>
      <w:tr>
        <w:tc>
          <w:tcPr>
            <w:tcW w:type="dxa" w:w="680"/>
            <w:shd w:val="clear" w:color="auto" w:fill="FFFFFF"/>
          </w:tcPr>
          <w:p>
            <w:pPr>
              <w:jc w:val="left"/>
            </w:pPr>
            <w:r>
              <w:rPr>
                <w:rFonts w:ascii="Arial" w:hAnsi="Arial"/>
                <w:b w:val="0"/>
                <w:i w:val="0"/>
                <w:color w:val="1A1A1A"/>
                <w:sz w:val="20"/>
              </w:rPr>
              <w:t>40</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Analytics</w:t>
            </w:r>
          </w:p>
        </w:tc>
        <w:tc>
          <w:tcPr>
            <w:tcW w:type="dxa" w:w="2154"/>
            <w:shd w:val="clear" w:color="auto" w:fill="FFFFFF"/>
          </w:tcPr>
          <w:p>
            <w:pPr>
              <w:jc w:val="left"/>
            </w:pPr>
            <w:r>
              <w:rPr>
                <w:rFonts w:ascii="Arial" w:hAnsi="Arial"/>
                <w:b w:val="0"/>
                <w:i w:val="0"/>
                <w:color w:val="1A1A1A"/>
                <w:sz w:val="20"/>
              </w:rPr>
              <w:t>analytics-kpi-row</w:t>
            </w:r>
          </w:p>
        </w:tc>
        <w:tc>
          <w:tcPr>
            <w:tcW w:type="dxa" w:w="2551"/>
            <w:shd w:val="clear" w:color="auto" w:fill="FFFFFF"/>
          </w:tcPr>
          <w:p>
            <w:pPr>
              <w:jc w:val="left"/>
            </w:pPr>
            <w:r>
              <w:rPr>
                <w:rFonts w:ascii="Arial" w:hAnsi="Arial"/>
                <w:b w:val="0"/>
                <w:i w:val="0"/>
                <w:color w:val="1A1A1A"/>
                <w:sz w:val="20"/>
              </w:rPr>
              <w:t>Analytics KPIs</w:t>
            </w:r>
          </w:p>
        </w:tc>
      </w:tr>
      <w:tr>
        <w:tc>
          <w:tcPr>
            <w:tcW w:type="dxa" w:w="680"/>
            <w:shd w:val="clear" w:color="auto" w:fill="F5F5F5"/>
          </w:tcPr>
          <w:p>
            <w:pPr>
              <w:jc w:val="left"/>
            </w:pPr>
            <w:r>
              <w:rPr>
                <w:rFonts w:ascii="Arial" w:hAnsi="Arial"/>
                <w:b w:val="0"/>
                <w:i w:val="0"/>
                <w:color w:val="1A1A1A"/>
                <w:sz w:val="20"/>
              </w:rPr>
              <w:t>41</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Analytics</w:t>
            </w:r>
          </w:p>
        </w:tc>
        <w:tc>
          <w:tcPr>
            <w:tcW w:type="dxa" w:w="2154"/>
            <w:shd w:val="clear" w:color="auto" w:fill="F5F5F5"/>
          </w:tcPr>
          <w:p>
            <w:pPr>
              <w:jc w:val="left"/>
            </w:pPr>
            <w:r>
              <w:rPr>
                <w:rFonts w:ascii="Arial" w:hAnsi="Arial"/>
                <w:b w:val="0"/>
                <w:i w:val="0"/>
                <w:color w:val="1A1A1A"/>
                <w:sz w:val="20"/>
              </w:rPr>
              <w:t>axiom-briefing-analytics</w:t>
            </w:r>
          </w:p>
        </w:tc>
        <w:tc>
          <w:tcPr>
            <w:tcW w:type="dxa" w:w="2551"/>
            <w:shd w:val="clear" w:color="auto" w:fill="F5F5F5"/>
          </w:tcPr>
          <w:p>
            <w:pPr>
              <w:jc w:val="left"/>
            </w:pPr>
            <w:r>
              <w:rPr>
                <w:rFonts w:ascii="Arial" w:hAnsi="Arial"/>
                <w:b w:val="0"/>
                <w:i w:val="0"/>
                <w:color w:val="1A1A1A"/>
                <w:sz w:val="20"/>
              </w:rPr>
              <w:t>Axiom Strategic Briefing</w:t>
            </w:r>
          </w:p>
        </w:tc>
      </w:tr>
      <w:tr>
        <w:tc>
          <w:tcPr>
            <w:tcW w:type="dxa" w:w="680"/>
            <w:shd w:val="clear" w:color="auto" w:fill="FFFFFF"/>
          </w:tcPr>
          <w:p>
            <w:pPr>
              <w:jc w:val="left"/>
            </w:pPr>
            <w:r>
              <w:rPr>
                <w:rFonts w:ascii="Arial" w:hAnsi="Arial"/>
                <w:b w:val="0"/>
                <w:i w:val="0"/>
                <w:color w:val="1A1A1A"/>
                <w:sz w:val="20"/>
              </w:rPr>
              <w:t>42</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Analytics</w:t>
            </w:r>
          </w:p>
        </w:tc>
        <w:tc>
          <w:tcPr>
            <w:tcW w:type="dxa" w:w="2154"/>
            <w:shd w:val="clear" w:color="auto" w:fill="FFFFFF"/>
          </w:tcPr>
          <w:p>
            <w:pPr>
              <w:jc w:val="left"/>
            </w:pPr>
            <w:r>
              <w:rPr>
                <w:rFonts w:ascii="Arial" w:hAnsi="Arial"/>
                <w:b w:val="0"/>
                <w:i w:val="0"/>
                <w:color w:val="1A1A1A"/>
                <w:sz w:val="20"/>
              </w:rPr>
              <w:t>icp-comparison-table</w:t>
            </w:r>
          </w:p>
        </w:tc>
        <w:tc>
          <w:tcPr>
            <w:tcW w:type="dxa" w:w="2551"/>
            <w:shd w:val="clear" w:color="auto" w:fill="FFFFFF"/>
          </w:tcPr>
          <w:p>
            <w:pPr>
              <w:jc w:val="left"/>
            </w:pPr>
            <w:r>
              <w:rPr>
                <w:rFonts w:ascii="Arial" w:hAnsi="Arial"/>
                <w:b w:val="0"/>
                <w:i w:val="0"/>
                <w:color w:val="1A1A1A"/>
                <w:sz w:val="20"/>
              </w:rPr>
              <w:t>Multi-ICP Command Table</w:t>
            </w:r>
          </w:p>
        </w:tc>
      </w:tr>
      <w:tr>
        <w:tc>
          <w:tcPr>
            <w:tcW w:type="dxa" w:w="680"/>
            <w:shd w:val="clear" w:color="auto" w:fill="F5F5F5"/>
          </w:tcPr>
          <w:p>
            <w:pPr>
              <w:jc w:val="left"/>
            </w:pPr>
            <w:r>
              <w:rPr>
                <w:rFonts w:ascii="Arial" w:hAnsi="Arial"/>
                <w:b w:val="0"/>
                <w:i w:val="0"/>
                <w:color w:val="1A1A1A"/>
                <w:sz w:val="20"/>
              </w:rPr>
              <w:t>43</w:t>
            </w:r>
          </w:p>
        </w:tc>
        <w:tc>
          <w:tcPr>
            <w:tcW w:type="dxa" w:w="1134"/>
            <w:shd w:val="clear" w:color="auto" w:fill="F5F5F5"/>
          </w:tcPr>
          <w:p>
            <w:pPr>
              <w:jc w:val="left"/>
            </w:pPr>
            <w:r>
              <w:rPr>
                <w:rFonts w:ascii="Arial" w:hAnsi="Arial"/>
                <w:b w:val="0"/>
                <w:i w:val="0"/>
                <w:color w:val="1A1A1A"/>
                <w:sz w:val="20"/>
              </w:rPr>
              <w:t>Default</w:t>
            </w:r>
          </w:p>
        </w:tc>
        <w:tc>
          <w:tcPr>
            <w:tcW w:type="dxa" w:w="1417"/>
            <w:shd w:val="clear" w:color="auto" w:fill="F5F5F5"/>
          </w:tcPr>
          <w:p>
            <w:pPr>
              <w:jc w:val="left"/>
            </w:pPr>
            <w:r>
              <w:rPr>
                <w:rFonts w:ascii="Arial" w:hAnsi="Arial"/>
                <w:b w:val="0"/>
                <w:i w:val="0"/>
                <w:color w:val="1A1A1A"/>
                <w:sz w:val="20"/>
              </w:rPr>
              <w:t>Analytics</w:t>
            </w:r>
          </w:p>
        </w:tc>
        <w:tc>
          <w:tcPr>
            <w:tcW w:type="dxa" w:w="2154"/>
            <w:shd w:val="clear" w:color="auto" w:fill="F5F5F5"/>
          </w:tcPr>
          <w:p>
            <w:pPr>
              <w:jc w:val="left"/>
            </w:pPr>
            <w:r>
              <w:rPr>
                <w:rFonts w:ascii="Arial" w:hAnsi="Arial"/>
                <w:b w:val="0"/>
                <w:i w:val="0"/>
                <w:color w:val="1A1A1A"/>
                <w:sz w:val="20"/>
              </w:rPr>
              <w:t>icp-benchmarking</w:t>
            </w:r>
          </w:p>
        </w:tc>
        <w:tc>
          <w:tcPr>
            <w:tcW w:type="dxa" w:w="2551"/>
            <w:shd w:val="clear" w:color="auto" w:fill="F5F5F5"/>
          </w:tcPr>
          <w:p>
            <w:pPr>
              <w:jc w:val="left"/>
            </w:pPr>
            <w:r>
              <w:rPr>
                <w:rFonts w:ascii="Arial" w:hAnsi="Arial"/>
                <w:b w:val="0"/>
                <w:i w:val="0"/>
                <w:color w:val="1A1A1A"/>
                <w:sz w:val="20"/>
              </w:rPr>
              <w:t>ICP Benchmarking</w:t>
            </w:r>
          </w:p>
        </w:tc>
      </w:tr>
      <w:tr>
        <w:tc>
          <w:tcPr>
            <w:tcW w:type="dxa" w:w="680"/>
            <w:shd w:val="clear" w:color="auto" w:fill="FFFFFF"/>
          </w:tcPr>
          <w:p>
            <w:pPr>
              <w:jc w:val="left"/>
            </w:pPr>
            <w:r>
              <w:rPr>
                <w:rFonts w:ascii="Arial" w:hAnsi="Arial"/>
                <w:b w:val="0"/>
                <w:i w:val="0"/>
                <w:color w:val="1A1A1A"/>
                <w:sz w:val="20"/>
              </w:rPr>
              <w:t>44</w:t>
            </w:r>
          </w:p>
        </w:tc>
        <w:tc>
          <w:tcPr>
            <w:tcW w:type="dxa" w:w="1134"/>
            <w:shd w:val="clear" w:color="auto" w:fill="FFFFFF"/>
          </w:tcPr>
          <w:p>
            <w:pPr>
              <w:jc w:val="left"/>
            </w:pPr>
            <w:r>
              <w:rPr>
                <w:rFonts w:ascii="Arial" w:hAnsi="Arial"/>
                <w:b w:val="0"/>
                <w:i w:val="0"/>
                <w:color w:val="1A1A1A"/>
                <w:sz w:val="20"/>
              </w:rPr>
              <w:t>Default</w:t>
            </w:r>
          </w:p>
        </w:tc>
        <w:tc>
          <w:tcPr>
            <w:tcW w:type="dxa" w:w="1417"/>
            <w:shd w:val="clear" w:color="auto" w:fill="FFFFFF"/>
          </w:tcPr>
          <w:p>
            <w:pPr>
              <w:jc w:val="left"/>
            </w:pPr>
            <w:r>
              <w:rPr>
                <w:rFonts w:ascii="Arial" w:hAnsi="Arial"/>
                <w:b w:val="0"/>
                <w:i w:val="0"/>
                <w:color w:val="1A1A1A"/>
                <w:sz w:val="20"/>
              </w:rPr>
              <w:t>Analytics</w:t>
            </w:r>
          </w:p>
        </w:tc>
        <w:tc>
          <w:tcPr>
            <w:tcW w:type="dxa" w:w="2154"/>
            <w:shd w:val="clear" w:color="auto" w:fill="FFFFFF"/>
          </w:tcPr>
          <w:p>
            <w:pPr>
              <w:jc w:val="left"/>
            </w:pPr>
            <w:r>
              <w:rPr>
                <w:rFonts w:ascii="Arial" w:hAnsi="Arial"/>
                <w:b w:val="0"/>
                <w:i w:val="0"/>
                <w:color w:val="1A1A1A"/>
                <w:sz w:val="20"/>
              </w:rPr>
              <w:t>trade-flow-chart</w:t>
            </w:r>
          </w:p>
        </w:tc>
        <w:tc>
          <w:tcPr>
            <w:tcW w:type="dxa" w:w="2551"/>
            <w:shd w:val="clear" w:color="auto" w:fill="FFFFFF"/>
          </w:tcPr>
          <w:p>
            <w:pPr>
              <w:jc w:val="left"/>
            </w:pPr>
            <w:r>
              <w:rPr>
                <w:rFonts w:ascii="Arial" w:hAnsi="Arial"/>
                <w:b w:val="0"/>
                <w:i w:val="0"/>
                <w:color w:val="1A1A1A"/>
                <w:sz w:val="20"/>
              </w:rPr>
              <w:t>Trade Flow Chart</w:t>
            </w:r>
          </w:p>
        </w:tc>
      </w:tr>
      <w:tr>
        <w:tc>
          <w:tcPr>
            <w:tcW w:type="dxa" w:w="680"/>
            <w:shd w:val="clear" w:color="auto" w:fill="F5F5F5"/>
          </w:tcPr>
          <w:p>
            <w:pPr>
              <w:jc w:val="left"/>
            </w:pPr>
            <w:r>
              <w:rPr>
                <w:rFonts w:ascii="Arial" w:hAnsi="Arial"/>
                <w:b w:val="0"/>
                <w:i w:val="0"/>
                <w:color w:val="1A1A1A"/>
                <w:sz w:val="20"/>
              </w:rPr>
              <w:t>45</w:t>
            </w:r>
          </w:p>
        </w:tc>
        <w:tc>
          <w:tcPr>
            <w:tcW w:type="dxa" w:w="1134"/>
            <w:shd w:val="clear" w:color="auto" w:fill="F5F5F5"/>
          </w:tcPr>
          <w:p>
            <w:pPr>
              <w:jc w:val="left"/>
            </w:pPr>
            <w:r>
              <w:rPr>
                <w:rFonts w:ascii="Arial" w:hAnsi="Arial"/>
                <w:b w:val="0"/>
                <w:i w:val="0"/>
                <w:color w:val="1A1A1A"/>
                <w:sz w:val="20"/>
              </w:rPr>
              <w:t>Center</w:t>
            </w:r>
          </w:p>
        </w:tc>
        <w:tc>
          <w:tcPr>
            <w:tcW w:type="dxa" w:w="1417"/>
            <w:shd w:val="clear" w:color="auto" w:fill="F5F5F5"/>
          </w:tcPr>
          <w:p>
            <w:pPr>
              <w:jc w:val="left"/>
            </w:pPr>
            <w:r>
              <w:rPr>
                <w:rFonts w:ascii="Arial" w:hAnsi="Arial"/>
                <w:b w:val="0"/>
                <w:i w:val="0"/>
                <w:color w:val="1A1A1A"/>
                <w:sz w:val="20"/>
              </w:rPr>
              <w:t>—</w:t>
            </w:r>
          </w:p>
        </w:tc>
        <w:tc>
          <w:tcPr>
            <w:tcW w:type="dxa" w:w="2154"/>
            <w:shd w:val="clear" w:color="auto" w:fill="F5F5F5"/>
          </w:tcPr>
          <w:p>
            <w:pPr>
              <w:jc w:val="left"/>
            </w:pPr>
            <w:r>
              <w:rPr>
                <w:rFonts w:ascii="Arial" w:hAnsi="Arial"/>
                <w:b w:val="0"/>
                <w:i w:val="0"/>
                <w:color w:val="1A1A1A"/>
                <w:sz w:val="20"/>
              </w:rPr>
              <w:t>—</w:t>
            </w:r>
          </w:p>
        </w:tc>
        <w:tc>
          <w:tcPr>
            <w:tcW w:type="dxa" w:w="2551"/>
            <w:shd w:val="clear" w:color="auto" w:fill="F5F5F5"/>
          </w:tcPr>
          <w:p>
            <w:pPr>
              <w:jc w:val="left"/>
            </w:pPr>
            <w:r>
              <w:rPr>
                <w:rFonts w:ascii="Arial" w:hAnsi="Arial"/>
                <w:b w:val="0"/>
                <w:i w:val="0"/>
                <w:color w:val="1A1A1A"/>
                <w:sz w:val="20"/>
              </w:rPr>
              <w:t>Tour Complete — Enter Dashboard</w:t>
            </w:r>
          </w:p>
        </w:tc>
      </w:tr>
    </w:tbl>
    <w:p/>
    <w:p>
      <w:pPr>
        <w:spacing w:before="320" w:after="80"/>
        <w:jc w:val="left"/>
      </w:pPr>
      <w:r>
        <w:rPr>
          <w:rFonts w:ascii="Arial" w:hAnsi="Arial"/>
          <w:b/>
          <w:color w:val="1A3A6A"/>
          <w:sz w:val="26"/>
        </w:rPr>
        <w:t>Appendix C: Project Timeline</w:t>
      </w:r>
    </w:p>
    <w:p>
      <w:pPr>
        <w:spacing w:after="160" w:line="360" w:lineRule="auto"/>
        <w:ind w:left="0"/>
        <w:jc w:val="both"/>
      </w:pPr>
      <w:r>
        <w:rPr>
          <w:rFonts w:ascii="Arial" w:hAnsi="Arial"/>
          <w:b w:val="0"/>
          <w:i w:val="0"/>
          <w:color w:val="1A1A1A"/>
          <w:sz w:val="22"/>
        </w:rPr>
        <w:t>The internship project was executed across six phases:</w:t>
      </w:r>
    </w:p>
    <w:p>
      <w:pPr>
        <w:pStyle w:val="ListBullet"/>
        <w:spacing w:after="80"/>
        <w:ind w:left="283"/>
        <w:jc w:val="left"/>
      </w:pPr>
      <w:r>
        <w:rPr>
          <w:rFonts w:ascii="Arial" w:hAnsi="Arial"/>
          <w:b w:val="0"/>
          <w:i w:val="0"/>
          <w:color w:val="1A1A1A"/>
          <w:sz w:val="22"/>
        </w:rPr>
        <w:t>Phase 1 (Week 1–2): Requirements gathering, stakeholder interviews, and architecture design. Deliverable: Technical Design Document.</w:t>
      </w:r>
    </w:p>
    <w:p>
      <w:pPr>
        <w:pStyle w:val="ListBullet"/>
        <w:spacing w:after="80"/>
        <w:ind w:left="283"/>
        <w:jc w:val="left"/>
      </w:pPr>
      <w:r>
        <w:rPr>
          <w:rFonts w:ascii="Arial" w:hAnsi="Arial"/>
          <w:b w:val="0"/>
          <w:i w:val="0"/>
          <w:color w:val="1A1A1A"/>
          <w:sz w:val="22"/>
        </w:rPr>
        <w:t>Phase 2 (Week 3–4): Core infrastructure — App.jsx, routing, TopNav, ICP selector, mock data schema. Deliverable: Functional shell application.</w:t>
      </w:r>
    </w:p>
    <w:p>
      <w:pPr>
        <w:pStyle w:val="ListBullet"/>
        <w:spacing w:after="80"/>
        <w:ind w:left="283"/>
        <w:jc w:val="left"/>
      </w:pPr>
      <w:r>
        <w:rPr>
          <w:rFonts w:ascii="Arial" w:hAnsi="Arial"/>
          <w:b w:val="0"/>
          <w:i w:val="0"/>
          <w:color w:val="1A1A1A"/>
          <w:sz w:val="22"/>
        </w:rPr>
        <w:t>Phase 3 (Week 5–7): Module development — Cargo, Immigration, Surveillance, Vehicle. Deliverable: Four operational modules with full UI.</w:t>
      </w:r>
    </w:p>
    <w:p>
      <w:pPr>
        <w:pStyle w:val="ListBullet"/>
        <w:spacing w:after="80"/>
        <w:ind w:left="283"/>
        <w:jc w:val="left"/>
      </w:pPr>
      <w:r>
        <w:rPr>
          <w:rFonts w:ascii="Arial" w:hAnsi="Arial"/>
          <w:b w:val="0"/>
          <w:i w:val="0"/>
          <w:color w:val="1A1A1A"/>
          <w:sz w:val="22"/>
        </w:rPr>
        <w:t>Phase 4 (Week 8): Analytics module, Axiom engine integration, briefing system. Deliverable: Complete 5-module platform.</w:t>
      </w:r>
    </w:p>
    <w:p>
      <w:pPr>
        <w:pStyle w:val="ListBullet"/>
        <w:spacing w:after="80"/>
        <w:ind w:left="283"/>
        <w:jc w:val="left"/>
      </w:pPr>
      <w:r>
        <w:rPr>
          <w:rFonts w:ascii="Arial" w:hAnsi="Arial"/>
          <w:b w:val="0"/>
          <w:i w:val="0"/>
          <w:color w:val="1A1A1A"/>
          <w:sz w:val="22"/>
        </w:rPr>
        <w:t>Phase 5 (Week 9): Guided walkthrough system — 45 steps, spotlight overlay, keyboard navigation. Deliverable: Demo-ready walkthrough.</w:t>
      </w:r>
    </w:p>
    <w:p>
      <w:pPr>
        <w:pStyle w:val="ListBullet"/>
        <w:spacing w:after="80"/>
        <w:ind w:left="283"/>
        <w:jc w:val="left"/>
      </w:pPr>
      <w:r>
        <w:rPr>
          <w:rFonts w:ascii="Arial" w:hAnsi="Arial"/>
          <w:b w:val="0"/>
          <w:i w:val="0"/>
          <w:color w:val="1A1A1A"/>
          <w:sz w:val="22"/>
        </w:rPr>
        <w:t>Phase 6 (Week 10): Testing, documentation, report preparation, and senior official demonstration. Deliverable: This report and live demo.</w:t>
      </w:r>
    </w:p>
    <w:p>
      <w:pPr>
        <w:spacing w:before="320" w:after="80"/>
        <w:jc w:val="left"/>
      </w:pPr>
      <w:r>
        <w:rPr>
          <w:rFonts w:ascii="Arial" w:hAnsi="Arial"/>
          <w:b/>
          <w:color w:val="1A3A6A"/>
          <w:sz w:val="26"/>
        </w:rPr>
        <w:t>Appendix D: Glossary of Terms</w:t>
      </w:r>
    </w:p>
    <w:tbl>
      <w:tblPr>
        <w:tblStyle w:val="TableGrid"/>
        <w:tblW w:type="auto" w:w="0"/>
        <w:jc w:val="left"/>
        <w:tblLook w:firstColumn="1" w:firstRow="1" w:lastColumn="0" w:lastRow="0" w:noHBand="0" w:noVBand="1" w:val="04A0"/>
      </w:tblPr>
      <w:tblGrid>
        <w:gridCol w:w="4154"/>
        <w:gridCol w:w="4154"/>
      </w:tblGrid>
      <w:tr>
        <w:tc>
          <w:tcPr>
            <w:tcW w:type="dxa" w:w="2268"/>
            <w:shd w:val="clear" w:color="auto" w:fill="EAF0FB"/>
          </w:tcPr>
          <w:p>
            <w:r>
              <w:rPr>
                <w:rFonts w:ascii="Arial" w:hAnsi="Arial"/>
                <w:b/>
                <w:i w:val="0"/>
                <w:color w:val="1A3A6A"/>
                <w:sz w:val="20"/>
              </w:rPr>
              <w:t>ANPR</w:t>
            </w:r>
          </w:p>
        </w:tc>
        <w:tc>
          <w:tcPr>
            <w:tcW w:type="dxa" w:w="5669"/>
            <w:shd w:val="clear" w:color="auto" w:fill="EAF0FB"/>
          </w:tcPr>
          <w:p>
            <w:r>
              <w:rPr>
                <w:rFonts w:ascii="Arial" w:hAnsi="Arial"/>
                <w:b w:val="0"/>
                <w:i w:val="0"/>
                <w:color w:val="1A1A1A"/>
                <w:sz w:val="20"/>
              </w:rPr>
              <w:t>Automatic Number Plate Recognition</w:t>
            </w:r>
          </w:p>
        </w:tc>
      </w:tr>
      <w:tr>
        <w:tc>
          <w:tcPr>
            <w:tcW w:type="dxa" w:w="2268"/>
            <w:shd w:val="clear" w:color="auto" w:fill="FFFFFF"/>
          </w:tcPr>
          <w:p>
            <w:r>
              <w:rPr>
                <w:rFonts w:ascii="Arial" w:hAnsi="Arial"/>
                <w:b/>
                <w:i w:val="0"/>
                <w:color w:val="1A3A6A"/>
                <w:sz w:val="20"/>
              </w:rPr>
              <w:t>API</w:t>
            </w:r>
          </w:p>
        </w:tc>
        <w:tc>
          <w:tcPr>
            <w:tcW w:type="dxa" w:w="5669"/>
            <w:shd w:val="clear" w:color="auto" w:fill="FFFFFF"/>
          </w:tcPr>
          <w:p>
            <w:r>
              <w:rPr>
                <w:rFonts w:ascii="Arial" w:hAnsi="Arial"/>
                <w:b w:val="0"/>
                <w:i w:val="0"/>
                <w:color w:val="1A1A1A"/>
                <w:sz w:val="20"/>
              </w:rPr>
              <w:t>Application Programming Interface</w:t>
            </w:r>
          </w:p>
        </w:tc>
      </w:tr>
      <w:tr>
        <w:tc>
          <w:tcPr>
            <w:tcW w:type="dxa" w:w="2268"/>
            <w:shd w:val="clear" w:color="auto" w:fill="EAF0FB"/>
          </w:tcPr>
          <w:p>
            <w:r>
              <w:rPr>
                <w:rFonts w:ascii="Arial" w:hAnsi="Arial"/>
                <w:b/>
                <w:i w:val="0"/>
                <w:color w:val="1A3A6A"/>
                <w:sz w:val="20"/>
              </w:rPr>
              <w:t>BSF</w:t>
            </w:r>
          </w:p>
        </w:tc>
        <w:tc>
          <w:tcPr>
            <w:tcW w:type="dxa" w:w="5669"/>
            <w:shd w:val="clear" w:color="auto" w:fill="EAF0FB"/>
          </w:tcPr>
          <w:p>
            <w:r>
              <w:rPr>
                <w:rFonts w:ascii="Arial" w:hAnsi="Arial"/>
                <w:b w:val="0"/>
                <w:i w:val="0"/>
                <w:color w:val="1A1A1A"/>
                <w:sz w:val="20"/>
              </w:rPr>
              <w:t>Border Security Force</w:t>
            </w:r>
          </w:p>
        </w:tc>
      </w:tr>
      <w:tr>
        <w:tc>
          <w:tcPr>
            <w:tcW w:type="dxa" w:w="2268"/>
            <w:shd w:val="clear" w:color="auto" w:fill="FFFFFF"/>
          </w:tcPr>
          <w:p>
            <w:r>
              <w:rPr>
                <w:rFonts w:ascii="Arial" w:hAnsi="Arial"/>
                <w:b/>
                <w:i w:val="0"/>
                <w:color w:val="1A3A6A"/>
                <w:sz w:val="20"/>
              </w:rPr>
              <w:t>CCTNS</w:t>
            </w:r>
          </w:p>
        </w:tc>
        <w:tc>
          <w:tcPr>
            <w:tcW w:type="dxa" w:w="5669"/>
            <w:shd w:val="clear" w:color="auto" w:fill="FFFFFF"/>
          </w:tcPr>
          <w:p>
            <w:r>
              <w:rPr>
                <w:rFonts w:ascii="Arial" w:hAnsi="Arial"/>
                <w:b w:val="0"/>
                <w:i w:val="0"/>
                <w:color w:val="1A1A1A"/>
                <w:sz w:val="20"/>
              </w:rPr>
              <w:t>Crime and Criminal Tracking Network and Systems</w:t>
            </w:r>
          </w:p>
        </w:tc>
      </w:tr>
      <w:tr>
        <w:tc>
          <w:tcPr>
            <w:tcW w:type="dxa" w:w="2268"/>
            <w:shd w:val="clear" w:color="auto" w:fill="EAF0FB"/>
          </w:tcPr>
          <w:p>
            <w:r>
              <w:rPr>
                <w:rFonts w:ascii="Arial" w:hAnsi="Arial"/>
                <w:b/>
                <w:i w:val="0"/>
                <w:color w:val="1A3A6A"/>
                <w:sz w:val="20"/>
              </w:rPr>
              <w:t>CERT-In</w:t>
            </w:r>
          </w:p>
        </w:tc>
        <w:tc>
          <w:tcPr>
            <w:tcW w:type="dxa" w:w="5669"/>
            <w:shd w:val="clear" w:color="auto" w:fill="EAF0FB"/>
          </w:tcPr>
          <w:p>
            <w:r>
              <w:rPr>
                <w:rFonts w:ascii="Arial" w:hAnsi="Arial"/>
                <w:b w:val="0"/>
                <w:i w:val="0"/>
                <w:color w:val="1A1A1A"/>
                <w:sz w:val="20"/>
              </w:rPr>
              <w:t>Computer Emergency Response Team — India</w:t>
            </w:r>
          </w:p>
        </w:tc>
      </w:tr>
      <w:tr>
        <w:tc>
          <w:tcPr>
            <w:tcW w:type="dxa" w:w="2268"/>
            <w:shd w:val="clear" w:color="auto" w:fill="FFFFFF"/>
          </w:tcPr>
          <w:p>
            <w:r>
              <w:rPr>
                <w:rFonts w:ascii="Arial" w:hAnsi="Arial"/>
                <w:b/>
                <w:i w:val="0"/>
                <w:color w:val="1A3A6A"/>
                <w:sz w:val="20"/>
              </w:rPr>
              <w:t>HMR</w:t>
            </w:r>
          </w:p>
        </w:tc>
        <w:tc>
          <w:tcPr>
            <w:tcW w:type="dxa" w:w="5669"/>
            <w:shd w:val="clear" w:color="auto" w:fill="FFFFFF"/>
          </w:tcPr>
          <w:p>
            <w:r>
              <w:rPr>
                <w:rFonts w:ascii="Arial" w:hAnsi="Arial"/>
                <w:b w:val="0"/>
                <w:i w:val="0"/>
                <w:color w:val="1A1A1A"/>
                <w:sz w:val="20"/>
              </w:rPr>
              <w:t>Hot Module Replacement</w:t>
            </w:r>
          </w:p>
        </w:tc>
      </w:tr>
      <w:tr>
        <w:tc>
          <w:tcPr>
            <w:tcW w:type="dxa" w:w="2268"/>
            <w:shd w:val="clear" w:color="auto" w:fill="EAF0FB"/>
          </w:tcPr>
          <w:p>
            <w:r>
              <w:rPr>
                <w:rFonts w:ascii="Arial" w:hAnsi="Arial"/>
                <w:b/>
                <w:i w:val="0"/>
                <w:color w:val="1A3A6A"/>
                <w:sz w:val="20"/>
              </w:rPr>
              <w:t>ICP</w:t>
            </w:r>
          </w:p>
        </w:tc>
        <w:tc>
          <w:tcPr>
            <w:tcW w:type="dxa" w:w="5669"/>
            <w:shd w:val="clear" w:color="auto" w:fill="EAF0FB"/>
          </w:tcPr>
          <w:p>
            <w:r>
              <w:rPr>
                <w:rFonts w:ascii="Arial" w:hAnsi="Arial"/>
                <w:b w:val="0"/>
                <w:i w:val="0"/>
                <w:color w:val="1A1A1A"/>
                <w:sz w:val="20"/>
              </w:rPr>
              <w:t>Integrated Check Post</w:t>
            </w:r>
          </w:p>
        </w:tc>
      </w:tr>
      <w:tr>
        <w:tc>
          <w:tcPr>
            <w:tcW w:type="dxa" w:w="2268"/>
            <w:shd w:val="clear" w:color="auto" w:fill="FFFFFF"/>
          </w:tcPr>
          <w:p>
            <w:r>
              <w:rPr>
                <w:rFonts w:ascii="Arial" w:hAnsi="Arial"/>
                <w:b/>
                <w:i w:val="0"/>
                <w:color w:val="1A3A6A"/>
                <w:sz w:val="20"/>
              </w:rPr>
              <w:t>ICEGATE</w:t>
            </w:r>
          </w:p>
        </w:tc>
        <w:tc>
          <w:tcPr>
            <w:tcW w:type="dxa" w:w="5669"/>
            <w:shd w:val="clear" w:color="auto" w:fill="FFFFFF"/>
          </w:tcPr>
          <w:p>
            <w:r>
              <w:rPr>
                <w:rFonts w:ascii="Arial" w:hAnsi="Arial"/>
                <w:b w:val="0"/>
                <w:i w:val="0"/>
                <w:color w:val="1A1A1A"/>
                <w:sz w:val="20"/>
              </w:rPr>
              <w:t>Indian Customs Electronic Commerce / EDI Gateway</w:t>
            </w:r>
          </w:p>
        </w:tc>
      </w:tr>
      <w:tr>
        <w:tc>
          <w:tcPr>
            <w:tcW w:type="dxa" w:w="2268"/>
            <w:shd w:val="clear" w:color="auto" w:fill="EAF0FB"/>
          </w:tcPr>
          <w:p>
            <w:r>
              <w:rPr>
                <w:rFonts w:ascii="Arial" w:hAnsi="Arial"/>
                <w:b/>
                <w:i w:val="0"/>
                <w:color w:val="1A3A6A"/>
                <w:sz w:val="20"/>
              </w:rPr>
              <w:t>ITMS</w:t>
            </w:r>
          </w:p>
        </w:tc>
        <w:tc>
          <w:tcPr>
            <w:tcW w:type="dxa" w:w="5669"/>
            <w:shd w:val="clear" w:color="auto" w:fill="EAF0FB"/>
          </w:tcPr>
          <w:p>
            <w:r>
              <w:rPr>
                <w:rFonts w:ascii="Arial" w:hAnsi="Arial"/>
                <w:b w:val="0"/>
                <w:i w:val="0"/>
                <w:color w:val="1A1A1A"/>
                <w:sz w:val="20"/>
              </w:rPr>
              <w:t>Integrated Traffic Management System</w:t>
            </w:r>
          </w:p>
        </w:tc>
      </w:tr>
      <w:tr>
        <w:tc>
          <w:tcPr>
            <w:tcW w:type="dxa" w:w="2268"/>
            <w:shd w:val="clear" w:color="auto" w:fill="FFFFFF"/>
          </w:tcPr>
          <w:p>
            <w:r>
              <w:rPr>
                <w:rFonts w:ascii="Arial" w:hAnsi="Arial"/>
                <w:b/>
                <w:i w:val="0"/>
                <w:color w:val="1A3A6A"/>
                <w:sz w:val="20"/>
              </w:rPr>
              <w:t>KPI</w:t>
            </w:r>
          </w:p>
        </w:tc>
        <w:tc>
          <w:tcPr>
            <w:tcW w:type="dxa" w:w="5669"/>
            <w:shd w:val="clear" w:color="auto" w:fill="FFFFFF"/>
          </w:tcPr>
          <w:p>
            <w:r>
              <w:rPr>
                <w:rFonts w:ascii="Arial" w:hAnsi="Arial"/>
                <w:b w:val="0"/>
                <w:i w:val="0"/>
                <w:color w:val="1A1A1A"/>
                <w:sz w:val="20"/>
              </w:rPr>
              <w:t>Key Performance Indicator</w:t>
            </w:r>
          </w:p>
        </w:tc>
      </w:tr>
      <w:tr>
        <w:tc>
          <w:tcPr>
            <w:tcW w:type="dxa" w:w="2268"/>
            <w:shd w:val="clear" w:color="auto" w:fill="EAF0FB"/>
          </w:tcPr>
          <w:p>
            <w:r>
              <w:rPr>
                <w:rFonts w:ascii="Arial" w:hAnsi="Arial"/>
                <w:b/>
                <w:i w:val="0"/>
                <w:color w:val="1A3A6A"/>
                <w:sz w:val="20"/>
              </w:rPr>
              <w:t>LPAI</w:t>
            </w:r>
          </w:p>
        </w:tc>
        <w:tc>
          <w:tcPr>
            <w:tcW w:type="dxa" w:w="5669"/>
            <w:shd w:val="clear" w:color="auto" w:fill="EAF0FB"/>
          </w:tcPr>
          <w:p>
            <w:r>
              <w:rPr>
                <w:rFonts w:ascii="Arial" w:hAnsi="Arial"/>
                <w:b w:val="0"/>
                <w:i w:val="0"/>
                <w:color w:val="1A1A1A"/>
                <w:sz w:val="20"/>
              </w:rPr>
              <w:t>Land Port Authority of India</w:t>
            </w:r>
          </w:p>
        </w:tc>
      </w:tr>
      <w:tr>
        <w:tc>
          <w:tcPr>
            <w:tcW w:type="dxa" w:w="2268"/>
            <w:shd w:val="clear" w:color="auto" w:fill="FFFFFF"/>
          </w:tcPr>
          <w:p>
            <w:r>
              <w:rPr>
                <w:rFonts w:ascii="Arial" w:hAnsi="Arial"/>
                <w:b/>
                <w:i w:val="0"/>
                <w:color w:val="1A3A6A"/>
                <w:sz w:val="20"/>
              </w:rPr>
              <w:t>MHA</w:t>
            </w:r>
          </w:p>
        </w:tc>
        <w:tc>
          <w:tcPr>
            <w:tcW w:type="dxa" w:w="5669"/>
            <w:shd w:val="clear" w:color="auto" w:fill="FFFFFF"/>
          </w:tcPr>
          <w:p>
            <w:r>
              <w:rPr>
                <w:rFonts w:ascii="Arial" w:hAnsi="Arial"/>
                <w:b w:val="0"/>
                <w:i w:val="0"/>
                <w:color w:val="1A1A1A"/>
                <w:sz w:val="20"/>
              </w:rPr>
              <w:t>Ministry of Home Affairs</w:t>
            </w:r>
          </w:p>
        </w:tc>
      </w:tr>
      <w:tr>
        <w:tc>
          <w:tcPr>
            <w:tcW w:type="dxa" w:w="2268"/>
            <w:shd w:val="clear" w:color="auto" w:fill="EAF0FB"/>
          </w:tcPr>
          <w:p>
            <w:r>
              <w:rPr>
                <w:rFonts w:ascii="Arial" w:hAnsi="Arial"/>
                <w:b/>
                <w:i w:val="0"/>
                <w:color w:val="1A3A6A"/>
                <w:sz w:val="20"/>
              </w:rPr>
              <w:t>NATGRID</w:t>
            </w:r>
          </w:p>
        </w:tc>
        <w:tc>
          <w:tcPr>
            <w:tcW w:type="dxa" w:w="5669"/>
            <w:shd w:val="clear" w:color="auto" w:fill="EAF0FB"/>
          </w:tcPr>
          <w:p>
            <w:r>
              <w:rPr>
                <w:rFonts w:ascii="Arial" w:hAnsi="Arial"/>
                <w:b w:val="0"/>
                <w:i w:val="0"/>
                <w:color w:val="1A1A1A"/>
                <w:sz w:val="20"/>
              </w:rPr>
              <w:t>National Intelligence Grid</w:t>
            </w:r>
          </w:p>
        </w:tc>
      </w:tr>
      <w:tr>
        <w:tc>
          <w:tcPr>
            <w:tcW w:type="dxa" w:w="2268"/>
            <w:shd w:val="clear" w:color="auto" w:fill="FFFFFF"/>
          </w:tcPr>
          <w:p>
            <w:r>
              <w:rPr>
                <w:rFonts w:ascii="Arial" w:hAnsi="Arial"/>
                <w:b/>
                <w:i w:val="0"/>
                <w:color w:val="1A3A6A"/>
                <w:sz w:val="20"/>
              </w:rPr>
              <w:t>NICNET</w:t>
            </w:r>
          </w:p>
        </w:tc>
        <w:tc>
          <w:tcPr>
            <w:tcW w:type="dxa" w:w="5669"/>
            <w:shd w:val="clear" w:color="auto" w:fill="FFFFFF"/>
          </w:tcPr>
          <w:p>
            <w:r>
              <w:rPr>
                <w:rFonts w:ascii="Arial" w:hAnsi="Arial"/>
                <w:b w:val="0"/>
                <w:i w:val="0"/>
                <w:color w:val="1A1A1A"/>
                <w:sz w:val="20"/>
              </w:rPr>
              <w:t>National Informatics Centre Network</w:t>
            </w:r>
          </w:p>
        </w:tc>
      </w:tr>
      <w:tr>
        <w:tc>
          <w:tcPr>
            <w:tcW w:type="dxa" w:w="2268"/>
            <w:shd w:val="clear" w:color="auto" w:fill="EAF0FB"/>
          </w:tcPr>
          <w:p>
            <w:r>
              <w:rPr>
                <w:rFonts w:ascii="Arial" w:hAnsi="Arial"/>
                <w:b/>
                <w:i w:val="0"/>
                <w:color w:val="1A3A6A"/>
                <w:sz w:val="20"/>
              </w:rPr>
              <w:t>PWA</w:t>
            </w:r>
          </w:p>
        </w:tc>
        <w:tc>
          <w:tcPr>
            <w:tcW w:type="dxa" w:w="5669"/>
            <w:shd w:val="clear" w:color="auto" w:fill="EAF0FB"/>
          </w:tcPr>
          <w:p>
            <w:r>
              <w:rPr>
                <w:rFonts w:ascii="Arial" w:hAnsi="Arial"/>
                <w:b w:val="0"/>
                <w:i w:val="0"/>
                <w:color w:val="1A1A1A"/>
                <w:sz w:val="20"/>
              </w:rPr>
              <w:t>Progressive Web Application</w:t>
            </w:r>
          </w:p>
        </w:tc>
      </w:tr>
      <w:tr>
        <w:tc>
          <w:tcPr>
            <w:tcW w:type="dxa" w:w="2268"/>
            <w:shd w:val="clear" w:color="auto" w:fill="FFFFFF"/>
          </w:tcPr>
          <w:p>
            <w:r>
              <w:rPr>
                <w:rFonts w:ascii="Arial" w:hAnsi="Arial"/>
                <w:b/>
                <w:i w:val="0"/>
                <w:color w:val="1A3A6A"/>
                <w:sz w:val="20"/>
              </w:rPr>
              <w:t>SPA</w:t>
            </w:r>
          </w:p>
        </w:tc>
        <w:tc>
          <w:tcPr>
            <w:tcW w:type="dxa" w:w="5669"/>
            <w:shd w:val="clear" w:color="auto" w:fill="FFFFFF"/>
          </w:tcPr>
          <w:p>
            <w:r>
              <w:rPr>
                <w:rFonts w:ascii="Arial" w:hAnsi="Arial"/>
                <w:b w:val="0"/>
                <w:i w:val="0"/>
                <w:color w:val="1A1A1A"/>
                <w:sz w:val="20"/>
              </w:rPr>
              <w:t>Single Page Application</w:t>
            </w:r>
          </w:p>
        </w:tc>
      </w:tr>
      <w:tr>
        <w:tc>
          <w:tcPr>
            <w:tcW w:type="dxa" w:w="2268"/>
            <w:shd w:val="clear" w:color="auto" w:fill="EAF0FB"/>
          </w:tcPr>
          <w:p>
            <w:r>
              <w:rPr>
                <w:rFonts w:ascii="Arial" w:hAnsi="Arial"/>
                <w:b/>
                <w:i w:val="0"/>
                <w:color w:val="1A3A6A"/>
                <w:sz w:val="20"/>
              </w:rPr>
              <w:t>VAHAN</w:t>
            </w:r>
          </w:p>
        </w:tc>
        <w:tc>
          <w:tcPr>
            <w:tcW w:type="dxa" w:w="5669"/>
            <w:shd w:val="clear" w:color="auto" w:fill="EAF0FB"/>
          </w:tcPr>
          <w:p>
            <w:r>
              <w:rPr>
                <w:rFonts w:ascii="Arial" w:hAnsi="Arial"/>
                <w:b w:val="0"/>
                <w:i w:val="0"/>
                <w:color w:val="1A1A1A"/>
                <w:sz w:val="20"/>
              </w:rPr>
              <w:t>National Vehicle Registry (MoRTH)</w:t>
            </w:r>
          </w:p>
        </w:tc>
      </w:tr>
    </w:tbl>
    <w:sectPr w:rsidR="00FC693F" w:rsidRPr="0006063C" w:rsidSect="00034616">
      <w:headerReference w:type="default" r:id="rId17"/>
      <w:footerReference w:type="default" r:id="rId18"/>
      <w:pgSz w:w="11909" w:h="16834"/>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Arial" w:hAnsi="Arial"/>
              <w:b w:val="0"/>
              <w:i w:val="0"/>
              <w:color w:val="1A3A6A"/>
              <w:sz w:val="16"/>
            </w:rPr>
            <w:t>Land Port Authority of India  |  Ministry of Home Affairs</w:t>
          </w:r>
        </w:p>
      </w:tc>
      <w:tc>
        <w:tcPr>
          <w:tcW w:type="dxa" w:w="3120"/>
        </w:tcPr>
        <w:p>
          <w:pPr>
            <w:jc w:val="center"/>
          </w:pPr>
        </w:p>
      </w:tc>
      <w:tc>
        <w:tcPr>
          <w:tcW w:type="dxa" w:w="3120"/>
        </w:tcPr>
        <w:p>
          <w:pPr>
            <w:jc w:val="right"/>
          </w:pPr>
          <w:r>
            <w:rPr>
              <w:rFonts w:ascii="Arial" w:hAnsi="Arial"/>
              <w:b w:val="0"/>
              <w:i w:val="0"/>
              <w:color w:val="1A3A6A"/>
              <w:sz w:val="16"/>
            </w:rPr>
            <w:t xml:space="preserve">Page </w:t>
          </w:r>
          <w:r/>
          <w:r>
            <w:fldChar w:fldCharType="begin"/>
          </w:r>
          <w:r>
            <w:instrText> PAGE </w:instrText>
          </w:r>
          <w:r>
            <w:fldChar w:fldCharType="end"/>
          </w:r>
          <w:r>
            <w:rPr>
              <w:rFonts w:ascii="Arial" w:hAnsi="Arial"/>
              <w:b w:val="0"/>
              <w:i w:val="0"/>
              <w:color w:val="1A3A6A"/>
              <w:sz w:val="16"/>
            </w:rPr>
            <w:t xml:space="preserve"> of </w:t>
          </w:r>
          <w:r>
            <w:fldChar w:fldCharType="begin"/>
          </w:r>
          <w:r>
            <w:instrText> NUMPAGES </w:instrTex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Arial" w:hAnsi="Arial"/>
              <w:b w:val="0"/>
              <w:i/>
              <w:color w:val="1A3A6A"/>
              <w:sz w:val="18"/>
            </w:rPr>
            <w:t>LPAI Nexus — Internship Technical Report</w:t>
          </w:r>
        </w:p>
      </w:tc>
      <w:tc>
        <w:tcPr>
          <w:tcW w:type="dxa" w:w="3120"/>
        </w:tcPr>
        <w:p>
          <w:pPr>
            <w:jc w:val="center"/>
          </w:pPr>
        </w:p>
      </w:tc>
      <w:tc>
        <w:tcPr>
          <w:tcW w:type="dxa" w:w="3120"/>
        </w:tcPr>
        <w:p>
          <w:pPr>
            <w:jc w:val="right"/>
          </w:pPr>
          <w:r>
            <w:rPr>
              <w:rFonts w:ascii="Arial" w:hAnsi="Arial"/>
              <w:b/>
              <w:i w:val="0"/>
              <w:color w:val="C0392B"/>
              <w:sz w:val="18"/>
            </w:rPr>
            <w:t>RESTRICTED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