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urban-water-planning"/>
    <w:p>
      <w:pPr>
        <w:pStyle w:val="Heading1"/>
      </w:pPr>
      <w:r>
        <w:t xml:space="preserve">Urban Water Planning</w:t>
      </w:r>
    </w:p>
    <w:p>
      <w:pPr>
        <w:pStyle w:val="FirstParagraph"/>
      </w:pPr>
      <w:r>
        <w:t xml:space="preserve">City planners can reduce water waste by finding leaks early and matching irrigation schedules to local weather. A basic audit should record where water enters each district, how much reaches homes and parks, and when demand rises. Replacing damaged pipes may cost more at first, but it can prevent repeated losses and service interruptions. Public dashboards help residents see whether repairs are working, while clear maintenance budgets keep the program useful after the pilot ends.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2026-09-23T14:50:41Z</dcterms:created>
  <dcterms:modified xsi:type="dcterms:W3CDTF">2026-09-23T14:50:41Z</dcterms:modified>
</cp:coreProperties>
</file>

<file path=docProps/custom.xml><?xml version="1.0" encoding="utf-8"?>
<Properties xmlns="http://schemas.openxmlformats.org/officeDocument/2006/custom-properties" xmlns:vt="http://schemas.openxmlformats.org/officeDocument/2006/docPropsVTypes"/>
</file>