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k06ljp04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3 — Executive KPI &amp; Row-Level Security (RLS)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 given in the drive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Tasks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workbook; build relationships if importing additional sheets.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DAX KPIs: Total Profit, Profit Margin %, YoY Growth.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executive dashboard</w:t>
      </w:r>
      <w:r w:rsidDel="00000000" w:rsidR="00000000" w:rsidRPr="00000000">
        <w:rPr>
          <w:rtl w:val="0"/>
        </w:rPr>
        <w:t xml:space="preserve"> with:</w:t>
        <w:br w:type="textWrapping"/>
        <w:t xml:space="preserve"> • KPI cards for the above metrics</w:t>
        <w:br w:type="textWrapping"/>
        <w:t xml:space="preserve"> • Waterfall chart showing profit change by month</w:t>
        <w:br w:type="textWrapping"/>
        <w:t xml:space="preserve"> • Ribbon chart comparing segment performance across years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row-level security</w:t>
      </w:r>
      <w:r w:rsidDel="00000000" w:rsidR="00000000" w:rsidRPr="00000000">
        <w:rPr>
          <w:rtl w:val="0"/>
        </w:rPr>
        <w:t xml:space="preserve"> so regional managers see only their Region’s data.</w:t>
        <w:br w:type="textWrapping"/>
        <w:t xml:space="preserve"> • Create a Region table, define an RLS role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[Region] = USERPRINCIPALNAME()</w:t>
      </w:r>
      <w:r w:rsidDel="00000000" w:rsidR="00000000" w:rsidRPr="00000000">
        <w:rPr>
          <w:rtl w:val="0"/>
        </w:rPr>
        <w:t xml:space="preserve">) or assign regions manually to emails.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steps for testing RLS in Power BI Desktop’s “View as Role” mode.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bs0lc44v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.pbix file. Submission Tips for Large .pbix Files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exceeds your platform’s size limit, tell learners to: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 the report</w:t>
      </w:r>
      <w:r w:rsidDel="00000000" w:rsidR="00000000" w:rsidRPr="00000000">
        <w:rPr>
          <w:rtl w:val="0"/>
        </w:rPr>
        <w:t xml:space="preserve"> and upload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.pbix</w:t>
      </w:r>
      <w:r w:rsidDel="00000000" w:rsidR="00000000" w:rsidRPr="00000000">
        <w:rPr>
          <w:b w:val="1"/>
          <w:bCs w:val="1"/>
          <w:rtl w:val="0"/>
        </w:rPr>
        <w:t xml:space="preserve"> to Drive/OneDrive</w:t>
      </w:r>
      <w:r w:rsidDel="00000000" w:rsidR="00000000" w:rsidRPr="00000000">
        <w:rPr>
          <w:rtl w:val="0"/>
        </w:rPr>
        <w:t xml:space="preserve">, set sharing to “Anyone with the link,” paste the link in a short Word doc, and submit that doc.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