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ge7bh7fgp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1 – HR Attrition Dashboard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Dataset given in the drive folder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CSV via </w:t>
      </w:r>
      <w:r w:rsidDel="00000000" w:rsidR="00000000" w:rsidRPr="00000000">
        <w:rPr>
          <w:b w:val="1"/>
          <w:bCs w:val="1"/>
          <w:rtl w:val="0"/>
        </w:rPr>
        <w:t xml:space="preserve">Power Query</w:t>
      </w:r>
      <w:r w:rsidDel="00000000" w:rsidR="00000000" w:rsidRPr="00000000">
        <w:rPr>
          <w:rtl w:val="0"/>
        </w:rPr>
        <w:t xml:space="preserve">; load to a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AttritionData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calculated column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Attrition_Flag</w:t>
      </w:r>
      <w:r w:rsidDel="00000000" w:rsidR="00000000" w:rsidRPr="00000000">
        <w:rPr>
          <w:rtl w:val="0"/>
        </w:rPr>
        <w:t xml:space="preserve"> (1 = Yes, 0 = No).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PivotTable</w:t>
      </w:r>
      <w:r w:rsidDel="00000000" w:rsidR="00000000" w:rsidRPr="00000000">
        <w:rPr>
          <w:rtl w:val="0"/>
        </w:rPr>
        <w:t xml:space="preserve"> to show attrition rate (SumAttritionFlag/CountEmployee)×100(Sum Attrition_Flag / Count Employee) × 100(SumAttritionF​lag/CountEmployee)×100 by Department and JobRole.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slicers for Gender and EducationField.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one-page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containing: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card: overall attrition %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Stacked bar: attrition % by Department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 chart: attrition % by YearsAtCompany band (0–2, 3–5, 6–10, &gt;10)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textbox with two actionable insights.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 – Submit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hr_attrition_dashboard.xlsx</w:t>
      </w:r>
      <w:r w:rsidDel="00000000" w:rsidR="00000000" w:rsidRPr="00000000">
        <w:rPr>
          <w:rtl w:val="0"/>
        </w:rPr>
        <w:t xml:space="preserve"> (or zipped / link-in-doc if large).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IBM/employee-attrition-aif360/master/data/employee_attrition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