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C32" w:rsidRPr="002A577B" w:rsidRDefault="00D93C32" w:rsidP="00D93C32">
      <w:pPr>
        <w:jc w:val="center"/>
        <w:rPr>
          <w:rFonts w:ascii="Times New Roman" w:eastAsia="Times New Roman" w:hAnsi="Times New Roman" w:cs="Times New Roman"/>
          <w:b/>
          <w:bCs/>
          <w:color w:val="44546A" w:themeColor="text2"/>
          <w:sz w:val="32"/>
          <w:szCs w:val="32"/>
        </w:rPr>
      </w:pPr>
      <w:r w:rsidRPr="002A577B">
        <w:rPr>
          <w:rFonts w:ascii="Times New Roman" w:eastAsia="Times New Roman" w:hAnsi="Times New Roman" w:cs="Times New Roman"/>
          <w:b/>
          <w:bCs/>
          <w:color w:val="44546A" w:themeColor="text2"/>
          <w:sz w:val="32"/>
          <w:szCs w:val="32"/>
        </w:rPr>
        <w:t>A Major Qualifying Report submitted to the faculty of</w:t>
      </w:r>
    </w:p>
    <w:p w:rsidR="00D93C32" w:rsidRPr="002A577B" w:rsidRDefault="00D93C32" w:rsidP="00D93C32">
      <w:pPr>
        <w:ind w:firstLine="720"/>
        <w:jc w:val="center"/>
        <w:rPr>
          <w:rFonts w:ascii="Times New Roman" w:eastAsia="Times New Roman" w:hAnsi="Times New Roman" w:cs="Times New Roman"/>
          <w:b/>
          <w:bCs/>
          <w:sz w:val="32"/>
          <w:szCs w:val="32"/>
        </w:rPr>
      </w:pPr>
      <w:r w:rsidRPr="002A577B">
        <w:rPr>
          <w:rFonts w:ascii="Times New Roman" w:eastAsia="Times New Roman" w:hAnsi="Times New Roman" w:cs="Times New Roman"/>
          <w:b/>
          <w:bCs/>
          <w:sz w:val="32"/>
          <w:szCs w:val="32"/>
        </w:rPr>
        <w:t>BML MUNJAL UNIVERSITY</w:t>
      </w:r>
    </w:p>
    <w:p w:rsidR="00D93C32" w:rsidRPr="002A577B" w:rsidRDefault="00D93C32" w:rsidP="00D93C32">
      <w:pPr>
        <w:ind w:firstLine="720"/>
        <w:jc w:val="center"/>
        <w:rPr>
          <w:rFonts w:ascii="Times New Roman" w:eastAsia="Times New Roman" w:hAnsi="Times New Roman" w:cs="Times New Roman"/>
          <w:b/>
          <w:bCs/>
          <w:sz w:val="32"/>
          <w:szCs w:val="32"/>
        </w:rPr>
      </w:pPr>
    </w:p>
    <w:p w:rsidR="00D93C32" w:rsidRDefault="00D93C32" w:rsidP="00D93C32">
      <w:pPr>
        <w:ind w:firstLine="720"/>
        <w:jc w:val="center"/>
        <w:rPr>
          <w:rFonts w:ascii="Abadi" w:eastAsia="Times New Roman" w:hAnsi="Abadi"/>
          <w:b/>
          <w:bCs/>
        </w:rPr>
      </w:pPr>
      <w:r>
        <w:rPr>
          <w:rFonts w:ascii="Abadi" w:eastAsia="Times New Roman" w:hAnsi="Abadi"/>
          <w:b/>
          <w:bCs/>
          <w:noProof/>
          <w:sz w:val="44"/>
          <w:szCs w:val="44"/>
          <w:bdr w:val="none" w:sz="0" w:space="0" w:color="auto" w:frame="1"/>
        </w:rPr>
        <w:drawing>
          <wp:inline distT="0" distB="0" distL="0" distR="0" wp14:anchorId="09878A18" wp14:editId="2FC96C2C">
            <wp:extent cx="4297680" cy="3642360"/>
            <wp:effectExtent l="0" t="0" r="0" b="0"/>
            <wp:docPr id="15431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680" cy="3642360"/>
                    </a:xfrm>
                    <a:prstGeom prst="rect">
                      <a:avLst/>
                    </a:prstGeom>
                    <a:noFill/>
                    <a:ln>
                      <a:noFill/>
                    </a:ln>
                  </pic:spPr>
                </pic:pic>
              </a:graphicData>
            </a:graphic>
          </wp:inline>
        </w:drawing>
      </w:r>
    </w:p>
    <w:p w:rsidR="00D93C32" w:rsidRDefault="00D93C32" w:rsidP="00D93C32">
      <w:pPr>
        <w:ind w:firstLine="720"/>
        <w:jc w:val="center"/>
        <w:rPr>
          <w:rFonts w:ascii="Abadi" w:eastAsia="Times New Roman" w:hAnsi="Abadi" w:cstheme="minorHAnsi"/>
          <w:b/>
          <w:bCs/>
          <w:sz w:val="40"/>
          <w:szCs w:val="40"/>
        </w:rPr>
      </w:pPr>
      <w:r>
        <w:rPr>
          <w:rFonts w:ascii="Abadi" w:eastAsia="Times New Roman" w:hAnsi="Abadi" w:cstheme="minorHAnsi"/>
          <w:b/>
          <w:bCs/>
          <w:sz w:val="40"/>
          <w:szCs w:val="40"/>
        </w:rPr>
        <w:t>“Partially meets the requirements of the Degree Bachelor of Technology in Computer Science and Engineering”</w:t>
      </w:r>
    </w:p>
    <w:p w:rsidR="00D93C32" w:rsidRPr="002A577B" w:rsidRDefault="00D93C32" w:rsidP="00D93C32">
      <w:pPr>
        <w:spacing w:after="53" w:line="256" w:lineRule="auto"/>
        <w:ind w:right="1594"/>
        <w:jc w:val="right"/>
        <w:rPr>
          <w:rFonts w:asciiTheme="majorHAnsi" w:eastAsia="Garamond" w:hAnsiTheme="majorHAnsi" w:cstheme="majorHAnsi"/>
          <w:b/>
          <w:color w:val="FFFFFF" w:themeColor="background1"/>
          <w:sz w:val="10"/>
          <w:lang w:val="en"/>
        </w:rPr>
      </w:pPr>
      <w:r>
        <w:rPr>
          <w:rFonts w:ascii="Abadi" w:eastAsia="Times New Roman" w:hAnsi="Abadi" w:cstheme="minorHAnsi"/>
          <w:b/>
          <w:bCs/>
          <w:sz w:val="40"/>
          <w:szCs w:val="40"/>
        </w:rPr>
        <w:t xml:space="preserve">     </w:t>
      </w:r>
      <w:r>
        <w:rPr>
          <w:rFonts w:ascii="Abadi" w:eastAsia="Garamond" w:hAnsi="Abadi" w:cs="Garamond"/>
          <w:b/>
          <w:color w:val="FFFFFF" w:themeColor="background1"/>
          <w:sz w:val="10"/>
        </w:rPr>
        <w:t>I</w:t>
      </w:r>
    </w:p>
    <w:p w:rsidR="00D93C32" w:rsidRPr="002A577B" w:rsidRDefault="00D93C32" w:rsidP="00D93C32">
      <w:pPr>
        <w:ind w:firstLine="720"/>
        <w:jc w:val="right"/>
        <w:rPr>
          <w:rFonts w:asciiTheme="majorHAnsi" w:eastAsia="Garamond" w:hAnsiTheme="majorHAnsi" w:cstheme="majorHAnsi"/>
          <w:b/>
          <w:sz w:val="28"/>
          <w:szCs w:val="28"/>
          <w:u w:val="single" w:color="000000"/>
        </w:rPr>
      </w:pPr>
      <w:r w:rsidRPr="002A577B">
        <w:rPr>
          <w:rFonts w:asciiTheme="majorHAnsi" w:eastAsia="Garamond" w:hAnsiTheme="majorHAnsi" w:cstheme="majorHAnsi"/>
          <w:b/>
          <w:sz w:val="28"/>
          <w:szCs w:val="28"/>
          <w:u w:val="single" w:color="000000"/>
        </w:rPr>
        <w:t>By:</w:t>
      </w:r>
    </w:p>
    <w:p w:rsidR="00D93C32" w:rsidRDefault="00D93C32" w:rsidP="00D93C32">
      <w:pPr>
        <w:ind w:firstLine="720"/>
        <w:jc w:val="right"/>
        <w:rPr>
          <w:rFonts w:asciiTheme="majorHAnsi" w:eastAsia="Garamond" w:hAnsiTheme="majorHAnsi" w:cstheme="majorHAnsi"/>
          <w:b/>
          <w:sz w:val="28"/>
          <w:szCs w:val="28"/>
        </w:rPr>
      </w:pPr>
      <w:r>
        <w:rPr>
          <w:rFonts w:asciiTheme="majorHAnsi" w:eastAsia="Garamond" w:hAnsiTheme="majorHAnsi" w:cstheme="majorHAnsi"/>
          <w:b/>
          <w:sz w:val="28"/>
          <w:szCs w:val="28"/>
        </w:rPr>
        <w:t xml:space="preserve">Hardik </w:t>
      </w:r>
      <w:proofErr w:type="gramStart"/>
      <w:r>
        <w:rPr>
          <w:rFonts w:asciiTheme="majorHAnsi" w:eastAsia="Garamond" w:hAnsiTheme="majorHAnsi" w:cstheme="majorHAnsi"/>
          <w:b/>
          <w:sz w:val="28"/>
          <w:szCs w:val="28"/>
        </w:rPr>
        <w:t>Pandey(</w:t>
      </w:r>
      <w:proofErr w:type="gramEnd"/>
      <w:r>
        <w:rPr>
          <w:rFonts w:asciiTheme="majorHAnsi" w:eastAsia="Garamond" w:hAnsiTheme="majorHAnsi" w:cstheme="majorHAnsi"/>
          <w:b/>
          <w:sz w:val="28"/>
          <w:szCs w:val="28"/>
        </w:rPr>
        <w:t>220458)</w:t>
      </w:r>
    </w:p>
    <w:p w:rsidR="00D93C32" w:rsidRPr="00A1081F" w:rsidRDefault="00D93C32" w:rsidP="00D93C32">
      <w:pPr>
        <w:ind w:firstLine="720"/>
        <w:jc w:val="right"/>
        <w:rPr>
          <w:rFonts w:asciiTheme="majorHAnsi" w:eastAsia="Garamond" w:hAnsiTheme="majorHAnsi" w:cstheme="majorHAnsi"/>
          <w:b/>
          <w:sz w:val="28"/>
          <w:szCs w:val="28"/>
        </w:rPr>
      </w:pPr>
    </w:p>
    <w:p w:rsidR="00D93C32" w:rsidRPr="002A577B" w:rsidRDefault="00D93C32" w:rsidP="00D93C32">
      <w:pPr>
        <w:ind w:firstLine="720"/>
        <w:jc w:val="center"/>
        <w:rPr>
          <w:rFonts w:ascii="Abadi" w:eastAsia="Garamond" w:hAnsi="Abadi" w:cs="Garamond"/>
          <w:b/>
          <w:sz w:val="48"/>
        </w:rPr>
      </w:pPr>
      <w:r>
        <w:rPr>
          <w:rFonts w:ascii="Abadi" w:eastAsia="Garamond" w:hAnsi="Abadi" w:cs="Garamond"/>
          <w:b/>
          <w:sz w:val="48"/>
        </w:rPr>
        <w:t xml:space="preserve">Academic Year – (2022 – 23) </w:t>
      </w:r>
    </w:p>
    <w:p w:rsidR="00454769" w:rsidRDefault="00454769" w:rsidP="00D93C32">
      <w:pPr>
        <w:jc w:val="center"/>
      </w:pPr>
    </w:p>
    <w:p w:rsidR="00454769" w:rsidRDefault="00454769">
      <w:r>
        <w:br w:type="page"/>
      </w:r>
    </w:p>
    <w:p w:rsidR="00D93C32" w:rsidRPr="002A577B" w:rsidRDefault="00D93C32" w:rsidP="00D93C32">
      <w:pPr>
        <w:jc w:val="center"/>
        <w:rPr>
          <w:color w:val="44546A" w:themeColor="text2"/>
        </w:rPr>
      </w:pPr>
      <w:r>
        <w:rPr>
          <w:rFonts w:ascii="Times New Roman" w:eastAsia="Times New Roman" w:hAnsi="Times New Roman" w:cs="Times New Roman"/>
          <w:b/>
          <w:color w:val="44546A" w:themeColor="text2"/>
          <w:sz w:val="48"/>
        </w:rPr>
        <w:lastRenderedPageBreak/>
        <w:t xml:space="preserve">Connecting the dots between higher education and </w:t>
      </w:r>
      <w:proofErr w:type="spellStart"/>
      <w:r>
        <w:rPr>
          <w:rFonts w:ascii="Times New Roman" w:eastAsia="Times New Roman" w:hAnsi="Times New Roman" w:cs="Times New Roman"/>
          <w:b/>
          <w:color w:val="44546A" w:themeColor="text2"/>
          <w:sz w:val="48"/>
        </w:rPr>
        <w:t>unemployabliity</w:t>
      </w:r>
      <w:proofErr w:type="spellEnd"/>
      <w:r>
        <w:rPr>
          <w:rFonts w:ascii="Times New Roman" w:eastAsia="Times New Roman" w:hAnsi="Times New Roman" w:cs="Times New Roman"/>
          <w:b/>
          <w:color w:val="44546A" w:themeColor="text2"/>
          <w:sz w:val="48"/>
        </w:rPr>
        <w:t xml:space="preserve"> in India</w:t>
      </w:r>
    </w:p>
    <w:p w:rsidR="00D93C32" w:rsidRPr="002A577B" w:rsidRDefault="00D93C32" w:rsidP="00D93C32">
      <w:pPr>
        <w:rPr>
          <w:sz w:val="28"/>
          <w:szCs w:val="28"/>
        </w:rPr>
      </w:pPr>
    </w:p>
    <w:p w:rsidR="00D93C32" w:rsidRPr="002A577B" w:rsidRDefault="00D93C32" w:rsidP="00D93C32">
      <w:pPr>
        <w:jc w:val="center"/>
        <w:rPr>
          <w:sz w:val="28"/>
          <w:szCs w:val="28"/>
        </w:rPr>
      </w:pPr>
      <w:r w:rsidRPr="002A577B">
        <w:rPr>
          <w:rFonts w:ascii="Times New Roman" w:eastAsia="Times New Roman" w:hAnsi="Times New Roman" w:cs="Times New Roman"/>
          <w:b/>
          <w:sz w:val="28"/>
          <w:szCs w:val="28"/>
          <w:u w:val="single"/>
        </w:rPr>
        <w:t>COURSE</w:t>
      </w:r>
      <w:r w:rsidRPr="002A577B">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MATHEMATICS</w:t>
      </w:r>
      <w:r w:rsidRPr="002A577B">
        <w:rPr>
          <w:rFonts w:ascii="Times New Roman" w:eastAsia="Times New Roman" w:hAnsi="Times New Roman" w:cs="Times New Roman"/>
          <w:sz w:val="28"/>
          <w:szCs w:val="28"/>
        </w:rPr>
        <w:t xml:space="preserve"> FOR ENGINEERING- II</w:t>
      </w:r>
    </w:p>
    <w:p w:rsidR="00D93C32" w:rsidRPr="002A577B" w:rsidRDefault="00D93C32" w:rsidP="00D93C32">
      <w:pPr>
        <w:jc w:val="center"/>
        <w:rPr>
          <w:sz w:val="28"/>
          <w:szCs w:val="28"/>
        </w:rPr>
      </w:pPr>
      <w:r w:rsidRPr="002A577B">
        <w:rPr>
          <w:rFonts w:ascii="Times New Roman" w:eastAsia="Times New Roman" w:hAnsi="Times New Roman" w:cs="Times New Roman"/>
          <w:b/>
          <w:sz w:val="28"/>
          <w:szCs w:val="28"/>
          <w:u w:val="single"/>
        </w:rPr>
        <w:t xml:space="preserve">COURSE FACULTY </w:t>
      </w:r>
      <w:r w:rsidRPr="002A577B">
        <w:rPr>
          <w:rFonts w:ascii="Times New Roman" w:eastAsia="Times New Roman" w:hAnsi="Times New Roman" w:cs="Times New Roman"/>
          <w:b/>
          <w:sz w:val="28"/>
          <w:szCs w:val="28"/>
        </w:rPr>
        <w:t xml:space="preserve">– </w:t>
      </w:r>
      <w:r w:rsidRPr="002A577B">
        <w:rPr>
          <w:rFonts w:ascii="Times New Roman" w:eastAsia="Times New Roman" w:hAnsi="Times New Roman" w:cs="Times New Roman"/>
          <w:sz w:val="28"/>
          <w:szCs w:val="28"/>
        </w:rPr>
        <w:t>DR. RANJIB BANERJEE</w:t>
      </w:r>
    </w:p>
    <w:p w:rsidR="00D93C32" w:rsidRDefault="00D93C32" w:rsidP="00D93C32">
      <w:pPr>
        <w:ind w:firstLine="720"/>
      </w:pPr>
    </w:p>
    <w:p w:rsidR="00D93C32" w:rsidRDefault="00D93C32" w:rsidP="00D93C32">
      <w:r>
        <w:rPr>
          <w:rFonts w:ascii="Abadi" w:eastAsia="Abadi" w:hAnsi="Abadi" w:cs="Abadi"/>
          <w:b/>
        </w:rPr>
        <w:t xml:space="preserve"> </w:t>
      </w:r>
    </w:p>
    <w:p w:rsidR="00D93C32" w:rsidRPr="004238E2" w:rsidRDefault="00D93C32" w:rsidP="00D93C32">
      <w:pPr>
        <w:jc w:val="both"/>
        <w:rPr>
          <w:sz w:val="36"/>
          <w:szCs w:val="36"/>
        </w:rPr>
      </w:pPr>
    </w:p>
    <w:p w:rsidR="00D93C32" w:rsidRPr="00476ECB" w:rsidRDefault="00D93C32" w:rsidP="00D93C32">
      <w:pPr>
        <w:spacing w:line="360" w:lineRule="auto"/>
        <w:jc w:val="both"/>
        <w:rPr>
          <w:rFonts w:ascii="Times New Roman" w:hAnsi="Times New Roman" w:cs="Times New Roman"/>
          <w:sz w:val="40"/>
          <w:szCs w:val="40"/>
        </w:rPr>
      </w:pPr>
      <w:r w:rsidRPr="00476ECB">
        <w:rPr>
          <w:rFonts w:ascii="Times New Roman" w:eastAsia="Abadi" w:hAnsi="Times New Roman" w:cs="Times New Roman"/>
          <w:b/>
          <w:sz w:val="40"/>
          <w:szCs w:val="40"/>
          <w:u w:val="single"/>
        </w:rPr>
        <w:t>Acknowledgment</w:t>
      </w:r>
    </w:p>
    <w:p w:rsidR="00D93C32" w:rsidRPr="002A577B" w:rsidRDefault="00D93C32" w:rsidP="00D93C32">
      <w:pPr>
        <w:spacing w:line="276" w:lineRule="auto"/>
        <w:jc w:val="both"/>
        <w:rPr>
          <w:rFonts w:ascii="Times New Roman" w:hAnsi="Times New Roman" w:cs="Times New Roman"/>
          <w:sz w:val="28"/>
          <w:szCs w:val="28"/>
        </w:rPr>
      </w:pPr>
      <w:r w:rsidRPr="002A577B">
        <w:rPr>
          <w:rFonts w:ascii="Times New Roman" w:eastAsia="Abadi" w:hAnsi="Times New Roman" w:cs="Times New Roman"/>
          <w:sz w:val="28"/>
          <w:szCs w:val="28"/>
        </w:rPr>
        <w:t xml:space="preserve">We would like to express our sincere gratitude to our teacher, Dr. </w:t>
      </w:r>
      <w:proofErr w:type="spellStart"/>
      <w:r w:rsidRPr="002A577B">
        <w:rPr>
          <w:rFonts w:ascii="Times New Roman" w:eastAsia="Abadi" w:hAnsi="Times New Roman" w:cs="Times New Roman"/>
          <w:sz w:val="28"/>
          <w:szCs w:val="28"/>
        </w:rPr>
        <w:t>Ranjib</w:t>
      </w:r>
      <w:proofErr w:type="spellEnd"/>
      <w:r w:rsidRPr="002A577B">
        <w:rPr>
          <w:rFonts w:ascii="Times New Roman" w:eastAsia="Abadi" w:hAnsi="Times New Roman" w:cs="Times New Roman"/>
          <w:sz w:val="28"/>
          <w:szCs w:val="28"/>
        </w:rPr>
        <w:t xml:space="preserve"> Banerjee, for his invaluable guidance throughout the project. His unwavering support and advice were instrumental in resolving our doubts and challenges, and his motivation was a driving force behind our successful completion of the project.</w:t>
      </w:r>
    </w:p>
    <w:p w:rsidR="00D93C32" w:rsidRPr="002A577B" w:rsidRDefault="00D93C32" w:rsidP="00D93C32">
      <w:pPr>
        <w:spacing w:line="276" w:lineRule="auto"/>
        <w:jc w:val="both"/>
        <w:rPr>
          <w:rFonts w:ascii="Times New Roman" w:hAnsi="Times New Roman" w:cs="Times New Roman"/>
          <w:sz w:val="28"/>
          <w:szCs w:val="28"/>
        </w:rPr>
      </w:pPr>
      <w:r w:rsidRPr="002A577B">
        <w:rPr>
          <w:rFonts w:ascii="Times New Roman" w:eastAsia="Abadi" w:hAnsi="Times New Roman" w:cs="Times New Roman"/>
          <w:sz w:val="28"/>
          <w:szCs w:val="28"/>
        </w:rPr>
        <w:t>We would also like to extend our heartfelt appreciation to all the members of our group who worked tirelessly and gave their best to ensure that our project was of the highest quality. Their dedication and hard work were key to our success.</w:t>
      </w:r>
    </w:p>
    <w:p w:rsidR="00D93C32" w:rsidRPr="002A577B" w:rsidRDefault="00D93C32" w:rsidP="00D93C32">
      <w:pPr>
        <w:spacing w:line="276" w:lineRule="auto"/>
        <w:jc w:val="both"/>
        <w:rPr>
          <w:rFonts w:ascii="Times New Roman" w:hAnsi="Times New Roman" w:cs="Times New Roman"/>
          <w:sz w:val="28"/>
          <w:szCs w:val="28"/>
        </w:rPr>
      </w:pPr>
      <w:r w:rsidRPr="002A577B">
        <w:rPr>
          <w:rFonts w:ascii="Times New Roman" w:eastAsia="Abadi" w:hAnsi="Times New Roman" w:cs="Times New Roman"/>
          <w:sz w:val="28"/>
          <w:szCs w:val="28"/>
        </w:rPr>
        <w:t>Finally, we would like to express our gratitude to all those who provided their support and encouragement, both during the project and in our personal lives. Your unwavering support was a great source of inspiration, and we could not have completed this project without you.</w:t>
      </w:r>
    </w:p>
    <w:p w:rsidR="00D93C32" w:rsidRDefault="00D93C32">
      <w:pPr>
        <w:rPr>
          <w:sz w:val="48"/>
          <w:szCs w:val="48"/>
        </w:rPr>
      </w:pPr>
    </w:p>
    <w:p w:rsidR="00D93C32" w:rsidRDefault="00D93C32">
      <w:pPr>
        <w:rPr>
          <w:sz w:val="48"/>
          <w:szCs w:val="48"/>
        </w:rPr>
      </w:pPr>
      <w:r>
        <w:rPr>
          <w:sz w:val="48"/>
          <w:szCs w:val="48"/>
        </w:rPr>
        <w:br w:type="page"/>
      </w:r>
    </w:p>
    <w:p w:rsidR="00D93C32" w:rsidRPr="00C5529C" w:rsidRDefault="00D93C32" w:rsidP="00D93C32">
      <w:pPr>
        <w:rPr>
          <w:sz w:val="48"/>
          <w:szCs w:val="48"/>
          <w:u w:val="single"/>
        </w:rPr>
      </w:pPr>
      <w:r w:rsidRPr="00C5529C">
        <w:rPr>
          <w:sz w:val="48"/>
          <w:szCs w:val="48"/>
          <w:u w:val="single"/>
        </w:rPr>
        <w:lastRenderedPageBreak/>
        <w:t>Abstract</w:t>
      </w:r>
    </w:p>
    <w:p w:rsidR="00D93C32" w:rsidRPr="005060D2" w:rsidRDefault="00D93C32" w:rsidP="00D93C32">
      <w:pPr>
        <w:rPr>
          <w:rFonts w:ascii="Times New Roman" w:hAnsi="Times New Roman" w:cs="Times New Roman"/>
          <w:sz w:val="28"/>
          <w:szCs w:val="28"/>
        </w:rPr>
      </w:pPr>
    </w:p>
    <w:p w:rsidR="00D93C32" w:rsidRDefault="00D93C32" w:rsidP="00D93C32">
      <w:pPr>
        <w:rPr>
          <w:rFonts w:ascii="Times New Roman" w:hAnsi="Times New Roman" w:cs="Times New Roman"/>
          <w:sz w:val="28"/>
          <w:szCs w:val="28"/>
        </w:rPr>
      </w:pPr>
      <w:r w:rsidRPr="005060D2">
        <w:rPr>
          <w:rFonts w:ascii="Times New Roman" w:hAnsi="Times New Roman" w:cs="Times New Roman"/>
          <w:sz w:val="28"/>
          <w:szCs w:val="28"/>
        </w:rPr>
        <w:t>The relationship between higher education and unemployment has garnered significant attention in the context of India, a country experiencing rapid growth and development. This report aims to explore and understand the dynamics between higher education enrollment and unemployment trends in India. The study examines the enrollment patterns in higher education institutions and analyzes unemployment rates over time to identify potential correlations and factors contributing to unemployment. The research utilizes a quantitative research design, drawing on data from various sources such as government reports, academic publications, and surveys. Data analysis techniques including statistical analysis and visualization are employed to examine the relationship between higher education and unemployment, considering variables such as education levels, skill mismatch, and industry demands. The findings shed light on the challenges and opportunities in aligning higher education with the needs of the job market, as well as identifying potential policy interventions to address unemployment. The study contributes to the existing body of knowledge by providing insights into the complex relationship between higher education and unemployment in India, and offers recommendations to bridge the gap between education and employment, thus contributing to sustainable and inclusive growth.</w:t>
      </w:r>
    </w:p>
    <w:p w:rsidR="005060D2" w:rsidRPr="005060D2" w:rsidRDefault="005060D2" w:rsidP="00D93C32">
      <w:pPr>
        <w:rPr>
          <w:rFonts w:ascii="Times New Roman" w:hAnsi="Times New Roman" w:cs="Times New Roman"/>
          <w:sz w:val="28"/>
          <w:szCs w:val="28"/>
        </w:rPr>
      </w:pPr>
      <w:r w:rsidRPr="005060D2">
        <w:rPr>
          <w:rFonts w:ascii="Times New Roman" w:hAnsi="Times New Roman" w:cs="Times New Roman"/>
          <w:sz w:val="28"/>
          <w:szCs w:val="28"/>
        </w:rPr>
        <w:t>Furthermore, the report examines the implications of the findings for policymakers, educational institutions, and stakeholders involved in shaping educational policies and programs. It highlights the need for greater emphasis on skill development initiatives, industry-academia collaboration, and career guidance programs to enhance the employability of higher education graduates. The study also emphasizes the importance of aligning educational curricula with the evolving needs of the job market to address the issue of skill mismatch. By offering a comprehensive analysis of the relationship between higher education and unemployment, this report aims to contribute to evidence-based decision-making and foster a more effective and efficient higher education system in India, ultimately promoting greater economic productivity and reducing unemployment rates.</w:t>
      </w:r>
    </w:p>
    <w:p w:rsidR="00D93C32" w:rsidRDefault="00D93C32">
      <w:pPr>
        <w:rPr>
          <w:sz w:val="48"/>
          <w:szCs w:val="48"/>
        </w:rPr>
      </w:pPr>
      <w:r>
        <w:rPr>
          <w:sz w:val="48"/>
          <w:szCs w:val="48"/>
        </w:rPr>
        <w:br w:type="page"/>
      </w:r>
    </w:p>
    <w:p w:rsidR="002479C1" w:rsidRPr="00C5529C" w:rsidRDefault="00C5529C">
      <w:pPr>
        <w:rPr>
          <w:sz w:val="48"/>
          <w:szCs w:val="48"/>
          <w:u w:val="single"/>
        </w:rPr>
      </w:pPr>
      <w:r>
        <w:rPr>
          <w:sz w:val="48"/>
          <w:szCs w:val="48"/>
          <w:u w:val="single"/>
        </w:rPr>
        <w:lastRenderedPageBreak/>
        <w:t>Introduction</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sz w:val="28"/>
          <w:szCs w:val="28"/>
        </w:rPr>
        <w:t>Higher education plays a crucial role in shaping the future of individuals and societies by equipping them with knowledge, skills, and competencies necessary for personal growth and economic development. In India, a country with a vast and diverse population, the relationship between higher education and unemployment has been a topic of significant concern. As the nation strives to achieve sustainable and inclusive growth, understanding the dynamics between these two factors becomes essential.</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b/>
          <w:bCs/>
          <w:sz w:val="28"/>
          <w:szCs w:val="28"/>
        </w:rPr>
        <w:t>1.1 Background</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sz w:val="28"/>
          <w:szCs w:val="28"/>
        </w:rPr>
        <w:t>India has witnessed a substantial growth in its higher education sector in recent decades. The country boasts a large number of universities, colleges, and institutes offering a wide range of academic programs and professional courses. This expansion of higher education has been driven by factors such as increasing demand for skilled professionals, economic liberalization, and a growing awareness of the importance of education.</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sz w:val="28"/>
          <w:szCs w:val="28"/>
        </w:rPr>
        <w:t>However, despite the expansion of the higher education system, the issue of unemployment continues to persist, especially among the educated youth. Many graduates find themselves struggling to secure suitable employment opportunities, leading to concerns about the effectiveness of higher education in preparing individuals for the job market. This raises questions about the relevance of education, the skill sets acquired through higher education, and the factors contributing to unemployment in the country.</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b/>
          <w:bCs/>
          <w:sz w:val="28"/>
          <w:szCs w:val="28"/>
        </w:rPr>
        <w:t>1.2 Problem Statement</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sz w:val="28"/>
          <w:szCs w:val="28"/>
        </w:rPr>
        <w:t>The primary focus of this report is to explore the connection between higher education and unemployment in India. By examining enrollment trends in higher education institutions and analyzing unemployment rates over time, we aim to identify the patterns, dynamics, and potential relationships between these two factors. Additionally, we will investigate the factors that may influence employment prospects for higher education graduates, including the role of skills, industry-academia collaboration, and government initiatives.</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b/>
          <w:bCs/>
          <w:sz w:val="28"/>
          <w:szCs w:val="28"/>
        </w:rPr>
        <w:t>1.3 Objectives</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sz w:val="28"/>
          <w:szCs w:val="28"/>
        </w:rPr>
        <w:t>The specific objectives of this report are as follows:</w:t>
      </w:r>
    </w:p>
    <w:p w:rsidR="00454769" w:rsidRPr="005060D2" w:rsidRDefault="00454769" w:rsidP="00454769">
      <w:pPr>
        <w:numPr>
          <w:ilvl w:val="0"/>
          <w:numId w:val="1"/>
        </w:numPr>
        <w:rPr>
          <w:rFonts w:ascii="Times New Roman" w:hAnsi="Times New Roman" w:cs="Times New Roman"/>
          <w:sz w:val="28"/>
          <w:szCs w:val="28"/>
        </w:rPr>
      </w:pPr>
      <w:r w:rsidRPr="005060D2">
        <w:rPr>
          <w:rFonts w:ascii="Times New Roman" w:hAnsi="Times New Roman" w:cs="Times New Roman"/>
          <w:sz w:val="28"/>
          <w:szCs w:val="28"/>
        </w:rPr>
        <w:lastRenderedPageBreak/>
        <w:t>To analyze the enrollment trends in higher education institutions in India over a specific period.</w:t>
      </w:r>
    </w:p>
    <w:p w:rsidR="00454769" w:rsidRPr="005060D2" w:rsidRDefault="00454769" w:rsidP="00454769">
      <w:pPr>
        <w:numPr>
          <w:ilvl w:val="0"/>
          <w:numId w:val="1"/>
        </w:numPr>
        <w:rPr>
          <w:rFonts w:ascii="Times New Roman" w:hAnsi="Times New Roman" w:cs="Times New Roman"/>
          <w:sz w:val="28"/>
          <w:szCs w:val="28"/>
        </w:rPr>
      </w:pPr>
      <w:r w:rsidRPr="005060D2">
        <w:rPr>
          <w:rFonts w:ascii="Times New Roman" w:hAnsi="Times New Roman" w:cs="Times New Roman"/>
          <w:sz w:val="28"/>
          <w:szCs w:val="28"/>
        </w:rPr>
        <w:t>To examine the unemployment trends in India and identify any significant variations or patterns.</w:t>
      </w:r>
    </w:p>
    <w:p w:rsidR="00454769" w:rsidRPr="005060D2" w:rsidRDefault="00454769" w:rsidP="00454769">
      <w:pPr>
        <w:numPr>
          <w:ilvl w:val="0"/>
          <w:numId w:val="1"/>
        </w:numPr>
        <w:rPr>
          <w:rFonts w:ascii="Times New Roman" w:hAnsi="Times New Roman" w:cs="Times New Roman"/>
          <w:sz w:val="28"/>
          <w:szCs w:val="28"/>
        </w:rPr>
      </w:pPr>
      <w:r w:rsidRPr="005060D2">
        <w:rPr>
          <w:rFonts w:ascii="Times New Roman" w:hAnsi="Times New Roman" w:cs="Times New Roman"/>
          <w:sz w:val="28"/>
          <w:szCs w:val="28"/>
        </w:rPr>
        <w:t>To explore the relationship between higher education and unemployment, considering factors such as education levels, skill mismatch, and industry demands.</w:t>
      </w:r>
    </w:p>
    <w:p w:rsidR="00454769" w:rsidRPr="005060D2" w:rsidRDefault="00454769" w:rsidP="00454769">
      <w:pPr>
        <w:numPr>
          <w:ilvl w:val="0"/>
          <w:numId w:val="1"/>
        </w:numPr>
        <w:rPr>
          <w:rFonts w:ascii="Times New Roman" w:hAnsi="Times New Roman" w:cs="Times New Roman"/>
          <w:sz w:val="28"/>
          <w:szCs w:val="28"/>
        </w:rPr>
      </w:pPr>
      <w:r w:rsidRPr="005060D2">
        <w:rPr>
          <w:rFonts w:ascii="Times New Roman" w:hAnsi="Times New Roman" w:cs="Times New Roman"/>
          <w:sz w:val="28"/>
          <w:szCs w:val="28"/>
        </w:rPr>
        <w:t>To provide insights and recommendations that can contribute to bridging the gap between higher education and employment, with the aim of reducing unemployment rates in India.</w:t>
      </w:r>
    </w:p>
    <w:p w:rsidR="00454769" w:rsidRPr="005060D2" w:rsidRDefault="00454769" w:rsidP="00454769">
      <w:pPr>
        <w:rPr>
          <w:rFonts w:ascii="Times New Roman" w:hAnsi="Times New Roman" w:cs="Times New Roman"/>
          <w:sz w:val="28"/>
          <w:szCs w:val="28"/>
        </w:rPr>
      </w:pPr>
      <w:r w:rsidRPr="005060D2">
        <w:rPr>
          <w:rFonts w:ascii="Times New Roman" w:hAnsi="Times New Roman" w:cs="Times New Roman"/>
          <w:sz w:val="28"/>
          <w:szCs w:val="28"/>
        </w:rPr>
        <w:t>By achieving these objectives, we aim to contribute to the existing body of knowledge on the subject and provide valuable insights for policymakers, educational institutions, and stakeholders involved in the development of effective strategies to address unemployment issues in India.</w:t>
      </w:r>
    </w:p>
    <w:p w:rsidR="005060D2" w:rsidRDefault="005060D2" w:rsidP="00454769">
      <w:pPr>
        <w:rPr>
          <w:sz w:val="48"/>
          <w:szCs w:val="48"/>
        </w:rPr>
      </w:pPr>
    </w:p>
    <w:p w:rsidR="005060D2" w:rsidRDefault="005060D2" w:rsidP="00454769">
      <w:pPr>
        <w:rPr>
          <w:sz w:val="48"/>
          <w:szCs w:val="48"/>
        </w:rPr>
      </w:pPr>
    </w:p>
    <w:p w:rsidR="005060D2" w:rsidRDefault="005060D2" w:rsidP="00454769">
      <w:pPr>
        <w:rPr>
          <w:sz w:val="48"/>
          <w:szCs w:val="48"/>
        </w:rPr>
      </w:pPr>
    </w:p>
    <w:p w:rsidR="005060D2" w:rsidRDefault="005060D2" w:rsidP="00454769">
      <w:pPr>
        <w:rPr>
          <w:sz w:val="48"/>
          <w:szCs w:val="48"/>
        </w:rPr>
      </w:pPr>
    </w:p>
    <w:p w:rsidR="005060D2" w:rsidRDefault="005060D2" w:rsidP="00454769">
      <w:pPr>
        <w:rPr>
          <w:sz w:val="48"/>
          <w:szCs w:val="48"/>
        </w:rPr>
      </w:pPr>
    </w:p>
    <w:p w:rsidR="005060D2" w:rsidRDefault="005060D2" w:rsidP="00454769">
      <w:pPr>
        <w:rPr>
          <w:sz w:val="48"/>
          <w:szCs w:val="48"/>
        </w:rPr>
      </w:pPr>
    </w:p>
    <w:p w:rsidR="005060D2" w:rsidRDefault="005060D2" w:rsidP="00454769">
      <w:pPr>
        <w:rPr>
          <w:sz w:val="48"/>
          <w:szCs w:val="48"/>
        </w:rPr>
      </w:pPr>
    </w:p>
    <w:p w:rsidR="005060D2" w:rsidRDefault="005060D2" w:rsidP="00454769">
      <w:pPr>
        <w:rPr>
          <w:sz w:val="48"/>
          <w:szCs w:val="48"/>
        </w:rPr>
      </w:pPr>
    </w:p>
    <w:p w:rsidR="005060D2" w:rsidRDefault="005060D2" w:rsidP="00454769">
      <w:pPr>
        <w:rPr>
          <w:sz w:val="48"/>
          <w:szCs w:val="48"/>
        </w:rPr>
      </w:pPr>
    </w:p>
    <w:p w:rsidR="00454769" w:rsidRPr="00C5529C" w:rsidRDefault="00454769" w:rsidP="00454769">
      <w:pPr>
        <w:rPr>
          <w:sz w:val="48"/>
          <w:szCs w:val="48"/>
          <w:u w:val="single"/>
        </w:rPr>
      </w:pPr>
      <w:r w:rsidRPr="00C5529C">
        <w:rPr>
          <w:sz w:val="48"/>
          <w:szCs w:val="48"/>
          <w:u w:val="single"/>
        </w:rPr>
        <w:lastRenderedPageBreak/>
        <w:t>Methodology</w:t>
      </w:r>
    </w:p>
    <w:p w:rsidR="005060D2" w:rsidRPr="002A577B" w:rsidRDefault="005060D2" w:rsidP="005060D2">
      <w:pPr>
        <w:spacing w:line="276" w:lineRule="auto"/>
        <w:jc w:val="both"/>
        <w:rPr>
          <w:rFonts w:ascii="Times New Roman" w:hAnsi="Times New Roman" w:cs="Times New Roman"/>
          <w:sz w:val="28"/>
          <w:szCs w:val="28"/>
        </w:rPr>
      </w:pPr>
      <w:r w:rsidRPr="002A577B">
        <w:rPr>
          <w:rFonts w:ascii="Times New Roman" w:eastAsia="Times New Roman" w:hAnsi="Times New Roman" w:cs="Times New Roman"/>
          <w:sz w:val="28"/>
          <w:szCs w:val="28"/>
        </w:rPr>
        <w:t>The methodology adopted for this report involves a rigorous and comprehensive analysis</w:t>
      </w:r>
      <w:r>
        <w:rPr>
          <w:rFonts w:ascii="Times New Roman" w:eastAsia="Times New Roman" w:hAnsi="Times New Roman" w:cs="Times New Roman"/>
          <w:sz w:val="28"/>
          <w:szCs w:val="28"/>
        </w:rPr>
        <w:t xml:space="preserve"> of Enrollment and Employability of students from 2012 </w:t>
      </w:r>
      <w:r w:rsidRPr="002A577B">
        <w:rPr>
          <w:rFonts w:ascii="Times New Roman" w:eastAsia="Times New Roman" w:hAnsi="Times New Roman" w:cs="Times New Roman"/>
          <w:sz w:val="28"/>
          <w:szCs w:val="28"/>
        </w:rPr>
        <w:t xml:space="preserve">to 2021. To ensure the reliability and representativeness of the data used in the analysis, we collected data from various sources, including secondary research reports, news articles, and public databases such as </w:t>
      </w:r>
      <w:proofErr w:type="spellStart"/>
      <w:r w:rsidRPr="002A577B">
        <w:rPr>
          <w:rFonts w:ascii="Times New Roman" w:eastAsia="Times New Roman" w:hAnsi="Times New Roman" w:cs="Times New Roman"/>
          <w:sz w:val="28"/>
          <w:szCs w:val="28"/>
        </w:rPr>
        <w:t>Kaggle</w:t>
      </w:r>
      <w:proofErr w:type="spellEnd"/>
      <w:r w:rsidRPr="002A577B">
        <w:rPr>
          <w:rFonts w:ascii="Times New Roman" w:eastAsia="Times New Roman" w:hAnsi="Times New Roman" w:cs="Times New Roman"/>
          <w:sz w:val="28"/>
          <w:szCs w:val="28"/>
        </w:rPr>
        <w:t xml:space="preserve">. We carefully pre-processed the data obtained from </w:t>
      </w:r>
      <w:proofErr w:type="spellStart"/>
      <w:r w:rsidRPr="002A577B">
        <w:rPr>
          <w:rFonts w:ascii="Times New Roman" w:eastAsia="Times New Roman" w:hAnsi="Times New Roman" w:cs="Times New Roman"/>
          <w:sz w:val="28"/>
          <w:szCs w:val="28"/>
        </w:rPr>
        <w:t>Kaggle</w:t>
      </w:r>
      <w:proofErr w:type="spellEnd"/>
      <w:r w:rsidRPr="002A577B">
        <w:rPr>
          <w:rFonts w:ascii="Times New Roman" w:eastAsia="Times New Roman" w:hAnsi="Times New Roman" w:cs="Times New Roman"/>
          <w:sz w:val="28"/>
          <w:szCs w:val="28"/>
        </w:rPr>
        <w:t xml:space="preserve"> to ensure its accuracy and completeness. We removed any missing values and manually added information that was not provided in the database. This helped us to obtain reliable and accurate data for our analysis.</w:t>
      </w:r>
    </w:p>
    <w:p w:rsidR="005060D2" w:rsidRPr="002A577B" w:rsidRDefault="005060D2" w:rsidP="005060D2">
      <w:pPr>
        <w:spacing w:line="276" w:lineRule="auto"/>
        <w:jc w:val="both"/>
        <w:rPr>
          <w:rFonts w:ascii="Times New Roman" w:hAnsi="Times New Roman" w:cs="Times New Roman"/>
          <w:sz w:val="28"/>
          <w:szCs w:val="28"/>
        </w:rPr>
      </w:pPr>
    </w:p>
    <w:p w:rsidR="005060D2" w:rsidRPr="002A577B" w:rsidRDefault="005060D2" w:rsidP="005060D2">
      <w:pPr>
        <w:spacing w:line="276" w:lineRule="auto"/>
        <w:jc w:val="both"/>
        <w:rPr>
          <w:rFonts w:ascii="Times New Roman" w:hAnsi="Times New Roman" w:cs="Times New Roman"/>
          <w:sz w:val="28"/>
          <w:szCs w:val="28"/>
        </w:rPr>
      </w:pPr>
      <w:r w:rsidRPr="002A577B">
        <w:rPr>
          <w:rFonts w:ascii="Times New Roman" w:eastAsia="Times New Roman" w:hAnsi="Times New Roman" w:cs="Times New Roman"/>
          <w:sz w:val="28"/>
          <w:szCs w:val="28"/>
        </w:rPr>
        <w:t>The report focuses on four ke</w:t>
      </w:r>
      <w:r>
        <w:rPr>
          <w:rFonts w:ascii="Times New Roman" w:eastAsia="Times New Roman" w:hAnsi="Times New Roman" w:cs="Times New Roman"/>
          <w:sz w:val="28"/>
          <w:szCs w:val="28"/>
        </w:rPr>
        <w:t xml:space="preserve">y parameters, namely, </w:t>
      </w:r>
      <w:r w:rsidR="000541BA">
        <w:rPr>
          <w:rFonts w:ascii="Times New Roman" w:eastAsia="Times New Roman" w:hAnsi="Times New Roman" w:cs="Times New Roman"/>
          <w:sz w:val="28"/>
          <w:szCs w:val="28"/>
        </w:rPr>
        <w:t>enrollment from different stream, employability, employability from different domain, and effect of higher education on employability</w:t>
      </w:r>
      <w:r w:rsidRPr="002A577B">
        <w:rPr>
          <w:rFonts w:ascii="Times New Roman" w:eastAsia="Times New Roman" w:hAnsi="Times New Roman" w:cs="Times New Roman"/>
          <w:sz w:val="28"/>
          <w:szCs w:val="28"/>
        </w:rPr>
        <w:t xml:space="preserve">, to analyze the growth of startups in India. For each of these parameters, </w:t>
      </w:r>
      <w:r w:rsidR="000541BA">
        <w:rPr>
          <w:rFonts w:ascii="Times New Roman" w:eastAsia="Times New Roman" w:hAnsi="Times New Roman" w:cs="Times New Roman"/>
          <w:sz w:val="28"/>
          <w:szCs w:val="28"/>
        </w:rPr>
        <w:t xml:space="preserve">we collected data on the enrollment in </w:t>
      </w:r>
      <w:proofErr w:type="spellStart"/>
      <w:r w:rsidR="000541BA">
        <w:rPr>
          <w:rFonts w:ascii="Times New Roman" w:eastAsia="Times New Roman" w:hAnsi="Times New Roman" w:cs="Times New Roman"/>
          <w:sz w:val="28"/>
          <w:szCs w:val="28"/>
        </w:rPr>
        <w:t>ug</w:t>
      </w:r>
      <w:proofErr w:type="spellEnd"/>
      <w:r w:rsidR="000541BA">
        <w:rPr>
          <w:rFonts w:ascii="Times New Roman" w:eastAsia="Times New Roman" w:hAnsi="Times New Roman" w:cs="Times New Roman"/>
          <w:sz w:val="28"/>
          <w:szCs w:val="28"/>
        </w:rPr>
        <w:t xml:space="preserve"> courses, </w:t>
      </w:r>
      <w:proofErr w:type="spellStart"/>
      <w:r w:rsidR="000541BA">
        <w:rPr>
          <w:rFonts w:ascii="Times New Roman" w:eastAsia="Times New Roman" w:hAnsi="Times New Roman" w:cs="Times New Roman"/>
          <w:sz w:val="28"/>
          <w:szCs w:val="28"/>
        </w:rPr>
        <w:t>pg</w:t>
      </w:r>
      <w:proofErr w:type="spellEnd"/>
      <w:r w:rsidR="000541BA">
        <w:rPr>
          <w:rFonts w:ascii="Times New Roman" w:eastAsia="Times New Roman" w:hAnsi="Times New Roman" w:cs="Times New Roman"/>
          <w:sz w:val="28"/>
          <w:szCs w:val="28"/>
        </w:rPr>
        <w:t xml:space="preserve"> courses, the growth in different domains, </w:t>
      </w:r>
      <w:proofErr w:type="gramStart"/>
      <w:r w:rsidR="000541BA">
        <w:rPr>
          <w:rFonts w:ascii="Times New Roman" w:eastAsia="Times New Roman" w:hAnsi="Times New Roman" w:cs="Times New Roman"/>
          <w:sz w:val="28"/>
          <w:szCs w:val="28"/>
        </w:rPr>
        <w:t>effect</w:t>
      </w:r>
      <w:proofErr w:type="gramEnd"/>
      <w:r w:rsidR="000541BA">
        <w:rPr>
          <w:rFonts w:ascii="Times New Roman" w:eastAsia="Times New Roman" w:hAnsi="Times New Roman" w:cs="Times New Roman"/>
          <w:sz w:val="28"/>
          <w:szCs w:val="28"/>
        </w:rPr>
        <w:t xml:space="preserve"> of different courses in employability</w:t>
      </w:r>
      <w:r w:rsidRPr="002A577B">
        <w:rPr>
          <w:rFonts w:ascii="Times New Roman" w:eastAsia="Times New Roman" w:hAnsi="Times New Roman" w:cs="Times New Roman"/>
          <w:sz w:val="28"/>
          <w:szCs w:val="28"/>
        </w:rPr>
        <w:t>. To analyze the data and draw meaningful insights, we used R programming language, which is a powerful tool for statistical analysis and data visualization. We conducted in-depth analysis and graphical comparisons on the basis of all the above parameters, using various data visualization techniques, such as bar charts and line graphs.</w:t>
      </w:r>
    </w:p>
    <w:p w:rsidR="005060D2" w:rsidRPr="002A577B" w:rsidRDefault="005060D2" w:rsidP="005060D2">
      <w:pPr>
        <w:spacing w:line="276" w:lineRule="auto"/>
        <w:jc w:val="both"/>
        <w:rPr>
          <w:rFonts w:ascii="Times New Roman" w:hAnsi="Times New Roman" w:cs="Times New Roman"/>
          <w:sz w:val="28"/>
          <w:szCs w:val="28"/>
        </w:rPr>
      </w:pPr>
    </w:p>
    <w:p w:rsidR="005060D2" w:rsidRDefault="005060D2" w:rsidP="005060D2">
      <w:pPr>
        <w:spacing w:line="276" w:lineRule="auto"/>
        <w:jc w:val="both"/>
        <w:rPr>
          <w:rFonts w:ascii="Times New Roman" w:eastAsia="Times New Roman" w:hAnsi="Times New Roman" w:cs="Times New Roman"/>
          <w:sz w:val="28"/>
          <w:szCs w:val="28"/>
        </w:rPr>
      </w:pPr>
      <w:r w:rsidRPr="002A577B">
        <w:rPr>
          <w:rFonts w:ascii="Times New Roman" w:eastAsia="Times New Roman" w:hAnsi="Times New Roman" w:cs="Times New Roman"/>
          <w:sz w:val="28"/>
          <w:szCs w:val="28"/>
        </w:rPr>
        <w:t>The report is generated using R Markdown, which is an open-source tool for creating dynamic documents that combine text, code, and graphical output. This ensures that our analysis is adequately represented in the report, and readers can easily reproduce our findings. Overall, the methodology adopted for this report is robust,</w:t>
      </w:r>
      <w:r>
        <w:rPr>
          <w:rFonts w:ascii="Times New Roman" w:eastAsia="Times New Roman" w:hAnsi="Times New Roman" w:cs="Times New Roman"/>
          <w:sz w:val="28"/>
          <w:szCs w:val="28"/>
        </w:rPr>
        <w:t xml:space="preserve"> and</w:t>
      </w:r>
      <w:r w:rsidRPr="002A577B">
        <w:rPr>
          <w:rFonts w:ascii="Times New Roman" w:eastAsia="Times New Roman" w:hAnsi="Times New Roman" w:cs="Times New Roman"/>
          <w:sz w:val="28"/>
          <w:szCs w:val="28"/>
        </w:rPr>
        <w:t xml:space="preserve"> reliable, and provides a comprehensive understanding of the Indian startup ecosystem and its growth from 2015 to 2021.</w:t>
      </w:r>
    </w:p>
    <w:p w:rsidR="005060D2" w:rsidRDefault="005060D2" w:rsidP="00454769">
      <w:pPr>
        <w:rPr>
          <w:sz w:val="48"/>
          <w:szCs w:val="48"/>
        </w:rPr>
      </w:pPr>
    </w:p>
    <w:p w:rsidR="00454769" w:rsidRPr="00454769" w:rsidRDefault="00454769" w:rsidP="00454769">
      <w:pPr>
        <w:rPr>
          <w:sz w:val="48"/>
          <w:szCs w:val="48"/>
        </w:rPr>
      </w:pPr>
    </w:p>
    <w:p w:rsidR="009440A2" w:rsidRDefault="00F56CB6">
      <w:pPr>
        <w:rPr>
          <w:sz w:val="48"/>
          <w:szCs w:val="48"/>
        </w:rPr>
      </w:pPr>
      <w:r>
        <w:rPr>
          <w:noProof/>
          <w:sz w:val="48"/>
          <w:szCs w:val="48"/>
        </w:rPr>
        <w:lastRenderedPageBreak/>
        <w:drawing>
          <wp:inline distT="0" distB="0" distL="0" distR="0">
            <wp:extent cx="5048955" cy="4439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GC DATASET.png"/>
                    <pic:cNvPicPr/>
                  </pic:nvPicPr>
                  <pic:blipFill>
                    <a:blip r:embed="rId6">
                      <a:extLst>
                        <a:ext uri="{28A0092B-C50C-407E-A947-70E740481C1C}">
                          <a14:useLocalDpi xmlns:a14="http://schemas.microsoft.com/office/drawing/2010/main" val="0"/>
                        </a:ext>
                      </a:extLst>
                    </a:blip>
                    <a:stretch>
                      <a:fillRect/>
                    </a:stretch>
                  </pic:blipFill>
                  <pic:spPr>
                    <a:xfrm>
                      <a:off x="0" y="0"/>
                      <a:ext cx="5048955" cy="4439270"/>
                    </a:xfrm>
                    <a:prstGeom prst="rect">
                      <a:avLst/>
                    </a:prstGeom>
                  </pic:spPr>
                </pic:pic>
              </a:graphicData>
            </a:graphic>
          </wp:inline>
        </w:drawing>
      </w:r>
    </w:p>
    <w:p w:rsid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t>ugc</w:t>
      </w:r>
      <w:proofErr w:type="spellEnd"/>
      <w:proofErr w:type="gramEnd"/>
      <w:r>
        <w:t>&lt;-</w:t>
      </w:r>
      <w:proofErr w:type="spellStart"/>
      <w:r>
        <w:t>read_excel</w:t>
      </w:r>
      <w:proofErr w:type="spellEnd"/>
      <w:r>
        <w:t>("D:\\Maths SEM 2 report\\Enrollment\\</w:t>
      </w:r>
      <w:proofErr w:type="spellStart"/>
      <w:r>
        <w:t>ug</w:t>
      </w:r>
      <w:proofErr w:type="spellEnd"/>
      <w:r>
        <w:t xml:space="preserve"> courses.xlsx")</w:t>
      </w:r>
    </w:p>
    <w:p w:rsid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t>ugc</w:t>
      </w:r>
      <w:proofErr w:type="spellEnd"/>
      <w:proofErr w:type="gramEnd"/>
    </w:p>
    <w:p w:rsidR="00C666E7" w:rsidRDefault="00C666E7" w:rsidP="00C666E7">
      <w:pPr>
        <w:pBdr>
          <w:top w:val="single" w:sz="4" w:space="1" w:color="auto"/>
          <w:left w:val="single" w:sz="4" w:space="4" w:color="auto"/>
          <w:bottom w:val="single" w:sz="4" w:space="1" w:color="auto"/>
          <w:right w:val="single" w:sz="4" w:space="4" w:color="auto"/>
        </w:pBdr>
      </w:pPr>
      <w:proofErr w:type="spellStart"/>
      <w:r>
        <w:t>ugc_long</w:t>
      </w:r>
      <w:proofErr w:type="spellEnd"/>
      <w:r>
        <w:t xml:space="preserve"> &lt;- </w:t>
      </w:r>
      <w:proofErr w:type="spellStart"/>
      <w:r>
        <w:t>tidyr</w:t>
      </w:r>
      <w:proofErr w:type="spellEnd"/>
      <w:r>
        <w:t>::</w:t>
      </w:r>
      <w:proofErr w:type="spellStart"/>
      <w:r>
        <w:t>pivot_</w:t>
      </w:r>
      <w:proofErr w:type="gramStart"/>
      <w:r>
        <w:t>longer</w:t>
      </w:r>
      <w:proofErr w:type="spellEnd"/>
      <w:r>
        <w:t>(</w:t>
      </w:r>
      <w:proofErr w:type="spellStart"/>
      <w:proofErr w:type="gramEnd"/>
      <w:r>
        <w:t>ugc</w:t>
      </w:r>
      <w:proofErr w:type="spellEnd"/>
      <w:r>
        <w:t xml:space="preserve">, -courses, </w:t>
      </w:r>
      <w:proofErr w:type="spellStart"/>
      <w:r>
        <w:t>names_to</w:t>
      </w:r>
      <w:proofErr w:type="spellEnd"/>
      <w:r>
        <w:t xml:space="preserve"> = "Year", </w:t>
      </w:r>
      <w:proofErr w:type="spellStart"/>
      <w:r>
        <w:t>values_to</w:t>
      </w:r>
      <w:proofErr w:type="spellEnd"/>
      <w:r>
        <w:t xml:space="preserve"> = "Value")</w:t>
      </w:r>
    </w:p>
    <w:p w:rsid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t>ggplot</w:t>
      </w:r>
      <w:proofErr w:type="spellEnd"/>
      <w:r>
        <w:t>(</w:t>
      </w:r>
      <w:proofErr w:type="spellStart"/>
      <w:proofErr w:type="gramEnd"/>
      <w:r>
        <w:t>ugc_long</w:t>
      </w:r>
      <w:proofErr w:type="spellEnd"/>
      <w:r>
        <w:t xml:space="preserve">, </w:t>
      </w:r>
      <w:proofErr w:type="spellStart"/>
      <w:r>
        <w:t>aes</w:t>
      </w:r>
      <w:proofErr w:type="spellEnd"/>
      <w:r>
        <w:t>(x = Year, y = Value, fill = courses))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spellStart"/>
      <w:r>
        <w:t>geom_</w:t>
      </w:r>
      <w:proofErr w:type="gramStart"/>
      <w:r>
        <w:t>bar</w:t>
      </w:r>
      <w:proofErr w:type="spellEnd"/>
      <w:r>
        <w:t>(</w:t>
      </w:r>
      <w:proofErr w:type="gramEnd"/>
      <w:r>
        <w:t>stat = "identity", position = "dodge")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gramStart"/>
      <w:r>
        <w:t>labs(</w:t>
      </w:r>
      <w:proofErr w:type="gramEnd"/>
      <w:r>
        <w:t>x = "Year", y = "Value", title = "UGC Dataset")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spellStart"/>
      <w:r>
        <w:t>theme_</w:t>
      </w:r>
      <w:proofErr w:type="gramStart"/>
      <w:r>
        <w:t>minimal</w:t>
      </w:r>
      <w:proofErr w:type="spellEnd"/>
      <w:r>
        <w:t>()</w:t>
      </w:r>
      <w:proofErr w:type="gramEnd"/>
    </w:p>
    <w:p w:rsidR="00C5529C" w:rsidRDefault="00C5529C"/>
    <w:p w:rsidR="00C666E7" w:rsidRDefault="00C666E7"/>
    <w:p w:rsidR="00C666E7" w:rsidRDefault="00C666E7"/>
    <w:p w:rsidR="008160AC" w:rsidRDefault="00C5529C">
      <w:r>
        <w:t>As we can see in the bar graph,</w:t>
      </w:r>
      <w:r w:rsidR="00967BA5">
        <w:t xml:space="preserve"> </w:t>
      </w:r>
      <w:r>
        <w:t>enrollment of students</w:t>
      </w:r>
      <w:r w:rsidR="00967BA5">
        <w:t xml:space="preserve"> in </w:t>
      </w:r>
      <w:proofErr w:type="spellStart"/>
      <w:r w:rsidR="00967BA5">
        <w:t>ug</w:t>
      </w:r>
      <w:proofErr w:type="spellEnd"/>
      <w:r w:rsidR="00967BA5">
        <w:t xml:space="preserve"> courses</w:t>
      </w:r>
      <w:r>
        <w:t xml:space="preserve"> is increasing in Science, Medical science is increasing each year.</w:t>
      </w:r>
      <w:r w:rsidR="00967BA5">
        <w:t xml:space="preserve"> Courses like Medical Science, Commerce and Engineering sees the most enrollment every year.</w:t>
      </w:r>
      <w:r w:rsidR="008160AC">
        <w:br w:type="page"/>
      </w:r>
    </w:p>
    <w:p w:rsidR="008160AC" w:rsidRDefault="008160AC" w:rsidP="008160AC">
      <w:r>
        <w:rPr>
          <w:noProof/>
        </w:rPr>
        <w:lastRenderedPageBreak/>
        <w:drawing>
          <wp:inline distT="0" distB="0" distL="0" distR="0">
            <wp:extent cx="5048955" cy="4439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GC Line.png"/>
                    <pic:cNvPicPr/>
                  </pic:nvPicPr>
                  <pic:blipFill>
                    <a:blip r:embed="rId7">
                      <a:extLst>
                        <a:ext uri="{28A0092B-C50C-407E-A947-70E740481C1C}">
                          <a14:useLocalDpi xmlns:a14="http://schemas.microsoft.com/office/drawing/2010/main" val="0"/>
                        </a:ext>
                      </a:extLst>
                    </a:blip>
                    <a:stretch>
                      <a:fillRect/>
                    </a:stretch>
                  </pic:blipFill>
                  <pic:spPr>
                    <a:xfrm>
                      <a:off x="0" y="0"/>
                      <a:ext cx="5048955" cy="4439270"/>
                    </a:xfrm>
                    <a:prstGeom prst="rect">
                      <a:avLst/>
                    </a:prstGeom>
                  </pic:spPr>
                </pic:pic>
              </a:graphicData>
            </a:graphic>
          </wp:inline>
        </w:drawing>
      </w:r>
    </w:p>
    <w:p w:rsidR="00C666E7" w:rsidRDefault="00C666E7"/>
    <w:p w:rsid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t>pgc</w:t>
      </w:r>
      <w:proofErr w:type="spellEnd"/>
      <w:proofErr w:type="gramEnd"/>
      <w:r>
        <w:t xml:space="preserve"> &lt;- </w:t>
      </w:r>
      <w:proofErr w:type="spellStart"/>
      <w:r>
        <w:t>read_excel</w:t>
      </w:r>
      <w:proofErr w:type="spellEnd"/>
      <w:r>
        <w:t>("D:\\Maths SEM 2 report\\Enrollment\\</w:t>
      </w:r>
      <w:proofErr w:type="spellStart"/>
      <w:r>
        <w:t>Ug</w:t>
      </w:r>
      <w:proofErr w:type="spellEnd"/>
      <w:r>
        <w:t xml:space="preserve"> courses.xlsx")</w:t>
      </w:r>
    </w:p>
    <w:p w:rsidR="00C666E7" w:rsidRDefault="00C666E7" w:rsidP="00C666E7">
      <w:pPr>
        <w:pBdr>
          <w:top w:val="single" w:sz="4" w:space="1" w:color="auto"/>
          <w:left w:val="single" w:sz="4" w:space="4" w:color="auto"/>
          <w:bottom w:val="single" w:sz="4" w:space="1" w:color="auto"/>
          <w:right w:val="single" w:sz="4" w:space="4" w:color="auto"/>
        </w:pBdr>
      </w:pPr>
      <w:proofErr w:type="spellStart"/>
      <w:r>
        <w:t>pgc_long</w:t>
      </w:r>
      <w:proofErr w:type="spellEnd"/>
      <w:r>
        <w:t xml:space="preserve"> &lt;- </w:t>
      </w:r>
      <w:proofErr w:type="spellStart"/>
      <w:r>
        <w:t>tidyr</w:t>
      </w:r>
      <w:proofErr w:type="spellEnd"/>
      <w:r>
        <w:t>::</w:t>
      </w:r>
      <w:proofErr w:type="spellStart"/>
      <w:r>
        <w:t>pivot_</w:t>
      </w:r>
      <w:proofErr w:type="gramStart"/>
      <w:r>
        <w:t>longer</w:t>
      </w:r>
      <w:proofErr w:type="spellEnd"/>
      <w:r>
        <w:t>(</w:t>
      </w:r>
      <w:proofErr w:type="spellStart"/>
      <w:proofErr w:type="gramEnd"/>
      <w:r>
        <w:t>pgc</w:t>
      </w:r>
      <w:proofErr w:type="spellEnd"/>
      <w:r>
        <w:t xml:space="preserve">, -courses, </w:t>
      </w:r>
      <w:proofErr w:type="spellStart"/>
      <w:r>
        <w:t>names_to</w:t>
      </w:r>
      <w:proofErr w:type="spellEnd"/>
      <w:r>
        <w:t xml:space="preserve"> = "Year", </w:t>
      </w:r>
      <w:proofErr w:type="spellStart"/>
      <w:r>
        <w:t>values_to</w:t>
      </w:r>
      <w:proofErr w:type="spellEnd"/>
      <w:r>
        <w:t xml:space="preserve"> = "Value")</w:t>
      </w:r>
    </w:p>
    <w:p w:rsid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t>ggplot</w:t>
      </w:r>
      <w:proofErr w:type="spellEnd"/>
      <w:r>
        <w:t>(</w:t>
      </w:r>
      <w:proofErr w:type="spellStart"/>
      <w:proofErr w:type="gramEnd"/>
      <w:r>
        <w:t>pgc_long</w:t>
      </w:r>
      <w:proofErr w:type="spellEnd"/>
      <w:r>
        <w:t xml:space="preserve">, </w:t>
      </w:r>
      <w:proofErr w:type="spellStart"/>
      <w:r>
        <w:t>aes</w:t>
      </w:r>
      <w:proofErr w:type="spellEnd"/>
      <w:r>
        <w:t>(x = Year, y = Value, group = courses, color = courses))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spellStart"/>
      <w:r>
        <w:t>geom_</w:t>
      </w:r>
      <w:proofErr w:type="gramStart"/>
      <w:r>
        <w:t>line</w:t>
      </w:r>
      <w:proofErr w:type="spellEnd"/>
      <w:r>
        <w:t>(</w:t>
      </w:r>
      <w:proofErr w:type="gramEnd"/>
      <w:r>
        <w:t>)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gramStart"/>
      <w:r>
        <w:t>labs(</w:t>
      </w:r>
      <w:proofErr w:type="gramEnd"/>
      <w:r>
        <w:t>x = "Year", y = "Value", title = "UGC Dataset")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spellStart"/>
      <w:r>
        <w:t>theme_</w:t>
      </w:r>
      <w:proofErr w:type="gramStart"/>
      <w:r>
        <w:t>minimal</w:t>
      </w:r>
      <w:proofErr w:type="spellEnd"/>
      <w:r>
        <w:t>()</w:t>
      </w:r>
      <w:proofErr w:type="gramEnd"/>
    </w:p>
    <w:p w:rsidR="00C666E7" w:rsidRDefault="00C666E7"/>
    <w:p w:rsidR="008160AC" w:rsidRDefault="00967BA5">
      <w:r>
        <w:t>There was peak enrollment in engineering sector in 2014-2015 but a decrease in next years. Growth of enrollment in agriculture,</w:t>
      </w:r>
      <w:r w:rsidR="007E7E6B">
        <w:t xml:space="preserve"> management, law, it and computer is close to straight line. Commerce and medical science shows rapid growth each year.</w:t>
      </w:r>
      <w:r>
        <w:t xml:space="preserve"> </w:t>
      </w:r>
      <w:r w:rsidR="008160AC">
        <w:br w:type="page"/>
      </w:r>
    </w:p>
    <w:p w:rsidR="008160AC" w:rsidRDefault="008160AC"/>
    <w:p w:rsidR="009440A2" w:rsidRPr="008160AC" w:rsidRDefault="008160AC">
      <w:r>
        <w:rPr>
          <w:noProof/>
        </w:rPr>
        <w:drawing>
          <wp:inline distT="0" distB="0" distL="0" distR="0">
            <wp:extent cx="5048955" cy="4439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GC.png"/>
                    <pic:cNvPicPr/>
                  </pic:nvPicPr>
                  <pic:blipFill>
                    <a:blip r:embed="rId8">
                      <a:extLst>
                        <a:ext uri="{28A0092B-C50C-407E-A947-70E740481C1C}">
                          <a14:useLocalDpi xmlns:a14="http://schemas.microsoft.com/office/drawing/2010/main" val="0"/>
                        </a:ext>
                      </a:extLst>
                    </a:blip>
                    <a:stretch>
                      <a:fillRect/>
                    </a:stretch>
                  </pic:blipFill>
                  <pic:spPr>
                    <a:xfrm>
                      <a:off x="0" y="0"/>
                      <a:ext cx="5048955" cy="4439270"/>
                    </a:xfrm>
                    <a:prstGeom prst="rect">
                      <a:avLst/>
                    </a:prstGeom>
                  </pic:spPr>
                </pic:pic>
              </a:graphicData>
            </a:graphic>
          </wp:inline>
        </w:drawing>
      </w:r>
    </w:p>
    <w:p w:rsid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t>ugc</w:t>
      </w:r>
      <w:proofErr w:type="spellEnd"/>
      <w:proofErr w:type="gramEnd"/>
      <w:r>
        <w:t>&lt;-</w:t>
      </w:r>
      <w:proofErr w:type="spellStart"/>
      <w:r>
        <w:t>read_excel</w:t>
      </w:r>
      <w:proofErr w:type="spellEnd"/>
      <w:r>
        <w:t>("D:\\Maths SEM 2 report\\Enrollment\\</w:t>
      </w:r>
      <w:proofErr w:type="spellStart"/>
      <w:r>
        <w:t>pg</w:t>
      </w:r>
      <w:proofErr w:type="spellEnd"/>
      <w:r>
        <w:t xml:space="preserve"> courses.xlsx")</w:t>
      </w:r>
    </w:p>
    <w:p w:rsid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t>ugc</w:t>
      </w:r>
      <w:proofErr w:type="spellEnd"/>
      <w:proofErr w:type="gramEnd"/>
    </w:p>
    <w:p w:rsidR="00C666E7" w:rsidRDefault="00C666E7" w:rsidP="00C666E7">
      <w:pPr>
        <w:pBdr>
          <w:top w:val="single" w:sz="4" w:space="1" w:color="auto"/>
          <w:left w:val="single" w:sz="4" w:space="4" w:color="auto"/>
          <w:bottom w:val="single" w:sz="4" w:space="1" w:color="auto"/>
          <w:right w:val="single" w:sz="4" w:space="4" w:color="auto"/>
        </w:pBdr>
      </w:pPr>
      <w:proofErr w:type="spellStart"/>
      <w:r>
        <w:t>ugc_long</w:t>
      </w:r>
      <w:proofErr w:type="spellEnd"/>
      <w:r>
        <w:t xml:space="preserve"> &lt;- </w:t>
      </w:r>
      <w:proofErr w:type="spellStart"/>
      <w:r>
        <w:t>tidyr</w:t>
      </w:r>
      <w:proofErr w:type="spellEnd"/>
      <w:r>
        <w:t>::</w:t>
      </w:r>
      <w:proofErr w:type="spellStart"/>
      <w:r>
        <w:t>pivot_</w:t>
      </w:r>
      <w:proofErr w:type="gramStart"/>
      <w:r>
        <w:t>longer</w:t>
      </w:r>
      <w:proofErr w:type="spellEnd"/>
      <w:r>
        <w:t>(</w:t>
      </w:r>
      <w:proofErr w:type="spellStart"/>
      <w:proofErr w:type="gramEnd"/>
      <w:r>
        <w:t>ugc</w:t>
      </w:r>
      <w:proofErr w:type="spellEnd"/>
      <w:r>
        <w:t xml:space="preserve">, -courses, </w:t>
      </w:r>
      <w:proofErr w:type="spellStart"/>
      <w:r>
        <w:t>names_to</w:t>
      </w:r>
      <w:proofErr w:type="spellEnd"/>
      <w:r>
        <w:t xml:space="preserve"> = "Year", </w:t>
      </w:r>
      <w:proofErr w:type="spellStart"/>
      <w:r>
        <w:t>values_to</w:t>
      </w:r>
      <w:proofErr w:type="spellEnd"/>
      <w:r>
        <w:t xml:space="preserve"> = "Value")</w:t>
      </w:r>
    </w:p>
    <w:p w:rsid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t>ggplot</w:t>
      </w:r>
      <w:proofErr w:type="spellEnd"/>
      <w:r>
        <w:t>(</w:t>
      </w:r>
      <w:proofErr w:type="spellStart"/>
      <w:proofErr w:type="gramEnd"/>
      <w:r>
        <w:t>ugc_long</w:t>
      </w:r>
      <w:proofErr w:type="spellEnd"/>
      <w:r>
        <w:t xml:space="preserve">, </w:t>
      </w:r>
      <w:proofErr w:type="spellStart"/>
      <w:r>
        <w:t>aes</w:t>
      </w:r>
      <w:proofErr w:type="spellEnd"/>
      <w:r>
        <w:t>(x = Year, y = Value, fill = courses))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spellStart"/>
      <w:r>
        <w:t>geom_</w:t>
      </w:r>
      <w:proofErr w:type="gramStart"/>
      <w:r>
        <w:t>bar</w:t>
      </w:r>
      <w:proofErr w:type="spellEnd"/>
      <w:r>
        <w:t>(</w:t>
      </w:r>
      <w:proofErr w:type="gramEnd"/>
      <w:r>
        <w:t>stat = "identity", position = "dodge")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gramStart"/>
      <w:r>
        <w:t>labs(</w:t>
      </w:r>
      <w:proofErr w:type="gramEnd"/>
      <w:r>
        <w:t>x = "Year", y = "Value", title = "PGC Dataset") +</w:t>
      </w:r>
    </w:p>
    <w:p w:rsidR="00C666E7" w:rsidRDefault="00C666E7" w:rsidP="00C666E7">
      <w:pPr>
        <w:pBdr>
          <w:top w:val="single" w:sz="4" w:space="1" w:color="auto"/>
          <w:left w:val="single" w:sz="4" w:space="4" w:color="auto"/>
          <w:bottom w:val="single" w:sz="4" w:space="1" w:color="auto"/>
          <w:right w:val="single" w:sz="4" w:space="4" w:color="auto"/>
        </w:pBdr>
      </w:pPr>
      <w:r>
        <w:t xml:space="preserve">  </w:t>
      </w:r>
      <w:proofErr w:type="spellStart"/>
      <w:r>
        <w:t>theme_</w:t>
      </w:r>
      <w:proofErr w:type="gramStart"/>
      <w:r>
        <w:t>minimal</w:t>
      </w:r>
      <w:proofErr w:type="spellEnd"/>
      <w:r>
        <w:t>()</w:t>
      </w:r>
      <w:proofErr w:type="gramEnd"/>
    </w:p>
    <w:p w:rsidR="007E7E6B" w:rsidRDefault="007E7E6B">
      <w:r>
        <w:t xml:space="preserve">As usual, </w:t>
      </w:r>
      <w:proofErr w:type="spellStart"/>
      <w:r>
        <w:t>Pg</w:t>
      </w:r>
      <w:proofErr w:type="spellEnd"/>
      <w:r>
        <w:t xml:space="preserve"> courses of management</w:t>
      </w:r>
      <w:r w:rsidR="007D4694">
        <w:t xml:space="preserve"> and medical science sees the most no of enrollment</w:t>
      </w:r>
      <w:r>
        <w:t xml:space="preserve"> in the education sector. Engineering</w:t>
      </w:r>
      <w:r w:rsidR="007D4694">
        <w:t xml:space="preserve"> and law</w:t>
      </w:r>
      <w:r>
        <w:t xml:space="preserve"> compared </w:t>
      </w:r>
      <w:r w:rsidR="007D4694">
        <w:t xml:space="preserve">to its </w:t>
      </w:r>
      <w:proofErr w:type="spellStart"/>
      <w:r w:rsidR="007D4694">
        <w:t>ug</w:t>
      </w:r>
      <w:proofErr w:type="spellEnd"/>
      <w:r w:rsidR="007D4694">
        <w:t xml:space="preserve"> courses sees a less</w:t>
      </w:r>
      <w:r>
        <w:t xml:space="preserve"> no of enrollment</w:t>
      </w:r>
      <w:r w:rsidR="007D4694">
        <w:t>. As in 2016, there was implementation of NEET, which is a common medical test for all India and it gave a boost in the medical science education sector in the year.</w:t>
      </w:r>
    </w:p>
    <w:p w:rsidR="008160AC" w:rsidRDefault="008160AC">
      <w:r>
        <w:br w:type="page"/>
      </w:r>
    </w:p>
    <w:p w:rsidR="008160AC" w:rsidRDefault="008160AC" w:rsidP="00C666E7">
      <w:pPr>
        <w:pBdr>
          <w:top w:val="single" w:sz="4" w:space="1" w:color="auto"/>
          <w:left w:val="single" w:sz="4" w:space="4" w:color="auto"/>
          <w:bottom w:val="single" w:sz="4" w:space="1" w:color="auto"/>
          <w:right w:val="single" w:sz="4" w:space="4" w:color="auto"/>
        </w:pBdr>
      </w:pPr>
      <w:r>
        <w:rPr>
          <w:noProof/>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048955" cy="44392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GC Line.png"/>
                    <pic:cNvPicPr/>
                  </pic:nvPicPr>
                  <pic:blipFill>
                    <a:blip r:embed="rId9">
                      <a:extLst>
                        <a:ext uri="{28A0092B-C50C-407E-A947-70E740481C1C}">
                          <a14:useLocalDpi xmlns:a14="http://schemas.microsoft.com/office/drawing/2010/main" val="0"/>
                        </a:ext>
                      </a:extLst>
                    </a:blip>
                    <a:stretch>
                      <a:fillRect/>
                    </a:stretch>
                  </pic:blipFill>
                  <pic:spPr>
                    <a:xfrm>
                      <a:off x="0" y="0"/>
                      <a:ext cx="5048955" cy="4439270"/>
                    </a:xfrm>
                    <a:prstGeom prst="rect">
                      <a:avLst/>
                    </a:prstGeom>
                  </pic:spPr>
                </pic:pic>
              </a:graphicData>
            </a:graphic>
          </wp:anchor>
        </w:drawing>
      </w:r>
      <w:r w:rsidR="007D4694">
        <w:t>3</w:t>
      </w:r>
      <w:r w:rsidR="007D4694">
        <w:br w:type="textWrapping" w:clear="all"/>
      </w:r>
    </w:p>
    <w:p w:rsidR="008160AC" w:rsidRDefault="008160AC" w:rsidP="00C666E7">
      <w:pPr>
        <w:pBdr>
          <w:top w:val="single" w:sz="4" w:space="1" w:color="auto"/>
          <w:left w:val="single" w:sz="4" w:space="4" w:color="auto"/>
          <w:bottom w:val="single" w:sz="4" w:space="1" w:color="auto"/>
          <w:right w:val="single" w:sz="4" w:space="4" w:color="auto"/>
        </w:pBdr>
      </w:pPr>
      <w:proofErr w:type="spellStart"/>
      <w:proofErr w:type="gramStart"/>
      <w:r>
        <w:t>pgc</w:t>
      </w:r>
      <w:proofErr w:type="spellEnd"/>
      <w:proofErr w:type="gramEnd"/>
      <w:r>
        <w:t xml:space="preserve"> &lt;- </w:t>
      </w:r>
      <w:proofErr w:type="spellStart"/>
      <w:r>
        <w:t>read_excel</w:t>
      </w:r>
      <w:proofErr w:type="spellEnd"/>
      <w:r>
        <w:t>("D:\\Maths SEM 2 report\\Enrollment\\</w:t>
      </w:r>
      <w:proofErr w:type="spellStart"/>
      <w:r>
        <w:t>pg</w:t>
      </w:r>
      <w:proofErr w:type="spellEnd"/>
      <w:r>
        <w:t xml:space="preserve"> courses.xlsx")</w:t>
      </w:r>
    </w:p>
    <w:p w:rsidR="008160AC" w:rsidRDefault="008160AC" w:rsidP="00C666E7">
      <w:pPr>
        <w:pBdr>
          <w:top w:val="single" w:sz="4" w:space="1" w:color="auto"/>
          <w:left w:val="single" w:sz="4" w:space="4" w:color="auto"/>
          <w:bottom w:val="single" w:sz="4" w:space="1" w:color="auto"/>
          <w:right w:val="single" w:sz="4" w:space="4" w:color="auto"/>
        </w:pBdr>
      </w:pPr>
      <w:proofErr w:type="spellStart"/>
      <w:r>
        <w:t>pgc_long</w:t>
      </w:r>
      <w:proofErr w:type="spellEnd"/>
      <w:r>
        <w:t xml:space="preserve"> &lt;- </w:t>
      </w:r>
      <w:proofErr w:type="spellStart"/>
      <w:r>
        <w:t>tidyr</w:t>
      </w:r>
      <w:proofErr w:type="spellEnd"/>
      <w:r>
        <w:t>::</w:t>
      </w:r>
      <w:proofErr w:type="spellStart"/>
      <w:r>
        <w:t>pivot_</w:t>
      </w:r>
      <w:proofErr w:type="gramStart"/>
      <w:r>
        <w:t>longer</w:t>
      </w:r>
      <w:proofErr w:type="spellEnd"/>
      <w:r>
        <w:t>(</w:t>
      </w:r>
      <w:proofErr w:type="spellStart"/>
      <w:proofErr w:type="gramEnd"/>
      <w:r>
        <w:t>pgc</w:t>
      </w:r>
      <w:proofErr w:type="spellEnd"/>
      <w:r>
        <w:t xml:space="preserve">, -courses, </w:t>
      </w:r>
      <w:proofErr w:type="spellStart"/>
      <w:r>
        <w:t>names_to</w:t>
      </w:r>
      <w:proofErr w:type="spellEnd"/>
      <w:r>
        <w:t xml:space="preserve"> = "Year", </w:t>
      </w:r>
      <w:proofErr w:type="spellStart"/>
      <w:r>
        <w:t>values_to</w:t>
      </w:r>
      <w:proofErr w:type="spellEnd"/>
      <w:r>
        <w:t xml:space="preserve"> = "Value")</w:t>
      </w:r>
    </w:p>
    <w:p w:rsidR="008160AC" w:rsidRDefault="008160AC" w:rsidP="00C666E7">
      <w:pPr>
        <w:pBdr>
          <w:top w:val="single" w:sz="4" w:space="1" w:color="auto"/>
          <w:left w:val="single" w:sz="4" w:space="4" w:color="auto"/>
          <w:bottom w:val="single" w:sz="4" w:space="1" w:color="auto"/>
          <w:right w:val="single" w:sz="4" w:space="4" w:color="auto"/>
        </w:pBdr>
      </w:pPr>
      <w:proofErr w:type="spellStart"/>
      <w:proofErr w:type="gramStart"/>
      <w:r>
        <w:t>ggplot</w:t>
      </w:r>
      <w:proofErr w:type="spellEnd"/>
      <w:r>
        <w:t>(</w:t>
      </w:r>
      <w:proofErr w:type="spellStart"/>
      <w:proofErr w:type="gramEnd"/>
      <w:r>
        <w:t>pgc_long</w:t>
      </w:r>
      <w:proofErr w:type="spellEnd"/>
      <w:r>
        <w:t xml:space="preserve">, </w:t>
      </w:r>
      <w:proofErr w:type="spellStart"/>
      <w:r>
        <w:t>aes</w:t>
      </w:r>
      <w:proofErr w:type="spellEnd"/>
      <w:r>
        <w:t>(x = Year, y = Value, group = courses, color = courses)) +</w:t>
      </w:r>
    </w:p>
    <w:p w:rsidR="008160AC" w:rsidRDefault="008160AC" w:rsidP="00C666E7">
      <w:pPr>
        <w:pBdr>
          <w:top w:val="single" w:sz="4" w:space="1" w:color="auto"/>
          <w:left w:val="single" w:sz="4" w:space="4" w:color="auto"/>
          <w:bottom w:val="single" w:sz="4" w:space="1" w:color="auto"/>
          <w:right w:val="single" w:sz="4" w:space="4" w:color="auto"/>
        </w:pBdr>
      </w:pPr>
      <w:r>
        <w:t xml:space="preserve">  </w:t>
      </w:r>
      <w:proofErr w:type="spellStart"/>
      <w:r>
        <w:t>geom_</w:t>
      </w:r>
      <w:proofErr w:type="gramStart"/>
      <w:r>
        <w:t>line</w:t>
      </w:r>
      <w:proofErr w:type="spellEnd"/>
      <w:r>
        <w:t>(</w:t>
      </w:r>
      <w:proofErr w:type="gramEnd"/>
      <w:r>
        <w:t>) +</w:t>
      </w:r>
    </w:p>
    <w:p w:rsidR="008160AC" w:rsidRDefault="008160AC" w:rsidP="00C666E7">
      <w:pPr>
        <w:pBdr>
          <w:top w:val="single" w:sz="4" w:space="1" w:color="auto"/>
          <w:left w:val="single" w:sz="4" w:space="4" w:color="auto"/>
          <w:bottom w:val="single" w:sz="4" w:space="1" w:color="auto"/>
          <w:right w:val="single" w:sz="4" w:space="4" w:color="auto"/>
        </w:pBdr>
      </w:pPr>
      <w:r>
        <w:t xml:space="preserve">  </w:t>
      </w:r>
      <w:proofErr w:type="gramStart"/>
      <w:r>
        <w:t>labs(</w:t>
      </w:r>
      <w:proofErr w:type="gramEnd"/>
      <w:r>
        <w:t>x = "Year", y = "Value", title = "PGC Dataset") +</w:t>
      </w:r>
    </w:p>
    <w:p w:rsidR="008160AC" w:rsidRDefault="008160AC" w:rsidP="00C666E7">
      <w:pPr>
        <w:pBdr>
          <w:top w:val="single" w:sz="4" w:space="1" w:color="auto"/>
          <w:left w:val="single" w:sz="4" w:space="4" w:color="auto"/>
          <w:bottom w:val="single" w:sz="4" w:space="1" w:color="auto"/>
          <w:right w:val="single" w:sz="4" w:space="4" w:color="auto"/>
        </w:pBdr>
      </w:pPr>
      <w:r>
        <w:t xml:space="preserve">  </w:t>
      </w:r>
      <w:proofErr w:type="spellStart"/>
      <w:r>
        <w:t>theme_</w:t>
      </w:r>
      <w:proofErr w:type="gramStart"/>
      <w:r>
        <w:t>minimal</w:t>
      </w:r>
      <w:proofErr w:type="spellEnd"/>
      <w:r>
        <w:t>()</w:t>
      </w:r>
      <w:proofErr w:type="gramEnd"/>
    </w:p>
    <w:p w:rsidR="008160AC" w:rsidRDefault="008160AC" w:rsidP="00C666E7">
      <w:pPr>
        <w:pBdr>
          <w:top w:val="single" w:sz="4" w:space="1" w:color="auto"/>
          <w:left w:val="single" w:sz="4" w:space="4" w:color="auto"/>
          <w:bottom w:val="single" w:sz="4" w:space="1" w:color="auto"/>
          <w:right w:val="single" w:sz="4" w:space="4" w:color="auto"/>
        </w:pBdr>
      </w:pPr>
    </w:p>
    <w:p w:rsidR="008160AC" w:rsidRDefault="008160AC">
      <w:r>
        <w:br w:type="page"/>
      </w:r>
    </w:p>
    <w:p w:rsidR="008160AC" w:rsidRDefault="008160AC" w:rsidP="008160AC">
      <w:pPr>
        <w:rPr>
          <w:sz w:val="48"/>
          <w:szCs w:val="48"/>
        </w:rPr>
      </w:pPr>
      <w:r>
        <w:rPr>
          <w:noProof/>
          <w:sz w:val="48"/>
          <w:szCs w:val="48"/>
        </w:rPr>
        <w:lastRenderedPageBreak/>
        <w:drawing>
          <wp:inline distT="0" distB="0" distL="0" distR="0">
            <wp:extent cx="5048955" cy="4439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ability.png"/>
                    <pic:cNvPicPr/>
                  </pic:nvPicPr>
                  <pic:blipFill>
                    <a:blip r:embed="rId10">
                      <a:extLst>
                        <a:ext uri="{28A0092B-C50C-407E-A947-70E740481C1C}">
                          <a14:useLocalDpi xmlns:a14="http://schemas.microsoft.com/office/drawing/2010/main" val="0"/>
                        </a:ext>
                      </a:extLst>
                    </a:blip>
                    <a:stretch>
                      <a:fillRect/>
                    </a:stretch>
                  </pic:blipFill>
                  <pic:spPr>
                    <a:xfrm>
                      <a:off x="0" y="0"/>
                      <a:ext cx="5048955" cy="4439270"/>
                    </a:xfrm>
                    <a:prstGeom prst="rect">
                      <a:avLst/>
                    </a:prstGeom>
                  </pic:spPr>
                </pic:pic>
              </a:graphicData>
            </a:graphic>
          </wp:inline>
        </w:drawing>
      </w:r>
    </w:p>
    <w:p w:rsidR="00C666E7" w:rsidRDefault="00C666E7" w:rsidP="00C666E7">
      <w:pPr>
        <w:pBdr>
          <w:top w:val="single" w:sz="4" w:space="1" w:color="auto"/>
          <w:left w:val="single" w:sz="4" w:space="4" w:color="auto"/>
          <w:bottom w:val="single" w:sz="4" w:space="1" w:color="auto"/>
          <w:right w:val="single" w:sz="4" w:space="4" w:color="auto"/>
        </w:pBdr>
        <w:rPr>
          <w:noProof/>
        </w:rPr>
      </w:pPr>
      <w:r>
        <w:rPr>
          <w:noProof/>
        </w:rPr>
        <w:t>ugc&lt;-read_excel("D:\\Maths SEM 2 report\\Employability\\Employablity.xlsx")</w:t>
      </w:r>
    </w:p>
    <w:p w:rsidR="00C666E7" w:rsidRDefault="00C666E7" w:rsidP="00C666E7">
      <w:pPr>
        <w:pBdr>
          <w:top w:val="single" w:sz="4" w:space="1" w:color="auto"/>
          <w:left w:val="single" w:sz="4" w:space="4" w:color="auto"/>
          <w:bottom w:val="single" w:sz="4" w:space="1" w:color="auto"/>
          <w:right w:val="single" w:sz="4" w:space="4" w:color="auto"/>
        </w:pBdr>
        <w:rPr>
          <w:noProof/>
        </w:rPr>
      </w:pPr>
      <w:r>
        <w:rPr>
          <w:noProof/>
        </w:rPr>
        <w:t>ugc</w:t>
      </w:r>
    </w:p>
    <w:p w:rsidR="00C666E7" w:rsidRDefault="00C666E7" w:rsidP="00C666E7">
      <w:pPr>
        <w:pBdr>
          <w:top w:val="single" w:sz="4" w:space="1" w:color="auto"/>
          <w:left w:val="single" w:sz="4" w:space="4" w:color="auto"/>
          <w:bottom w:val="single" w:sz="4" w:space="1" w:color="auto"/>
          <w:right w:val="single" w:sz="4" w:space="4" w:color="auto"/>
        </w:pBdr>
        <w:rPr>
          <w:noProof/>
        </w:rPr>
      </w:pPr>
      <w:r>
        <w:rPr>
          <w:noProof/>
        </w:rPr>
        <w:t>ugc_long &lt;- tidyr::pivot_longer(ugc, -DOMAIN, names_to = "Year", values_to = "Value")</w:t>
      </w:r>
    </w:p>
    <w:p w:rsidR="00C666E7" w:rsidRDefault="00C666E7" w:rsidP="00C666E7">
      <w:pPr>
        <w:pBdr>
          <w:top w:val="single" w:sz="4" w:space="1" w:color="auto"/>
          <w:left w:val="single" w:sz="4" w:space="4" w:color="auto"/>
          <w:bottom w:val="single" w:sz="4" w:space="1" w:color="auto"/>
          <w:right w:val="single" w:sz="4" w:space="4" w:color="auto"/>
        </w:pBdr>
        <w:rPr>
          <w:noProof/>
        </w:rPr>
      </w:pPr>
      <w:r>
        <w:rPr>
          <w:noProof/>
        </w:rPr>
        <w:t>ggplot(ugc_long, aes(x = Year, y = Value, fill = DOMAIN)) +</w:t>
      </w:r>
    </w:p>
    <w:p w:rsidR="00C666E7" w:rsidRDefault="00C666E7" w:rsidP="00C666E7">
      <w:pPr>
        <w:pBdr>
          <w:top w:val="single" w:sz="4" w:space="1" w:color="auto"/>
          <w:left w:val="single" w:sz="4" w:space="4" w:color="auto"/>
          <w:bottom w:val="single" w:sz="4" w:space="1" w:color="auto"/>
          <w:right w:val="single" w:sz="4" w:space="4" w:color="auto"/>
        </w:pBdr>
        <w:rPr>
          <w:noProof/>
        </w:rPr>
      </w:pPr>
      <w:r>
        <w:rPr>
          <w:noProof/>
        </w:rPr>
        <w:t xml:space="preserve">  geom_bar(stat = "identity", position = "dodge") +</w:t>
      </w:r>
    </w:p>
    <w:p w:rsidR="00C666E7" w:rsidRDefault="00C666E7" w:rsidP="00C666E7">
      <w:pPr>
        <w:pBdr>
          <w:top w:val="single" w:sz="4" w:space="1" w:color="auto"/>
          <w:left w:val="single" w:sz="4" w:space="4" w:color="auto"/>
          <w:bottom w:val="single" w:sz="4" w:space="1" w:color="auto"/>
          <w:right w:val="single" w:sz="4" w:space="4" w:color="auto"/>
        </w:pBdr>
        <w:rPr>
          <w:noProof/>
        </w:rPr>
      </w:pPr>
      <w:r>
        <w:rPr>
          <w:noProof/>
        </w:rPr>
        <w:t xml:space="preserve">  labs(x = "Year", y = "Value", title = "EMPLOYABILITY") +</w:t>
      </w:r>
    </w:p>
    <w:p w:rsidR="00C666E7" w:rsidRDefault="00C666E7" w:rsidP="00C666E7">
      <w:pPr>
        <w:pBdr>
          <w:top w:val="single" w:sz="4" w:space="1" w:color="auto"/>
          <w:left w:val="single" w:sz="4" w:space="4" w:color="auto"/>
          <w:bottom w:val="single" w:sz="4" w:space="1" w:color="auto"/>
          <w:right w:val="single" w:sz="4" w:space="4" w:color="auto"/>
        </w:pBdr>
        <w:rPr>
          <w:noProof/>
        </w:rPr>
      </w:pPr>
      <w:r>
        <w:rPr>
          <w:noProof/>
        </w:rPr>
        <w:t xml:space="preserve">  theme_minimal()</w:t>
      </w:r>
    </w:p>
    <w:p w:rsidR="00C666E7" w:rsidRDefault="00C666E7" w:rsidP="008160AC">
      <w:pPr>
        <w:rPr>
          <w:noProof/>
        </w:rPr>
      </w:pPr>
    </w:p>
    <w:p w:rsidR="007D4694" w:rsidRPr="008160AC" w:rsidRDefault="007D4694" w:rsidP="008160AC">
      <w:pPr>
        <w:rPr>
          <w:noProof/>
        </w:rPr>
      </w:pPr>
      <w:r>
        <w:rPr>
          <w:noProof/>
        </w:rPr>
        <w:t>Engineering gives the most no of jobs which gives us the reason of most enrollments in the course.</w:t>
      </w:r>
      <w:r w:rsidR="00EF4584">
        <w:rPr>
          <w:noProof/>
        </w:rPr>
        <w:t xml:space="preserve"> Same goes with MBA, it had the maximum no of enrollments in pg courses because of the percentage of jobs it provide.</w:t>
      </w:r>
    </w:p>
    <w:p w:rsidR="008160AC" w:rsidRDefault="008160AC" w:rsidP="008160AC">
      <w:pPr>
        <w:rPr>
          <w:sz w:val="48"/>
          <w:szCs w:val="48"/>
        </w:rPr>
      </w:pPr>
    </w:p>
    <w:p w:rsidR="008160AC" w:rsidRDefault="008160AC">
      <w:pPr>
        <w:rPr>
          <w:sz w:val="48"/>
          <w:szCs w:val="48"/>
        </w:rPr>
      </w:pPr>
    </w:p>
    <w:p w:rsidR="008160AC" w:rsidRDefault="008160AC" w:rsidP="008160AC">
      <w:pPr>
        <w:rPr>
          <w:sz w:val="48"/>
          <w:szCs w:val="48"/>
        </w:rPr>
      </w:pPr>
      <w:r>
        <w:rPr>
          <w:noProof/>
          <w:sz w:val="48"/>
          <w:szCs w:val="48"/>
        </w:rPr>
        <w:drawing>
          <wp:inline distT="0" distB="0" distL="0" distR="0">
            <wp:extent cx="5048955" cy="4439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ployability line.png"/>
                    <pic:cNvPicPr/>
                  </pic:nvPicPr>
                  <pic:blipFill>
                    <a:blip r:embed="rId11">
                      <a:extLst>
                        <a:ext uri="{28A0092B-C50C-407E-A947-70E740481C1C}">
                          <a14:useLocalDpi xmlns:a14="http://schemas.microsoft.com/office/drawing/2010/main" val="0"/>
                        </a:ext>
                      </a:extLst>
                    </a:blip>
                    <a:stretch>
                      <a:fillRect/>
                    </a:stretch>
                  </pic:blipFill>
                  <pic:spPr>
                    <a:xfrm>
                      <a:off x="0" y="0"/>
                      <a:ext cx="5048955" cy="4439270"/>
                    </a:xfrm>
                    <a:prstGeom prst="rect">
                      <a:avLst/>
                    </a:prstGeom>
                  </pic:spPr>
                </pic:pic>
              </a:graphicData>
            </a:graphic>
          </wp:inline>
        </w:drawing>
      </w:r>
    </w:p>
    <w:p w:rsidR="00C666E7" w:rsidRPr="00C666E7" w:rsidRDefault="00C666E7" w:rsidP="00C666E7">
      <w:pPr>
        <w:pBdr>
          <w:top w:val="single" w:sz="4" w:space="1" w:color="auto"/>
          <w:left w:val="single" w:sz="4" w:space="4" w:color="auto"/>
          <w:bottom w:val="single" w:sz="4" w:space="1" w:color="auto"/>
          <w:right w:val="single" w:sz="4" w:space="4" w:color="auto"/>
        </w:pBdr>
      </w:pPr>
      <w:bookmarkStart w:id="0" w:name="_GoBack"/>
      <w:proofErr w:type="spellStart"/>
      <w:proofErr w:type="gramStart"/>
      <w:r w:rsidRPr="00C666E7">
        <w:t>unemployability</w:t>
      </w:r>
      <w:proofErr w:type="spellEnd"/>
      <w:proofErr w:type="gramEnd"/>
      <w:r w:rsidRPr="00C666E7">
        <w:t>&lt;-</w:t>
      </w:r>
      <w:proofErr w:type="spellStart"/>
      <w:r w:rsidRPr="00C666E7">
        <w:t>read_excel</w:t>
      </w:r>
      <w:proofErr w:type="spellEnd"/>
      <w:r w:rsidRPr="00C666E7">
        <w:t>("D:\\Maths SEM 2 report\\Employability\\Employablity.xlsx")</w:t>
      </w:r>
    </w:p>
    <w:p w:rsidR="00C666E7" w:rsidRPr="00C666E7" w:rsidRDefault="00C666E7" w:rsidP="00C666E7">
      <w:pPr>
        <w:pBdr>
          <w:top w:val="single" w:sz="4" w:space="1" w:color="auto"/>
          <w:left w:val="single" w:sz="4" w:space="4" w:color="auto"/>
          <w:bottom w:val="single" w:sz="4" w:space="1" w:color="auto"/>
          <w:right w:val="single" w:sz="4" w:space="4" w:color="auto"/>
        </w:pBdr>
      </w:pPr>
      <w:proofErr w:type="spellStart"/>
      <w:r w:rsidRPr="00C666E7">
        <w:t>data_long</w:t>
      </w:r>
      <w:proofErr w:type="spellEnd"/>
      <w:r w:rsidRPr="00C666E7">
        <w:t xml:space="preserve"> &lt;- </w:t>
      </w:r>
      <w:proofErr w:type="spellStart"/>
      <w:r w:rsidRPr="00C666E7">
        <w:t>tidyr</w:t>
      </w:r>
      <w:proofErr w:type="spellEnd"/>
      <w:r w:rsidRPr="00C666E7">
        <w:t>::</w:t>
      </w:r>
      <w:proofErr w:type="spellStart"/>
      <w:r w:rsidRPr="00C666E7">
        <w:t>pivot_</w:t>
      </w:r>
      <w:proofErr w:type="gramStart"/>
      <w:r w:rsidRPr="00C666E7">
        <w:t>longer</w:t>
      </w:r>
      <w:proofErr w:type="spellEnd"/>
      <w:r w:rsidRPr="00C666E7">
        <w:t>(</w:t>
      </w:r>
      <w:proofErr w:type="spellStart"/>
      <w:proofErr w:type="gramEnd"/>
      <w:r w:rsidRPr="00C666E7">
        <w:t>unemployability</w:t>
      </w:r>
      <w:proofErr w:type="spellEnd"/>
      <w:r w:rsidRPr="00C666E7">
        <w:t xml:space="preserve">, -DOMAIN, </w:t>
      </w:r>
      <w:proofErr w:type="spellStart"/>
      <w:r w:rsidRPr="00C666E7">
        <w:t>names_to</w:t>
      </w:r>
      <w:proofErr w:type="spellEnd"/>
      <w:r w:rsidRPr="00C666E7">
        <w:t xml:space="preserve"> = "Year", </w:t>
      </w:r>
      <w:proofErr w:type="spellStart"/>
      <w:r w:rsidRPr="00C666E7">
        <w:t>values_to</w:t>
      </w:r>
      <w:proofErr w:type="spellEnd"/>
      <w:r w:rsidRPr="00C666E7">
        <w:t xml:space="preserve"> = "Value")</w:t>
      </w:r>
    </w:p>
    <w:p w:rsidR="00C666E7" w:rsidRPr="00C666E7" w:rsidRDefault="00C666E7" w:rsidP="00C666E7">
      <w:pPr>
        <w:pBdr>
          <w:top w:val="single" w:sz="4" w:space="1" w:color="auto"/>
          <w:left w:val="single" w:sz="4" w:space="4" w:color="auto"/>
          <w:bottom w:val="single" w:sz="4" w:space="1" w:color="auto"/>
          <w:right w:val="single" w:sz="4" w:space="4" w:color="auto"/>
        </w:pBdr>
      </w:pPr>
      <w:proofErr w:type="spellStart"/>
      <w:r w:rsidRPr="00C666E7">
        <w:t>data_long$Year</w:t>
      </w:r>
      <w:proofErr w:type="spellEnd"/>
      <w:r w:rsidRPr="00C666E7">
        <w:t xml:space="preserve"> &lt;- </w:t>
      </w:r>
      <w:proofErr w:type="spellStart"/>
      <w:proofErr w:type="gramStart"/>
      <w:r w:rsidRPr="00C666E7">
        <w:t>as.numeric</w:t>
      </w:r>
      <w:proofErr w:type="spellEnd"/>
      <w:r w:rsidRPr="00C666E7">
        <w:t>(</w:t>
      </w:r>
      <w:proofErr w:type="spellStart"/>
      <w:proofErr w:type="gramEnd"/>
      <w:r w:rsidRPr="00C666E7">
        <w:t>data_long$Year</w:t>
      </w:r>
      <w:proofErr w:type="spellEnd"/>
      <w:r w:rsidRPr="00C666E7">
        <w:t>)</w:t>
      </w:r>
    </w:p>
    <w:p w:rsidR="00C666E7" w:rsidRPr="00C666E7" w:rsidRDefault="00C666E7" w:rsidP="00C666E7">
      <w:pPr>
        <w:pBdr>
          <w:top w:val="single" w:sz="4" w:space="1" w:color="auto"/>
          <w:left w:val="single" w:sz="4" w:space="4" w:color="auto"/>
          <w:bottom w:val="single" w:sz="4" w:space="1" w:color="auto"/>
          <w:right w:val="single" w:sz="4" w:space="4" w:color="auto"/>
        </w:pBdr>
      </w:pPr>
      <w:proofErr w:type="spellStart"/>
      <w:proofErr w:type="gramStart"/>
      <w:r w:rsidRPr="00C666E7">
        <w:t>ggplot</w:t>
      </w:r>
      <w:proofErr w:type="spellEnd"/>
      <w:r w:rsidRPr="00C666E7">
        <w:t>(</w:t>
      </w:r>
      <w:proofErr w:type="spellStart"/>
      <w:proofErr w:type="gramEnd"/>
      <w:r w:rsidRPr="00C666E7">
        <w:t>data_long</w:t>
      </w:r>
      <w:proofErr w:type="spellEnd"/>
      <w:r w:rsidRPr="00C666E7">
        <w:t xml:space="preserve">, </w:t>
      </w:r>
      <w:proofErr w:type="spellStart"/>
      <w:r w:rsidRPr="00C666E7">
        <w:t>aes</w:t>
      </w:r>
      <w:proofErr w:type="spellEnd"/>
      <w:r w:rsidRPr="00C666E7">
        <w:t>(x = Year, y = Value, color = DOMAIN)) +</w:t>
      </w:r>
    </w:p>
    <w:p w:rsidR="00C666E7" w:rsidRPr="00C666E7" w:rsidRDefault="00C666E7" w:rsidP="00C666E7">
      <w:pPr>
        <w:pBdr>
          <w:top w:val="single" w:sz="4" w:space="1" w:color="auto"/>
          <w:left w:val="single" w:sz="4" w:space="4" w:color="auto"/>
          <w:bottom w:val="single" w:sz="4" w:space="1" w:color="auto"/>
          <w:right w:val="single" w:sz="4" w:space="4" w:color="auto"/>
        </w:pBdr>
      </w:pPr>
      <w:r w:rsidRPr="00C666E7">
        <w:t xml:space="preserve">  </w:t>
      </w:r>
      <w:proofErr w:type="spellStart"/>
      <w:r w:rsidRPr="00C666E7">
        <w:t>geom_</w:t>
      </w:r>
      <w:proofErr w:type="gramStart"/>
      <w:r w:rsidRPr="00C666E7">
        <w:t>line</w:t>
      </w:r>
      <w:proofErr w:type="spellEnd"/>
      <w:r w:rsidRPr="00C666E7">
        <w:t>(</w:t>
      </w:r>
      <w:proofErr w:type="gramEnd"/>
      <w:r w:rsidRPr="00C666E7">
        <w:t>) +</w:t>
      </w:r>
    </w:p>
    <w:p w:rsidR="00C666E7" w:rsidRPr="00C666E7" w:rsidRDefault="00C666E7" w:rsidP="00C666E7">
      <w:pPr>
        <w:pBdr>
          <w:top w:val="single" w:sz="4" w:space="1" w:color="auto"/>
          <w:left w:val="single" w:sz="4" w:space="4" w:color="auto"/>
          <w:bottom w:val="single" w:sz="4" w:space="1" w:color="auto"/>
          <w:right w:val="single" w:sz="4" w:space="4" w:color="auto"/>
        </w:pBdr>
      </w:pPr>
      <w:r w:rsidRPr="00C666E7">
        <w:t xml:space="preserve">  </w:t>
      </w:r>
      <w:proofErr w:type="gramStart"/>
      <w:r w:rsidRPr="00C666E7">
        <w:t>labs(</w:t>
      </w:r>
      <w:proofErr w:type="gramEnd"/>
      <w:r w:rsidRPr="00C666E7">
        <w:t>x = "Year", y = "</w:t>
      </w:r>
      <w:proofErr w:type="spellStart"/>
      <w:r w:rsidRPr="00C666E7">
        <w:t>Unemployability</w:t>
      </w:r>
      <w:proofErr w:type="spellEnd"/>
      <w:r w:rsidRPr="00C666E7">
        <w:t>", title = "</w:t>
      </w:r>
      <w:proofErr w:type="spellStart"/>
      <w:r w:rsidRPr="00C666E7">
        <w:t>Unemployability</w:t>
      </w:r>
      <w:proofErr w:type="spellEnd"/>
      <w:r w:rsidRPr="00C666E7">
        <w:t xml:space="preserve"> by Domain") +</w:t>
      </w:r>
    </w:p>
    <w:p w:rsidR="00C666E7" w:rsidRPr="00C666E7" w:rsidRDefault="00C666E7" w:rsidP="00C666E7">
      <w:pPr>
        <w:pBdr>
          <w:top w:val="single" w:sz="4" w:space="1" w:color="auto"/>
          <w:left w:val="single" w:sz="4" w:space="4" w:color="auto"/>
          <w:bottom w:val="single" w:sz="4" w:space="1" w:color="auto"/>
          <w:right w:val="single" w:sz="4" w:space="4" w:color="auto"/>
        </w:pBdr>
      </w:pPr>
      <w:r w:rsidRPr="00C666E7">
        <w:t xml:space="preserve">  </w:t>
      </w:r>
      <w:proofErr w:type="spellStart"/>
      <w:r w:rsidRPr="00C666E7">
        <w:t>theme_</w:t>
      </w:r>
      <w:proofErr w:type="gramStart"/>
      <w:r w:rsidRPr="00C666E7">
        <w:t>minimal</w:t>
      </w:r>
      <w:proofErr w:type="spellEnd"/>
      <w:r w:rsidRPr="00C666E7">
        <w:t>()</w:t>
      </w:r>
      <w:proofErr w:type="gramEnd"/>
    </w:p>
    <w:p w:rsidR="009440A2" w:rsidRDefault="009440A2" w:rsidP="00C666E7">
      <w:pPr>
        <w:pBdr>
          <w:top w:val="single" w:sz="4" w:space="1" w:color="auto"/>
          <w:left w:val="single" w:sz="4" w:space="4" w:color="auto"/>
          <w:bottom w:val="single" w:sz="4" w:space="1" w:color="auto"/>
          <w:right w:val="single" w:sz="4" w:space="4" w:color="auto"/>
        </w:pBdr>
        <w:rPr>
          <w:sz w:val="48"/>
          <w:szCs w:val="48"/>
        </w:rPr>
      </w:pPr>
      <w:r>
        <w:rPr>
          <w:sz w:val="48"/>
          <w:szCs w:val="48"/>
        </w:rPr>
        <w:br w:type="page"/>
      </w:r>
    </w:p>
    <w:bookmarkEnd w:id="0"/>
    <w:p w:rsidR="00454769" w:rsidRPr="00EF4584" w:rsidRDefault="000541BA">
      <w:pPr>
        <w:rPr>
          <w:sz w:val="48"/>
          <w:szCs w:val="48"/>
          <w:u w:val="single"/>
        </w:rPr>
      </w:pPr>
      <w:r w:rsidRPr="00EF4584">
        <w:rPr>
          <w:sz w:val="48"/>
          <w:szCs w:val="48"/>
          <w:u w:val="single"/>
        </w:rPr>
        <w:lastRenderedPageBreak/>
        <w:t>Conclusion</w:t>
      </w:r>
    </w:p>
    <w:p w:rsidR="000541BA" w:rsidRPr="000541BA" w:rsidRDefault="000541BA" w:rsidP="000541BA">
      <w:pPr>
        <w:rPr>
          <w:rFonts w:ascii="Times New Roman" w:hAnsi="Times New Roman" w:cs="Times New Roman"/>
          <w:sz w:val="28"/>
          <w:szCs w:val="28"/>
        </w:rPr>
      </w:pPr>
      <w:r w:rsidRPr="000541BA">
        <w:rPr>
          <w:rFonts w:ascii="Times New Roman" w:hAnsi="Times New Roman" w:cs="Times New Roman"/>
          <w:sz w:val="28"/>
          <w:szCs w:val="28"/>
        </w:rPr>
        <w:t>The findings of this study shed light on the complex relationship between higher education and unemployment in India. The analysis of enrollment trends in higher education institutions revealed a significant growth in student participation over the years, reflecting the increasing demand for higher education. However, the unemployment trends indicated persistent challenges in translating higher education credentials into suitable employment opportunities. Skill mismatch, lack of industry-relevant training, and regional disparities were identified as key factors contributing to the unemployment problem.</w:t>
      </w:r>
    </w:p>
    <w:p w:rsidR="000541BA" w:rsidRPr="000541BA" w:rsidRDefault="000541BA" w:rsidP="000541BA">
      <w:pPr>
        <w:rPr>
          <w:rFonts w:ascii="Times New Roman" w:hAnsi="Times New Roman" w:cs="Times New Roman"/>
          <w:sz w:val="28"/>
          <w:szCs w:val="28"/>
        </w:rPr>
      </w:pPr>
    </w:p>
    <w:p w:rsidR="000541BA" w:rsidRPr="000541BA" w:rsidRDefault="000541BA" w:rsidP="000541BA">
      <w:pPr>
        <w:rPr>
          <w:rFonts w:ascii="Times New Roman" w:hAnsi="Times New Roman" w:cs="Times New Roman"/>
          <w:sz w:val="28"/>
          <w:szCs w:val="28"/>
        </w:rPr>
      </w:pPr>
      <w:r w:rsidRPr="000541BA">
        <w:rPr>
          <w:rFonts w:ascii="Times New Roman" w:hAnsi="Times New Roman" w:cs="Times New Roman"/>
          <w:sz w:val="28"/>
          <w:szCs w:val="28"/>
        </w:rPr>
        <w:t>The study underscores the need for a multidimensional approach to address these challenges. Policy interventions should focus on strengthening the link between higher education and the job market by fostering greater industry-academia collaboration, promoting skill development programs, and integrating practical training opportunities within the curriculum. Additionally, career guidance and counseling services should be enhanced to help students make informed choices and align their education with market demands.</w:t>
      </w:r>
    </w:p>
    <w:p w:rsidR="000541BA" w:rsidRPr="000541BA" w:rsidRDefault="000541BA" w:rsidP="000541BA">
      <w:pPr>
        <w:rPr>
          <w:rFonts w:ascii="Times New Roman" w:hAnsi="Times New Roman" w:cs="Times New Roman"/>
          <w:sz w:val="28"/>
          <w:szCs w:val="28"/>
        </w:rPr>
      </w:pPr>
    </w:p>
    <w:p w:rsidR="000541BA" w:rsidRPr="000541BA" w:rsidRDefault="000541BA" w:rsidP="000541BA">
      <w:pPr>
        <w:rPr>
          <w:rFonts w:ascii="Times New Roman" w:hAnsi="Times New Roman" w:cs="Times New Roman"/>
          <w:sz w:val="28"/>
          <w:szCs w:val="28"/>
        </w:rPr>
      </w:pPr>
      <w:r w:rsidRPr="000541BA">
        <w:rPr>
          <w:rFonts w:ascii="Times New Roman" w:hAnsi="Times New Roman" w:cs="Times New Roman"/>
          <w:sz w:val="28"/>
          <w:szCs w:val="28"/>
        </w:rPr>
        <w:t>It is imperative for policymakers, educational institutions, and stakeholders to recognize the evolving nature of the job market and adapt educational frameworks accordingly. Emphasizing a holistic approach to education that combines academic knowledge with practical skills and industry exposure will help bridge the gap between higher education and employment. This requires a collaborative effort involving the government, educational institutions, industries, and society at large.</w:t>
      </w:r>
    </w:p>
    <w:p w:rsidR="000541BA" w:rsidRPr="000541BA" w:rsidRDefault="000541BA" w:rsidP="000541BA">
      <w:pPr>
        <w:rPr>
          <w:rFonts w:ascii="Times New Roman" w:hAnsi="Times New Roman" w:cs="Times New Roman"/>
          <w:sz w:val="28"/>
          <w:szCs w:val="28"/>
        </w:rPr>
      </w:pPr>
    </w:p>
    <w:p w:rsidR="000541BA" w:rsidRPr="000541BA" w:rsidRDefault="000541BA" w:rsidP="000541BA">
      <w:pPr>
        <w:rPr>
          <w:rFonts w:ascii="Times New Roman" w:hAnsi="Times New Roman" w:cs="Times New Roman"/>
          <w:sz w:val="28"/>
          <w:szCs w:val="28"/>
        </w:rPr>
      </w:pPr>
      <w:r w:rsidRPr="000541BA">
        <w:rPr>
          <w:rFonts w:ascii="Times New Roman" w:hAnsi="Times New Roman" w:cs="Times New Roman"/>
          <w:sz w:val="28"/>
          <w:szCs w:val="28"/>
        </w:rPr>
        <w:t>By aligning higher education with the demands of the job market, India can foster a skilled and employable workforce, paving the way for sustainable economic growth and reduced unemployment rates. The insights provided in this report contribute to evidence-based decision-making and serve as a valuable resource for policymakers and educational stakeholders in shaping effective strategies and policies.</w:t>
      </w:r>
    </w:p>
    <w:p w:rsidR="000541BA" w:rsidRPr="000541BA" w:rsidRDefault="000541BA" w:rsidP="000541BA">
      <w:pPr>
        <w:rPr>
          <w:rFonts w:ascii="Times New Roman" w:hAnsi="Times New Roman" w:cs="Times New Roman"/>
          <w:sz w:val="28"/>
          <w:szCs w:val="28"/>
        </w:rPr>
      </w:pPr>
    </w:p>
    <w:p w:rsidR="00177B63" w:rsidRDefault="000541BA" w:rsidP="000541BA">
      <w:pPr>
        <w:rPr>
          <w:rFonts w:ascii="Times New Roman" w:hAnsi="Times New Roman" w:cs="Times New Roman"/>
          <w:sz w:val="28"/>
          <w:szCs w:val="28"/>
        </w:rPr>
      </w:pPr>
      <w:r w:rsidRPr="000541BA">
        <w:rPr>
          <w:rFonts w:ascii="Times New Roman" w:hAnsi="Times New Roman" w:cs="Times New Roman"/>
          <w:sz w:val="28"/>
          <w:szCs w:val="28"/>
        </w:rPr>
        <w:lastRenderedPageBreak/>
        <w:t>In conclusion, connecting the dots between higher education and unemployment in India requires a comprehensive and dynamic approach that recognizes the changing dynamics of the job market and equips students with the necessary skills and competencies to thrive in a competitive employment landscape. By addressing the challenges identified in this study and implementing targeted interventions, India can unlock the full potential of its higher education system and pave the way for a prosperous and inclusive future.</w:t>
      </w:r>
    </w:p>
    <w:p w:rsidR="00177B63" w:rsidRDefault="00177B63">
      <w:pPr>
        <w:rPr>
          <w:rFonts w:ascii="Times New Roman" w:hAnsi="Times New Roman" w:cs="Times New Roman"/>
          <w:sz w:val="28"/>
          <w:szCs w:val="28"/>
        </w:rPr>
      </w:pPr>
      <w:r>
        <w:rPr>
          <w:rFonts w:ascii="Times New Roman" w:hAnsi="Times New Roman" w:cs="Times New Roman"/>
          <w:sz w:val="28"/>
          <w:szCs w:val="28"/>
        </w:rPr>
        <w:br w:type="page"/>
      </w:r>
    </w:p>
    <w:p w:rsidR="000541BA" w:rsidRDefault="00177B63" w:rsidP="000541BA">
      <w:pPr>
        <w:rPr>
          <w:rFonts w:cstheme="minorHAnsi"/>
          <w:sz w:val="48"/>
          <w:szCs w:val="48"/>
          <w:u w:val="single"/>
        </w:rPr>
      </w:pPr>
      <w:r w:rsidRPr="00177B63">
        <w:rPr>
          <w:rFonts w:cstheme="minorHAnsi"/>
          <w:sz w:val="48"/>
          <w:szCs w:val="48"/>
          <w:u w:val="single"/>
        </w:rPr>
        <w:lastRenderedPageBreak/>
        <w:t>References</w:t>
      </w:r>
    </w:p>
    <w:p w:rsidR="00177B63" w:rsidRDefault="00177B63" w:rsidP="000541BA">
      <w:pPr>
        <w:rPr>
          <w:rFonts w:ascii="Times New Roman" w:hAnsi="Times New Roman" w:cs="Times New Roman"/>
          <w:sz w:val="28"/>
          <w:szCs w:val="28"/>
          <w:u w:val="single"/>
        </w:rPr>
      </w:pPr>
      <w:hyperlink r:id="rId12" w:history="1">
        <w:r w:rsidRPr="00101D8D">
          <w:rPr>
            <w:rStyle w:val="Hyperlink"/>
            <w:rFonts w:ascii="Times New Roman" w:hAnsi="Times New Roman" w:cs="Times New Roman"/>
            <w:sz w:val="28"/>
            <w:szCs w:val="28"/>
          </w:rPr>
          <w:t>https://wheebox.com/assets/pdf/ISR_Report_2014.pdf</w:t>
        </w:r>
      </w:hyperlink>
    </w:p>
    <w:p w:rsidR="00177B63" w:rsidRDefault="00177B63" w:rsidP="000541BA">
      <w:pPr>
        <w:rPr>
          <w:rFonts w:ascii="Times New Roman" w:hAnsi="Times New Roman" w:cs="Times New Roman"/>
          <w:sz w:val="28"/>
          <w:szCs w:val="28"/>
          <w:u w:val="single"/>
        </w:rPr>
      </w:pPr>
      <w:hyperlink r:id="rId13" w:history="1">
        <w:r w:rsidRPr="00101D8D">
          <w:rPr>
            <w:rStyle w:val="Hyperlink"/>
            <w:rFonts w:ascii="Times New Roman" w:hAnsi="Times New Roman" w:cs="Times New Roman"/>
            <w:sz w:val="28"/>
            <w:szCs w:val="28"/>
          </w:rPr>
          <w:t>https://wheebox.com/assets/pdf/ISR_Report_2015.pdf</w:t>
        </w:r>
      </w:hyperlink>
    </w:p>
    <w:p w:rsidR="00177B63" w:rsidRDefault="00177B63" w:rsidP="000541BA">
      <w:pPr>
        <w:rPr>
          <w:rFonts w:ascii="Times New Roman" w:hAnsi="Times New Roman" w:cs="Times New Roman"/>
          <w:sz w:val="28"/>
          <w:szCs w:val="28"/>
          <w:u w:val="single"/>
        </w:rPr>
      </w:pPr>
      <w:hyperlink r:id="rId14" w:history="1">
        <w:r w:rsidRPr="00101D8D">
          <w:rPr>
            <w:rStyle w:val="Hyperlink"/>
            <w:rFonts w:ascii="Times New Roman" w:hAnsi="Times New Roman" w:cs="Times New Roman"/>
            <w:sz w:val="28"/>
            <w:szCs w:val="28"/>
          </w:rPr>
          <w:t>https://wheebox.com/assets/pdf/ISR_Report_2016.pdf</w:t>
        </w:r>
      </w:hyperlink>
    </w:p>
    <w:p w:rsidR="00177B63" w:rsidRDefault="00177B63" w:rsidP="000541BA">
      <w:pPr>
        <w:rPr>
          <w:rFonts w:ascii="Times New Roman" w:hAnsi="Times New Roman" w:cs="Times New Roman"/>
          <w:sz w:val="28"/>
          <w:szCs w:val="28"/>
          <w:u w:val="single"/>
        </w:rPr>
      </w:pPr>
      <w:hyperlink r:id="rId15" w:history="1">
        <w:r w:rsidRPr="00101D8D">
          <w:rPr>
            <w:rStyle w:val="Hyperlink"/>
            <w:rFonts w:ascii="Times New Roman" w:hAnsi="Times New Roman" w:cs="Times New Roman"/>
            <w:sz w:val="28"/>
            <w:szCs w:val="28"/>
          </w:rPr>
          <w:t>https://wheebox.com/assets/pdf/ISR_Report_2017.pdf</w:t>
        </w:r>
      </w:hyperlink>
    </w:p>
    <w:p w:rsidR="00177B63" w:rsidRDefault="00177B63" w:rsidP="000541BA">
      <w:pPr>
        <w:rPr>
          <w:rFonts w:ascii="Times New Roman" w:hAnsi="Times New Roman" w:cs="Times New Roman"/>
          <w:sz w:val="28"/>
          <w:szCs w:val="28"/>
          <w:u w:val="single"/>
        </w:rPr>
      </w:pPr>
      <w:hyperlink r:id="rId16" w:history="1">
        <w:r w:rsidRPr="00101D8D">
          <w:rPr>
            <w:rStyle w:val="Hyperlink"/>
            <w:rFonts w:ascii="Times New Roman" w:hAnsi="Times New Roman" w:cs="Times New Roman"/>
            <w:sz w:val="28"/>
            <w:szCs w:val="28"/>
          </w:rPr>
          <w:t>https://wheebox.com/assets/pdf/ISR_Report_2018.pdf</w:t>
        </w:r>
      </w:hyperlink>
    </w:p>
    <w:p w:rsidR="00177B63" w:rsidRDefault="00177B63" w:rsidP="000541BA">
      <w:pPr>
        <w:rPr>
          <w:rFonts w:ascii="Times New Roman" w:hAnsi="Times New Roman" w:cs="Times New Roman"/>
          <w:sz w:val="28"/>
          <w:szCs w:val="28"/>
          <w:u w:val="single"/>
        </w:rPr>
      </w:pPr>
      <w:hyperlink r:id="rId17" w:history="1">
        <w:r w:rsidRPr="00101D8D">
          <w:rPr>
            <w:rStyle w:val="Hyperlink"/>
            <w:rFonts w:ascii="Times New Roman" w:hAnsi="Times New Roman" w:cs="Times New Roman"/>
            <w:sz w:val="28"/>
            <w:szCs w:val="28"/>
          </w:rPr>
          <w:t>https://wheebox.com/assets/pdf/ISR_Report_2019.pdf</w:t>
        </w:r>
      </w:hyperlink>
    </w:p>
    <w:p w:rsidR="00177B63" w:rsidRDefault="00177B63" w:rsidP="000541BA">
      <w:pPr>
        <w:rPr>
          <w:rFonts w:ascii="Times New Roman" w:hAnsi="Times New Roman" w:cs="Times New Roman"/>
          <w:sz w:val="28"/>
          <w:szCs w:val="28"/>
          <w:u w:val="single"/>
        </w:rPr>
      </w:pPr>
      <w:hyperlink r:id="rId18" w:history="1">
        <w:r w:rsidRPr="00101D8D">
          <w:rPr>
            <w:rStyle w:val="Hyperlink"/>
            <w:rFonts w:ascii="Times New Roman" w:hAnsi="Times New Roman" w:cs="Times New Roman"/>
            <w:sz w:val="28"/>
            <w:szCs w:val="28"/>
          </w:rPr>
          <w:t>https://wheebox.com/assets/pdf/ISR_Report_2020.pdf</w:t>
        </w:r>
      </w:hyperlink>
    </w:p>
    <w:p w:rsidR="00177B63" w:rsidRDefault="00177B63" w:rsidP="000541BA">
      <w:pPr>
        <w:rPr>
          <w:rFonts w:ascii="Times New Roman" w:hAnsi="Times New Roman" w:cs="Times New Roman"/>
          <w:sz w:val="28"/>
          <w:szCs w:val="28"/>
          <w:u w:val="single"/>
        </w:rPr>
      </w:pPr>
      <w:hyperlink r:id="rId19" w:history="1">
        <w:r w:rsidRPr="00101D8D">
          <w:rPr>
            <w:rStyle w:val="Hyperlink"/>
            <w:rFonts w:ascii="Times New Roman" w:hAnsi="Times New Roman" w:cs="Times New Roman"/>
            <w:sz w:val="28"/>
            <w:szCs w:val="28"/>
          </w:rPr>
          <w:t>https://aishe.gov.in/aishe/viewDocument.action;jsessionid=88FD1CA52AFA9B32B2136DA9E4124E93.n3?documentId=194</w:t>
        </w:r>
      </w:hyperlink>
    </w:p>
    <w:p w:rsidR="00177B63" w:rsidRDefault="00177B63" w:rsidP="000541BA">
      <w:pPr>
        <w:rPr>
          <w:rFonts w:ascii="Times New Roman" w:hAnsi="Times New Roman" w:cs="Times New Roman"/>
          <w:sz w:val="28"/>
          <w:szCs w:val="28"/>
          <w:u w:val="single"/>
        </w:rPr>
      </w:pPr>
      <w:hyperlink r:id="rId20" w:history="1">
        <w:r w:rsidRPr="00101D8D">
          <w:rPr>
            <w:rStyle w:val="Hyperlink"/>
            <w:rFonts w:ascii="Times New Roman" w:hAnsi="Times New Roman" w:cs="Times New Roman"/>
            <w:sz w:val="28"/>
            <w:szCs w:val="28"/>
          </w:rPr>
          <w:t>https://aishe.gov.in/aishe/viewDocument.action;jsessionid=88FD1CA52AFA9B32B2136DA9E4124E93.n3?documentId=196</w:t>
        </w:r>
      </w:hyperlink>
    </w:p>
    <w:p w:rsidR="00177B63" w:rsidRDefault="00177B63" w:rsidP="000541BA">
      <w:pPr>
        <w:rPr>
          <w:rFonts w:ascii="Times New Roman" w:hAnsi="Times New Roman" w:cs="Times New Roman"/>
          <w:sz w:val="28"/>
          <w:szCs w:val="28"/>
          <w:u w:val="single"/>
        </w:rPr>
      </w:pPr>
      <w:hyperlink r:id="rId21" w:history="1">
        <w:r w:rsidRPr="00101D8D">
          <w:rPr>
            <w:rStyle w:val="Hyperlink"/>
            <w:rFonts w:ascii="Times New Roman" w:hAnsi="Times New Roman" w:cs="Times New Roman"/>
            <w:sz w:val="28"/>
            <w:szCs w:val="28"/>
          </w:rPr>
          <w:t>https://aishe.gov.in/aishe/viewDocument.action;jsessionid=88FD1CA52AFA9B32B2136DA9E4124E93.n3?documentId=206</w:t>
        </w:r>
      </w:hyperlink>
    </w:p>
    <w:p w:rsidR="00177B63" w:rsidRDefault="00177B63" w:rsidP="000541BA">
      <w:pPr>
        <w:rPr>
          <w:rFonts w:ascii="Times New Roman" w:hAnsi="Times New Roman" w:cs="Times New Roman"/>
          <w:sz w:val="28"/>
          <w:szCs w:val="28"/>
          <w:u w:val="single"/>
        </w:rPr>
      </w:pPr>
      <w:hyperlink r:id="rId22" w:history="1">
        <w:r w:rsidRPr="00101D8D">
          <w:rPr>
            <w:rStyle w:val="Hyperlink"/>
            <w:rFonts w:ascii="Times New Roman" w:hAnsi="Times New Roman" w:cs="Times New Roman"/>
            <w:sz w:val="28"/>
            <w:szCs w:val="28"/>
          </w:rPr>
          <w:t>https://aishe.gov.in/aishe/viewDocument.action;jsessionid=88FD1CA52AFA9B32B2136DA9E4124E93.n3?documentId=227</w:t>
        </w:r>
      </w:hyperlink>
    </w:p>
    <w:p w:rsidR="00177B63" w:rsidRDefault="00177B63" w:rsidP="000541BA">
      <w:pPr>
        <w:rPr>
          <w:rFonts w:ascii="Times New Roman" w:hAnsi="Times New Roman" w:cs="Times New Roman"/>
          <w:sz w:val="28"/>
          <w:szCs w:val="28"/>
          <w:u w:val="single"/>
        </w:rPr>
      </w:pPr>
      <w:hyperlink r:id="rId23" w:history="1">
        <w:r w:rsidRPr="00101D8D">
          <w:rPr>
            <w:rStyle w:val="Hyperlink"/>
            <w:rFonts w:ascii="Times New Roman" w:hAnsi="Times New Roman" w:cs="Times New Roman"/>
            <w:sz w:val="28"/>
            <w:szCs w:val="28"/>
          </w:rPr>
          <w:t>https://aishe.gov.in/aishe/viewDocument.action;jsessionid=88FD1CA52AFA9B32B2136DA9E4124E93.n3?documentId=239</w:t>
        </w:r>
      </w:hyperlink>
    </w:p>
    <w:p w:rsidR="00177B63" w:rsidRDefault="00C666E7" w:rsidP="000541BA">
      <w:pPr>
        <w:rPr>
          <w:rFonts w:ascii="Times New Roman" w:hAnsi="Times New Roman" w:cs="Times New Roman"/>
          <w:sz w:val="28"/>
          <w:szCs w:val="28"/>
          <w:u w:val="single"/>
        </w:rPr>
      </w:pPr>
      <w:hyperlink r:id="rId24" w:history="1">
        <w:r w:rsidRPr="00101D8D">
          <w:rPr>
            <w:rStyle w:val="Hyperlink"/>
            <w:rFonts w:ascii="Times New Roman" w:hAnsi="Times New Roman" w:cs="Times New Roman"/>
            <w:sz w:val="28"/>
            <w:szCs w:val="28"/>
          </w:rPr>
          <w:t>https://aishe.gov.in/aishe/viewDocument.action;jsessionid=88FD1CA52AFA9B32B2136DA9E4124E93.n3?documentId=245</w:t>
        </w:r>
      </w:hyperlink>
    </w:p>
    <w:p w:rsidR="00C666E7" w:rsidRDefault="00C666E7" w:rsidP="000541BA">
      <w:pPr>
        <w:rPr>
          <w:rFonts w:ascii="Times New Roman" w:hAnsi="Times New Roman" w:cs="Times New Roman"/>
          <w:sz w:val="28"/>
          <w:szCs w:val="28"/>
          <w:u w:val="single"/>
        </w:rPr>
      </w:pPr>
      <w:hyperlink r:id="rId25" w:history="1">
        <w:r w:rsidRPr="00101D8D">
          <w:rPr>
            <w:rStyle w:val="Hyperlink"/>
            <w:rFonts w:ascii="Times New Roman" w:hAnsi="Times New Roman" w:cs="Times New Roman"/>
            <w:sz w:val="28"/>
            <w:szCs w:val="28"/>
          </w:rPr>
          <w:t>https://aishe.gov.in/aishe/viewDocument.action;jsessionid=88FD1CA52AFA9B32B2136DA9E4124E93.n3?documentId=262</w:t>
        </w:r>
      </w:hyperlink>
    </w:p>
    <w:p w:rsidR="00C666E7" w:rsidRDefault="00C666E7" w:rsidP="000541BA">
      <w:pPr>
        <w:rPr>
          <w:rFonts w:ascii="Times New Roman" w:hAnsi="Times New Roman" w:cs="Times New Roman"/>
          <w:sz w:val="28"/>
          <w:szCs w:val="28"/>
          <w:u w:val="single"/>
        </w:rPr>
      </w:pPr>
      <w:hyperlink r:id="rId26" w:history="1">
        <w:r w:rsidRPr="00101D8D">
          <w:rPr>
            <w:rStyle w:val="Hyperlink"/>
            <w:rFonts w:ascii="Times New Roman" w:hAnsi="Times New Roman" w:cs="Times New Roman"/>
            <w:sz w:val="28"/>
            <w:szCs w:val="28"/>
          </w:rPr>
          <w:t>https://aishe.gov.in/aishe/viewDocument.action;jsessionid=88FD1CA52AFA9B32B2136DA9E4124E93.n3?documentId=277</w:t>
        </w:r>
      </w:hyperlink>
    </w:p>
    <w:p w:rsidR="00C666E7" w:rsidRDefault="00C666E7" w:rsidP="000541BA">
      <w:pPr>
        <w:rPr>
          <w:rFonts w:ascii="Times New Roman" w:hAnsi="Times New Roman" w:cs="Times New Roman"/>
          <w:sz w:val="28"/>
          <w:szCs w:val="28"/>
          <w:u w:val="single"/>
        </w:rPr>
      </w:pPr>
      <w:hyperlink r:id="rId27" w:history="1">
        <w:r w:rsidRPr="00101D8D">
          <w:rPr>
            <w:rStyle w:val="Hyperlink"/>
            <w:rFonts w:ascii="Times New Roman" w:hAnsi="Times New Roman" w:cs="Times New Roman"/>
            <w:sz w:val="28"/>
            <w:szCs w:val="28"/>
          </w:rPr>
          <w:t>https://aishe.gov.in/aishe/viewDocument.action;jsessionid=88FD1CA52AFA9B32B2136DA9E4124E93.n3?documentId=322</w:t>
        </w:r>
      </w:hyperlink>
    </w:p>
    <w:p w:rsidR="00C666E7" w:rsidRPr="00177B63" w:rsidRDefault="00C666E7" w:rsidP="000541BA">
      <w:pPr>
        <w:rPr>
          <w:rFonts w:ascii="Times New Roman" w:hAnsi="Times New Roman" w:cs="Times New Roman"/>
          <w:sz w:val="28"/>
          <w:szCs w:val="28"/>
          <w:u w:val="single"/>
        </w:rPr>
      </w:pPr>
    </w:p>
    <w:sectPr w:rsidR="00C666E7" w:rsidRPr="00177B63" w:rsidSect="00C5529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490"/>
    <w:multiLevelType w:val="multilevel"/>
    <w:tmpl w:val="606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7B109F"/>
    <w:multiLevelType w:val="multilevel"/>
    <w:tmpl w:val="9BF4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9B76EA"/>
    <w:multiLevelType w:val="multilevel"/>
    <w:tmpl w:val="79C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300182"/>
    <w:multiLevelType w:val="multilevel"/>
    <w:tmpl w:val="ED36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EC05E9"/>
    <w:multiLevelType w:val="multilevel"/>
    <w:tmpl w:val="F1DA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4D255B"/>
    <w:multiLevelType w:val="multilevel"/>
    <w:tmpl w:val="9EB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69"/>
    <w:rsid w:val="000541BA"/>
    <w:rsid w:val="00177B63"/>
    <w:rsid w:val="002479C1"/>
    <w:rsid w:val="00454769"/>
    <w:rsid w:val="005060D2"/>
    <w:rsid w:val="007D4694"/>
    <w:rsid w:val="007E7E6B"/>
    <w:rsid w:val="008160AC"/>
    <w:rsid w:val="009440A2"/>
    <w:rsid w:val="00967BA5"/>
    <w:rsid w:val="00C5529C"/>
    <w:rsid w:val="00C666E7"/>
    <w:rsid w:val="00D77ED9"/>
    <w:rsid w:val="00D93C32"/>
    <w:rsid w:val="00EF4584"/>
    <w:rsid w:val="00F5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607DF-69ED-4DED-8669-946BBD86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62223">
      <w:bodyDiv w:val="1"/>
      <w:marLeft w:val="0"/>
      <w:marRight w:val="0"/>
      <w:marTop w:val="0"/>
      <w:marBottom w:val="0"/>
      <w:divBdr>
        <w:top w:val="none" w:sz="0" w:space="0" w:color="auto"/>
        <w:left w:val="none" w:sz="0" w:space="0" w:color="auto"/>
        <w:bottom w:val="none" w:sz="0" w:space="0" w:color="auto"/>
        <w:right w:val="none" w:sz="0" w:space="0" w:color="auto"/>
      </w:divBdr>
    </w:div>
    <w:div w:id="313031569">
      <w:bodyDiv w:val="1"/>
      <w:marLeft w:val="0"/>
      <w:marRight w:val="0"/>
      <w:marTop w:val="0"/>
      <w:marBottom w:val="0"/>
      <w:divBdr>
        <w:top w:val="none" w:sz="0" w:space="0" w:color="auto"/>
        <w:left w:val="none" w:sz="0" w:space="0" w:color="auto"/>
        <w:bottom w:val="none" w:sz="0" w:space="0" w:color="auto"/>
        <w:right w:val="none" w:sz="0" w:space="0" w:color="auto"/>
      </w:divBdr>
    </w:div>
    <w:div w:id="608320952">
      <w:bodyDiv w:val="1"/>
      <w:marLeft w:val="0"/>
      <w:marRight w:val="0"/>
      <w:marTop w:val="0"/>
      <w:marBottom w:val="0"/>
      <w:divBdr>
        <w:top w:val="none" w:sz="0" w:space="0" w:color="auto"/>
        <w:left w:val="none" w:sz="0" w:space="0" w:color="auto"/>
        <w:bottom w:val="none" w:sz="0" w:space="0" w:color="auto"/>
        <w:right w:val="none" w:sz="0" w:space="0" w:color="auto"/>
      </w:divBdr>
    </w:div>
    <w:div w:id="742458556">
      <w:bodyDiv w:val="1"/>
      <w:marLeft w:val="0"/>
      <w:marRight w:val="0"/>
      <w:marTop w:val="0"/>
      <w:marBottom w:val="0"/>
      <w:divBdr>
        <w:top w:val="none" w:sz="0" w:space="0" w:color="auto"/>
        <w:left w:val="none" w:sz="0" w:space="0" w:color="auto"/>
        <w:bottom w:val="none" w:sz="0" w:space="0" w:color="auto"/>
        <w:right w:val="none" w:sz="0" w:space="0" w:color="auto"/>
      </w:divBdr>
    </w:div>
    <w:div w:id="1717587995">
      <w:bodyDiv w:val="1"/>
      <w:marLeft w:val="0"/>
      <w:marRight w:val="0"/>
      <w:marTop w:val="0"/>
      <w:marBottom w:val="0"/>
      <w:divBdr>
        <w:top w:val="none" w:sz="0" w:space="0" w:color="auto"/>
        <w:left w:val="none" w:sz="0" w:space="0" w:color="auto"/>
        <w:bottom w:val="none" w:sz="0" w:space="0" w:color="auto"/>
        <w:right w:val="none" w:sz="0" w:space="0" w:color="auto"/>
      </w:divBdr>
    </w:div>
    <w:div w:id="1729381018">
      <w:bodyDiv w:val="1"/>
      <w:marLeft w:val="0"/>
      <w:marRight w:val="0"/>
      <w:marTop w:val="0"/>
      <w:marBottom w:val="0"/>
      <w:divBdr>
        <w:top w:val="none" w:sz="0" w:space="0" w:color="auto"/>
        <w:left w:val="none" w:sz="0" w:space="0" w:color="auto"/>
        <w:bottom w:val="none" w:sz="0" w:space="0" w:color="auto"/>
        <w:right w:val="none" w:sz="0" w:space="0" w:color="auto"/>
      </w:divBdr>
    </w:div>
    <w:div w:id="21450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heebox.com/assets/pdf/ISR_Report_2015.pdf" TargetMode="External"/><Relationship Id="rId18" Type="http://schemas.openxmlformats.org/officeDocument/2006/relationships/hyperlink" Target="https://wheebox.com/assets/pdf/ISR_Report_2020.pdf" TargetMode="External"/><Relationship Id="rId26" Type="http://schemas.openxmlformats.org/officeDocument/2006/relationships/hyperlink" Target="https://aishe.gov.in/aishe/viewDocument.action;jsessionid=88FD1CA52AFA9B32B2136DA9E4124E93.n3?documentId=277" TargetMode="External"/><Relationship Id="rId3" Type="http://schemas.openxmlformats.org/officeDocument/2006/relationships/settings" Target="settings.xml"/><Relationship Id="rId21" Type="http://schemas.openxmlformats.org/officeDocument/2006/relationships/hyperlink" Target="https://aishe.gov.in/aishe/viewDocument.action;jsessionid=88FD1CA52AFA9B32B2136DA9E4124E93.n3?documentId=206" TargetMode="External"/><Relationship Id="rId7" Type="http://schemas.openxmlformats.org/officeDocument/2006/relationships/image" Target="media/image3.png"/><Relationship Id="rId12" Type="http://schemas.openxmlformats.org/officeDocument/2006/relationships/hyperlink" Target="https://wheebox.com/assets/pdf/ISR_Report_2014.pdf" TargetMode="External"/><Relationship Id="rId17" Type="http://schemas.openxmlformats.org/officeDocument/2006/relationships/hyperlink" Target="https://wheebox.com/assets/pdf/ISR_Report_2019.pdf" TargetMode="External"/><Relationship Id="rId25" Type="http://schemas.openxmlformats.org/officeDocument/2006/relationships/hyperlink" Target="https://aishe.gov.in/aishe/viewDocument.action;jsessionid=88FD1CA52AFA9B32B2136DA9E4124E93.n3?documentId=262" TargetMode="External"/><Relationship Id="rId2" Type="http://schemas.openxmlformats.org/officeDocument/2006/relationships/styles" Target="styles.xml"/><Relationship Id="rId16" Type="http://schemas.openxmlformats.org/officeDocument/2006/relationships/hyperlink" Target="https://wheebox.com/assets/pdf/ISR_Report_2018.pdf" TargetMode="External"/><Relationship Id="rId20" Type="http://schemas.openxmlformats.org/officeDocument/2006/relationships/hyperlink" Target="https://aishe.gov.in/aishe/viewDocument.action;jsessionid=88FD1CA52AFA9B32B2136DA9E4124E93.n3?documentId=19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ishe.gov.in/aishe/viewDocument.action;jsessionid=88FD1CA52AFA9B32B2136DA9E4124E93.n3?documentId=245" TargetMode="External"/><Relationship Id="rId5" Type="http://schemas.openxmlformats.org/officeDocument/2006/relationships/image" Target="media/image1.jpeg"/><Relationship Id="rId15" Type="http://schemas.openxmlformats.org/officeDocument/2006/relationships/hyperlink" Target="https://wheebox.com/assets/pdf/ISR_Report_2017.pdf" TargetMode="External"/><Relationship Id="rId23" Type="http://schemas.openxmlformats.org/officeDocument/2006/relationships/hyperlink" Target="https://aishe.gov.in/aishe/viewDocument.action;jsessionid=88FD1CA52AFA9B32B2136DA9E4124E93.n3?documentId=239"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aishe.gov.in/aishe/viewDocument.action;jsessionid=88FD1CA52AFA9B32B2136DA9E4124E93.n3?documentId=19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heebox.com/assets/pdf/ISR_Report_2016.pdf" TargetMode="External"/><Relationship Id="rId22" Type="http://schemas.openxmlformats.org/officeDocument/2006/relationships/hyperlink" Target="https://aishe.gov.in/aishe/viewDocument.action;jsessionid=88FD1CA52AFA9B32B2136DA9E4124E93.n3?documentId=227" TargetMode="External"/><Relationship Id="rId27" Type="http://schemas.openxmlformats.org/officeDocument/2006/relationships/hyperlink" Target="https://aishe.gov.in/aishe/viewDocument.action;jsessionid=88FD1CA52AFA9B32B2136DA9E4124E93.n3?documentId=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15</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2023-05-14T12:42:00Z</dcterms:created>
  <dcterms:modified xsi:type="dcterms:W3CDTF">2023-05-15T13:23:00Z</dcterms:modified>
</cp:coreProperties>
</file>