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33" w:type="dxa"/>
        <w:jc w:val="center"/>
        <w:tblCellMar>
          <w:left w:w="0" w:type="dxa"/>
          <w:right w:w="0" w:type="dxa"/>
        </w:tblCellMar>
        <w:tblLook w:val="04A0" w:firstRow="1" w:lastRow="0" w:firstColumn="1" w:lastColumn="0" w:noHBand="0" w:noVBand="1"/>
      </w:tblPr>
      <w:tblGrid>
        <w:gridCol w:w="9033"/>
      </w:tblGrid>
      <w:tr w:rsidR="00953E57" w14:paraId="5CC6B149" w14:textId="77777777" w:rsidTr="00953E57">
        <w:trPr>
          <w:jc w:val="center"/>
        </w:trPr>
        <w:tc>
          <w:tcPr>
            <w:tcW w:w="5000" w:type="pct"/>
            <w:tcMar>
              <w:top w:w="15" w:type="dxa"/>
              <w:left w:w="15" w:type="dxa"/>
              <w:bottom w:w="15" w:type="dxa"/>
              <w:right w:w="15" w:type="dxa"/>
            </w:tcMar>
            <w:vAlign w:val="center"/>
            <w:hideMark/>
          </w:tcPr>
          <w:tbl>
            <w:tblPr>
              <w:tblW w:w="9003" w:type="dxa"/>
              <w:jc w:val="center"/>
              <w:shd w:val="clear" w:color="auto" w:fill="FFFFFF"/>
              <w:tblCellMar>
                <w:left w:w="0" w:type="dxa"/>
                <w:right w:w="0" w:type="dxa"/>
              </w:tblCellMar>
              <w:tblLook w:val="04A0" w:firstRow="1" w:lastRow="0" w:firstColumn="1" w:lastColumn="0" w:noHBand="0" w:noVBand="1"/>
            </w:tblPr>
            <w:tblGrid>
              <w:gridCol w:w="9003"/>
            </w:tblGrid>
            <w:tr w:rsidR="00953E57" w14:paraId="43BE7581" w14:textId="77777777">
              <w:trPr>
                <w:jc w:val="center"/>
              </w:trPr>
              <w:tc>
                <w:tcPr>
                  <w:tcW w:w="5000" w:type="pct"/>
                  <w:shd w:val="clear" w:color="auto" w:fill="ECECEC"/>
                  <w:tcMar>
                    <w:top w:w="225" w:type="dxa"/>
                    <w:left w:w="450" w:type="dxa"/>
                    <w:bottom w:w="225" w:type="dxa"/>
                    <w:right w:w="225" w:type="dxa"/>
                  </w:tcMar>
                  <w:vAlign w:val="center"/>
                  <w:hideMark/>
                </w:tcPr>
                <w:p w14:paraId="4A308DD8" w14:textId="77777777" w:rsidR="00953E57" w:rsidRDefault="00953E57">
                  <w:pPr>
                    <w:rPr>
                      <w:rFonts w:ascii="Arial" w:hAnsi="Arial" w:cs="Arial"/>
                      <w:color w:val="000000"/>
                    </w:rPr>
                  </w:pPr>
                  <w:r>
                    <w:rPr>
                      <w:rFonts w:ascii="Arial" w:hAnsi="Arial" w:cs="Arial"/>
                      <w:b/>
                      <w:bCs/>
                      <w:color w:val="000000"/>
                      <w:sz w:val="21"/>
                      <w:szCs w:val="21"/>
                    </w:rPr>
                    <w:t>For Internal Use Only</w:t>
                  </w:r>
                </w:p>
              </w:tc>
            </w:tr>
            <w:tr w:rsidR="00953E57" w14:paraId="545B00C7" w14:textId="77777777">
              <w:trPr>
                <w:jc w:val="center"/>
              </w:trPr>
              <w:tc>
                <w:tcPr>
                  <w:tcW w:w="0" w:type="auto"/>
                  <w:shd w:val="clear" w:color="auto" w:fill="FFFFFF"/>
                  <w:tcMar>
                    <w:top w:w="225" w:type="dxa"/>
                    <w:left w:w="450" w:type="dxa"/>
                    <w:bottom w:w="0" w:type="dxa"/>
                    <w:right w:w="450" w:type="dxa"/>
                  </w:tcMar>
                  <w:vAlign w:val="center"/>
                  <w:hideMark/>
                </w:tcPr>
                <w:p w14:paraId="7CAEAE20" w14:textId="29C27D8D" w:rsidR="00953E57" w:rsidRDefault="00953E57">
                  <w:pPr>
                    <w:rPr>
                      <w:rFonts w:ascii="Arial" w:hAnsi="Arial" w:cs="Arial"/>
                    </w:rPr>
                  </w:pPr>
                  <w:r>
                    <w:rPr>
                      <w:rFonts w:ascii="Arial" w:hAnsi="Arial" w:cs="Arial"/>
                      <w:noProof/>
                      <w:color w:val="005072"/>
                      <w:bdr w:val="none" w:sz="0" w:space="0" w:color="auto" w:frame="1"/>
                    </w:rPr>
                    <w:drawing>
                      <wp:inline distT="0" distB="0" distL="0" distR="0" wp14:anchorId="211F673A" wp14:editId="45961578">
                        <wp:extent cx="1897380" cy="579120"/>
                        <wp:effectExtent l="0" t="0" r="7620" b="0"/>
                        <wp:docPr id="7" name="Picture 7" descr="Hexagon Log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xagon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7380" cy="579120"/>
                                </a:xfrm>
                                <a:prstGeom prst="rect">
                                  <a:avLst/>
                                </a:prstGeom>
                                <a:noFill/>
                                <a:ln>
                                  <a:noFill/>
                                </a:ln>
                              </pic:spPr>
                            </pic:pic>
                          </a:graphicData>
                        </a:graphic>
                      </wp:inline>
                    </w:drawing>
                  </w:r>
                </w:p>
              </w:tc>
            </w:tr>
            <w:tr w:rsidR="00953E57" w14:paraId="4737EBCB" w14:textId="77777777">
              <w:trPr>
                <w:jc w:val="center"/>
              </w:trPr>
              <w:tc>
                <w:tcPr>
                  <w:tcW w:w="0" w:type="auto"/>
                  <w:shd w:val="clear" w:color="auto" w:fill="FFFFFF"/>
                  <w:tcMar>
                    <w:top w:w="225" w:type="dxa"/>
                    <w:left w:w="450" w:type="dxa"/>
                    <w:bottom w:w="0" w:type="dxa"/>
                    <w:right w:w="450" w:type="dxa"/>
                  </w:tcMar>
                  <w:vAlign w:val="center"/>
                  <w:hideMark/>
                </w:tcPr>
                <w:p w14:paraId="4239B593" w14:textId="77777777" w:rsidR="00953E57" w:rsidRDefault="00953E57">
                  <w:pPr>
                    <w:pStyle w:val="Heading2"/>
                    <w:spacing w:before="0" w:beforeAutospacing="0" w:after="0" w:afterAutospacing="0"/>
                    <w:jc w:val="right"/>
                    <w:rPr>
                      <w:rFonts w:eastAsia="Times New Roman"/>
                    </w:rPr>
                  </w:pPr>
                  <w:proofErr w:type="spellStart"/>
                  <w:r>
                    <w:rPr>
                      <w:rFonts w:eastAsia="Times New Roman"/>
                      <w:color w:val="000000"/>
                    </w:rPr>
                    <w:t>Winnews</w:t>
                  </w:r>
                  <w:proofErr w:type="spellEnd"/>
                  <w:r>
                    <w:rPr>
                      <w:rFonts w:eastAsia="Times New Roman"/>
                      <w:color w:val="000000"/>
                    </w:rPr>
                    <w:t xml:space="preserve"> EMIA</w:t>
                  </w:r>
                </w:p>
                <w:p w14:paraId="3AF795BB" w14:textId="77777777" w:rsidR="00953E57" w:rsidRDefault="00953E57">
                  <w:pPr>
                    <w:spacing w:line="240" w:lineRule="atLeast"/>
                    <w:jc w:val="right"/>
                    <w:rPr>
                      <w:rFonts w:ascii="Arial" w:hAnsi="Arial" w:cs="Arial"/>
                      <w:sz w:val="18"/>
                      <w:szCs w:val="18"/>
                    </w:rPr>
                  </w:pPr>
                  <w:r>
                    <w:rPr>
                      <w:rFonts w:ascii="Arial" w:hAnsi="Arial" w:cs="Arial"/>
                      <w:color w:val="000000"/>
                      <w:sz w:val="24"/>
                      <w:szCs w:val="24"/>
                    </w:rPr>
                    <w:t>Oil &amp; Natural Gas Corporation</w:t>
                  </w:r>
                </w:p>
              </w:tc>
            </w:tr>
            <w:tr w:rsidR="00953E57" w14:paraId="6E1584F2" w14:textId="77777777">
              <w:trPr>
                <w:trHeight w:val="225"/>
                <w:jc w:val="center"/>
              </w:trPr>
              <w:tc>
                <w:tcPr>
                  <w:tcW w:w="0" w:type="auto"/>
                  <w:shd w:val="clear" w:color="auto" w:fill="FFFFFF"/>
                  <w:tcMar>
                    <w:top w:w="225" w:type="dxa"/>
                    <w:left w:w="0" w:type="dxa"/>
                    <w:bottom w:w="0" w:type="dxa"/>
                    <w:right w:w="0" w:type="dxa"/>
                  </w:tcMar>
                  <w:vAlign w:val="bottom"/>
                  <w:hideMark/>
                </w:tcPr>
                <w:p w14:paraId="475DA1D0" w14:textId="5E8AB358" w:rsidR="00953E57" w:rsidRDefault="00953E57">
                  <w:pPr>
                    <w:rPr>
                      <w:rFonts w:ascii="Arial" w:hAnsi="Arial" w:cs="Arial"/>
                    </w:rPr>
                  </w:pPr>
                  <w:r>
                    <w:rPr>
                      <w:rFonts w:ascii="Arial" w:hAnsi="Arial" w:cs="Arial"/>
                      <w:noProof/>
                      <w:color w:val="000000"/>
                    </w:rPr>
                    <w:drawing>
                      <wp:inline distT="0" distB="0" distL="0" distR="0" wp14:anchorId="4CC7CFFF" wp14:editId="3D78CE2F">
                        <wp:extent cx="5707380" cy="144780"/>
                        <wp:effectExtent l="0" t="0" r="7620" b="7620"/>
                        <wp:docPr id="6" name="Picture 6" descr="artwork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workb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7380" cy="144780"/>
                                </a:xfrm>
                                <a:prstGeom prst="rect">
                                  <a:avLst/>
                                </a:prstGeom>
                                <a:noFill/>
                                <a:ln>
                                  <a:noFill/>
                                </a:ln>
                              </pic:spPr>
                            </pic:pic>
                          </a:graphicData>
                        </a:graphic>
                      </wp:inline>
                    </w:drawing>
                  </w:r>
                </w:p>
              </w:tc>
            </w:tr>
            <w:tr w:rsidR="00953E57" w14:paraId="41B718E2" w14:textId="77777777">
              <w:trPr>
                <w:jc w:val="center"/>
              </w:trPr>
              <w:tc>
                <w:tcPr>
                  <w:tcW w:w="0" w:type="auto"/>
                  <w:shd w:val="clear" w:color="auto" w:fill="FFFFFF"/>
                  <w:tcMar>
                    <w:top w:w="360" w:type="dxa"/>
                    <w:left w:w="450" w:type="dxa"/>
                    <w:bottom w:w="360" w:type="dxa"/>
                    <w:right w:w="450" w:type="dxa"/>
                  </w:tcMar>
                  <w:vAlign w:val="center"/>
                </w:tcPr>
                <w:p w14:paraId="4A9A36B1" w14:textId="77777777" w:rsidR="00953E57" w:rsidRDefault="00953E57">
                  <w:pPr>
                    <w:spacing w:after="240" w:line="240" w:lineRule="atLeast"/>
                    <w:rPr>
                      <w:rFonts w:ascii="Arial" w:hAnsi="Arial" w:cs="Arial"/>
                      <w:sz w:val="18"/>
                      <w:szCs w:val="18"/>
                    </w:rPr>
                  </w:pPr>
                  <w:r>
                    <w:rPr>
                      <w:rFonts w:ascii="Arial" w:hAnsi="Arial" w:cs="Arial"/>
                      <w:b/>
                      <w:bCs/>
                      <w:color w:val="000000"/>
                      <w:sz w:val="18"/>
                      <w:szCs w:val="18"/>
                    </w:rPr>
                    <w:t xml:space="preserve">Oil &amp; Natural Gas Corporation Ltd Chooses Hexagon as the Project Handover Solution </w:t>
                  </w:r>
                </w:p>
                <w:p w14:paraId="19310B08" w14:textId="61C1F1E0" w:rsidR="00953E57" w:rsidRDefault="00953E57">
                  <w:pPr>
                    <w:spacing w:after="240" w:line="240" w:lineRule="atLeast"/>
                    <w:rPr>
                      <w:rFonts w:ascii="Arial" w:hAnsi="Arial" w:cs="Arial"/>
                      <w:color w:val="000000"/>
                      <w:sz w:val="18"/>
                      <w:szCs w:val="18"/>
                    </w:rPr>
                  </w:pPr>
                  <w:r>
                    <w:rPr>
                      <w:noProof/>
                    </w:rPr>
                    <w:drawing>
                      <wp:anchor distT="0" distB="0" distL="114300" distR="114300" simplePos="0" relativeHeight="251658240" behindDoc="1" locked="0" layoutInCell="1" allowOverlap="1" wp14:anchorId="28C82425" wp14:editId="58CD945F">
                        <wp:simplePos x="0" y="0"/>
                        <wp:positionH relativeFrom="column">
                          <wp:posOffset>0</wp:posOffset>
                        </wp:positionH>
                        <wp:positionV relativeFrom="paragraph">
                          <wp:posOffset>-8890</wp:posOffset>
                        </wp:positionV>
                        <wp:extent cx="951230" cy="951230"/>
                        <wp:effectExtent l="0" t="0" r="1270" b="1270"/>
                        <wp:wrapTight wrapText="bothSides">
                          <wp:wrapPolygon edited="0">
                            <wp:start x="0" y="0"/>
                            <wp:lineTo x="0" y="21196"/>
                            <wp:lineTo x="21196" y="21196"/>
                            <wp:lineTo x="211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pic:spPr>
                            </pic:pic>
                          </a:graphicData>
                        </a:graphic>
                        <wp14:sizeRelH relativeFrom="margin">
                          <wp14:pctWidth>0</wp14:pctWidth>
                        </wp14:sizeRelH>
                        <wp14:sizeRelV relativeFrom="margin">
                          <wp14:pctHeight>0</wp14:pctHeight>
                        </wp14:sizeRelV>
                      </wp:anchor>
                    </w:drawing>
                  </w:r>
                  <w:hyperlink r:id="rId8" w:history="1">
                    <w:r>
                      <w:rPr>
                        <w:rStyle w:val="Hyperlink"/>
                        <w:sz w:val="18"/>
                        <w:szCs w:val="18"/>
                      </w:rPr>
                      <w:t>Oil &amp; Natural Gas Corporation Ltd</w:t>
                    </w:r>
                  </w:hyperlink>
                  <w:r>
                    <w:rPr>
                      <w:rFonts w:ascii="Arial" w:hAnsi="Arial" w:cs="Arial"/>
                      <w:color w:val="000000"/>
                      <w:sz w:val="18"/>
                      <w:szCs w:val="18"/>
                    </w:rPr>
                    <w:t xml:space="preserve"> (ONGC) is the largest crude oil and natural gas company in India, contributing around 75% to Indian domestic production. The company has purchased Hexagon solutions for the value of </w:t>
                  </w:r>
                  <w:r>
                    <w:rPr>
                      <w:rFonts w:ascii="Arial" w:hAnsi="Arial" w:cs="Arial"/>
                      <w:b/>
                      <w:bCs/>
                      <w:color w:val="000000"/>
                      <w:sz w:val="18"/>
                      <w:szCs w:val="18"/>
                    </w:rPr>
                    <w:t>470,000€</w:t>
                  </w:r>
                  <w:r>
                    <w:rPr>
                      <w:rFonts w:ascii="Arial" w:hAnsi="Arial" w:cs="Arial"/>
                      <w:color w:val="000000"/>
                      <w:sz w:val="18"/>
                      <w:szCs w:val="18"/>
                    </w:rPr>
                    <w:t xml:space="preserve"> to standardize handovers. The purchased solutions include a variety of Hexagon solutions, such as Intergraph Smart</w:t>
                  </w:r>
                  <w:r>
                    <w:rPr>
                      <w:rFonts w:ascii="Arial" w:hAnsi="Arial" w:cs="Arial"/>
                      <w:color w:val="000000"/>
                      <w:sz w:val="18"/>
                      <w:szCs w:val="18"/>
                      <w:vertAlign w:val="superscript"/>
                    </w:rPr>
                    <w:t>®</w:t>
                  </w:r>
                  <w:r>
                    <w:rPr>
                      <w:rFonts w:ascii="Arial" w:hAnsi="Arial" w:cs="Arial"/>
                      <w:color w:val="000000"/>
                      <w:sz w:val="18"/>
                      <w:szCs w:val="18"/>
                    </w:rPr>
                    <w:t xml:space="preserve"> 3D Designer, Intergraph Smart P&amp;ID, Intergraph Smart Instrumentation, Intergraph Smart Electrical, </w:t>
                  </w:r>
                  <w:proofErr w:type="spellStart"/>
                  <w:r>
                    <w:rPr>
                      <w:rFonts w:ascii="Arial" w:hAnsi="Arial" w:cs="Arial"/>
                      <w:color w:val="000000"/>
                      <w:sz w:val="18"/>
                      <w:szCs w:val="18"/>
                    </w:rPr>
                    <w:t>SmartPlant</w:t>
                  </w:r>
                  <w:proofErr w:type="spellEnd"/>
                  <w:r>
                    <w:rPr>
                      <w:rFonts w:ascii="Arial" w:hAnsi="Arial" w:cs="Arial"/>
                      <w:color w:val="000000"/>
                      <w:sz w:val="18"/>
                      <w:szCs w:val="18"/>
                      <w:vertAlign w:val="superscript"/>
                    </w:rPr>
                    <w:t>®</w:t>
                  </w:r>
                  <w:r>
                    <w:rPr>
                      <w:rFonts w:ascii="Arial" w:hAnsi="Arial" w:cs="Arial"/>
                      <w:color w:val="000000"/>
                      <w:sz w:val="18"/>
                      <w:szCs w:val="18"/>
                    </w:rPr>
                    <w:t xml:space="preserve"> Foundation Server &amp; User Licenses, CAESAR II</w:t>
                  </w:r>
                  <w:r>
                    <w:rPr>
                      <w:rFonts w:ascii="Arial" w:hAnsi="Arial" w:cs="Arial"/>
                      <w:color w:val="000000"/>
                      <w:sz w:val="18"/>
                      <w:szCs w:val="18"/>
                      <w:vertAlign w:val="superscript"/>
                    </w:rPr>
                    <w:t>®</w:t>
                  </w:r>
                  <w:r>
                    <w:rPr>
                      <w:rFonts w:ascii="Arial" w:hAnsi="Arial" w:cs="Arial"/>
                      <w:color w:val="000000"/>
                      <w:sz w:val="18"/>
                      <w:szCs w:val="18"/>
                    </w:rPr>
                    <w:t>, PV Elite</w:t>
                  </w:r>
                  <w:r>
                    <w:rPr>
                      <w:rFonts w:ascii="Arial" w:hAnsi="Arial" w:cs="Arial"/>
                      <w:color w:val="000000"/>
                      <w:sz w:val="18"/>
                      <w:szCs w:val="18"/>
                      <w:vertAlign w:val="superscript"/>
                    </w:rPr>
                    <w:t>®</w:t>
                  </w:r>
                  <w:r>
                    <w:rPr>
                      <w:rFonts w:ascii="Arial" w:hAnsi="Arial" w:cs="Arial"/>
                      <w:color w:val="000000"/>
                      <w:sz w:val="18"/>
                      <w:szCs w:val="18"/>
                    </w:rPr>
                    <w:t>, and TANK</w:t>
                  </w:r>
                  <w:r>
                    <w:rPr>
                      <w:rFonts w:ascii="Arial" w:hAnsi="Arial" w:cs="Arial"/>
                      <w:color w:val="000000"/>
                      <w:sz w:val="18"/>
                      <w:szCs w:val="18"/>
                      <w:vertAlign w:val="superscript"/>
                    </w:rPr>
                    <w:t>®</w:t>
                  </w:r>
                  <w:r>
                    <w:rPr>
                      <w:rFonts w:ascii="Arial" w:hAnsi="Arial" w:cs="Arial"/>
                      <w:color w:val="000000"/>
                      <w:sz w:val="18"/>
                      <w:szCs w:val="18"/>
                    </w:rPr>
                    <w:t>.</w:t>
                  </w:r>
                </w:p>
                <w:p w14:paraId="0980E682" w14:textId="77777777" w:rsidR="00953E57" w:rsidRDefault="00953E57">
                  <w:pPr>
                    <w:spacing w:after="240" w:line="240" w:lineRule="atLeast"/>
                    <w:rPr>
                      <w:rFonts w:ascii="Arial" w:hAnsi="Arial" w:cs="Arial"/>
                      <w:color w:val="000000"/>
                      <w:sz w:val="18"/>
                      <w:szCs w:val="18"/>
                    </w:rPr>
                  </w:pPr>
                  <w:r>
                    <w:rPr>
                      <w:rFonts w:ascii="Arial" w:hAnsi="Arial" w:cs="Arial"/>
                      <w:color w:val="000000"/>
                      <w:sz w:val="18"/>
                      <w:szCs w:val="18"/>
                    </w:rPr>
                    <w:t>ONGC will be using Hexagon solutions to standardize the pre-feed data, such as templates, specs, seed files, and tag classifications, before handing over data to the contractors, either for green or brownfield projects. The company looked to improve information management, as previously the information was siloed, lacked standardization, and various software were used to manage data. ONGC expects Hexagon solutions to shorten turnaround time and quality of data from their detail engineering contractors while ensuring that the deliverables meet both their stated and unstated needs. The company also wishes to integrate the solutions to enable</w:t>
                  </w:r>
                  <w:r>
                    <w:rPr>
                      <w:rFonts w:ascii="Arial" w:hAnsi="Arial" w:cs="Arial"/>
                      <w:color w:val="00B050"/>
                      <w:sz w:val="18"/>
                      <w:szCs w:val="18"/>
                    </w:rPr>
                    <w:t xml:space="preserve"> </w:t>
                  </w:r>
                  <w:r>
                    <w:rPr>
                      <w:rFonts w:ascii="Arial" w:hAnsi="Arial" w:cs="Arial"/>
                      <w:color w:val="000000"/>
                      <w:sz w:val="18"/>
                      <w:szCs w:val="18"/>
                    </w:rPr>
                    <w:t>seamless information flow between the onshore assets and corporate teams.</w:t>
                  </w:r>
                </w:p>
                <w:p w14:paraId="3117D056" w14:textId="77777777" w:rsidR="00953E57" w:rsidRDefault="00953E57">
                  <w:pPr>
                    <w:spacing w:after="240" w:line="240" w:lineRule="atLeast"/>
                    <w:rPr>
                      <w:rFonts w:ascii="Arial" w:hAnsi="Arial" w:cs="Arial"/>
                      <w:color w:val="000000"/>
                      <w:sz w:val="18"/>
                      <w:szCs w:val="18"/>
                    </w:rPr>
                  </w:pPr>
                  <w:r>
                    <w:rPr>
                      <w:rFonts w:ascii="Arial" w:hAnsi="Arial" w:cs="Arial"/>
                      <w:color w:val="000000"/>
                      <w:sz w:val="18"/>
                      <w:szCs w:val="18"/>
                    </w:rPr>
                    <w:t xml:space="preserve">Moving forward, ONGC will mandate the usage of Hexagon solutions (design and </w:t>
                  </w:r>
                  <w:proofErr w:type="spellStart"/>
                  <w:r>
                    <w:rPr>
                      <w:rFonts w:ascii="Arial" w:hAnsi="Arial" w:cs="Arial"/>
                      <w:color w:val="000000"/>
                      <w:sz w:val="18"/>
                      <w:szCs w:val="18"/>
                    </w:rPr>
                    <w:t>SmartPlant</w:t>
                  </w:r>
                  <w:proofErr w:type="spellEnd"/>
                  <w:r>
                    <w:rPr>
                      <w:rFonts w:ascii="Arial" w:hAnsi="Arial" w:cs="Arial"/>
                      <w:color w:val="000000"/>
                      <w:sz w:val="18"/>
                      <w:szCs w:val="18"/>
                    </w:rPr>
                    <w:t xml:space="preserve"> Foundation) in all their upcoming projects. ONGC will be using Hexagon solutions in their Onshore Engineering Services Division, and all the collaboration will be done through ours </w:t>
                  </w:r>
                  <w:proofErr w:type="spellStart"/>
                  <w:r>
                    <w:rPr>
                      <w:rFonts w:ascii="Arial" w:hAnsi="Arial" w:cs="Arial"/>
                      <w:color w:val="000000"/>
                      <w:sz w:val="18"/>
                      <w:szCs w:val="18"/>
                    </w:rPr>
                    <w:t>olutions</w:t>
                  </w:r>
                  <w:proofErr w:type="spellEnd"/>
                  <w:r>
                    <w:rPr>
                      <w:rFonts w:ascii="Arial" w:hAnsi="Arial" w:cs="Arial"/>
                      <w:color w:val="000000"/>
                      <w:sz w:val="18"/>
                      <w:szCs w:val="18"/>
                    </w:rPr>
                    <w:t xml:space="preserve">. </w:t>
                  </w:r>
                </w:p>
                <w:p w14:paraId="79A0352D" w14:textId="77777777" w:rsidR="00953E57" w:rsidRDefault="00953E57">
                  <w:pPr>
                    <w:rPr>
                      <w:rFonts w:ascii="Arial" w:hAnsi="Arial" w:cs="Arial"/>
                      <w:color w:val="000000"/>
                      <w:sz w:val="18"/>
                      <w:szCs w:val="18"/>
                    </w:rPr>
                  </w:pPr>
                  <w:r>
                    <w:rPr>
                      <w:rFonts w:ascii="Arial" w:hAnsi="Arial" w:cs="Arial"/>
                      <w:color w:val="000000"/>
                      <w:sz w:val="18"/>
                      <w:szCs w:val="18"/>
                    </w:rPr>
                    <w:t xml:space="preserve">ONGC chose Hexagon over AVEVA as Hexagon has more robust design solutions that work seamlessly in an integrated manner. They also realized and were assured of the quality of Hexagon’s technical support and services capabilities. The company also saw Hexagon solutions as more future-proofed and stable when compared to AVEVA. ONGC saw our stability over AVEVA products, and the future path forward was stronger with Hexagon PPM solutions rather than AVEVA. </w:t>
                  </w:r>
                </w:p>
                <w:p w14:paraId="1224F98F" w14:textId="77777777" w:rsidR="00953E57" w:rsidRDefault="00953E57">
                  <w:pPr>
                    <w:spacing w:after="240" w:line="240" w:lineRule="atLeast"/>
                    <w:rPr>
                      <w:rFonts w:ascii="Arial" w:hAnsi="Arial" w:cs="Arial"/>
                      <w:sz w:val="18"/>
                      <w:szCs w:val="18"/>
                    </w:rPr>
                  </w:pPr>
                  <w:r>
                    <w:rPr>
                      <w:rFonts w:ascii="Arial" w:hAnsi="Arial" w:cs="Arial"/>
                      <w:color w:val="000000"/>
                      <w:sz w:val="18"/>
                      <w:szCs w:val="18"/>
                    </w:rPr>
                    <w:br/>
                    <w:t xml:space="preserve">This deal will enforce Hexagon’s position as the go-to-solution provider in the Indian Oil &amp; Gas market, as ONGC will mandate their contractors to handover the projects on the Hexagon platform in an integrated manner. For more information about the deal, please contact </w:t>
                  </w:r>
                  <w:hyperlink r:id="rId9" w:history="1">
                    <w:r>
                      <w:rPr>
                        <w:rStyle w:val="Hyperlink"/>
                        <w:sz w:val="18"/>
                        <w:szCs w:val="18"/>
                      </w:rPr>
                      <w:t xml:space="preserve">Rajat </w:t>
                    </w:r>
                    <w:proofErr w:type="spellStart"/>
                    <w:r>
                      <w:rPr>
                        <w:rStyle w:val="Hyperlink"/>
                        <w:sz w:val="18"/>
                        <w:szCs w:val="18"/>
                      </w:rPr>
                      <w:t>Tikku</w:t>
                    </w:r>
                    <w:proofErr w:type="spellEnd"/>
                  </w:hyperlink>
                  <w:r>
                    <w:rPr>
                      <w:rFonts w:ascii="Arial" w:hAnsi="Arial" w:cs="Arial"/>
                      <w:color w:val="000000"/>
                      <w:sz w:val="18"/>
                      <w:szCs w:val="18"/>
                    </w:rPr>
                    <w:t xml:space="preserve">. </w:t>
                  </w:r>
                </w:p>
                <w:p w14:paraId="2F86A051" w14:textId="77777777" w:rsidR="00953E57" w:rsidRDefault="00953E57">
                  <w:pPr>
                    <w:spacing w:after="240" w:line="240" w:lineRule="atLeast"/>
                    <w:rPr>
                      <w:rFonts w:ascii="Arial" w:hAnsi="Arial" w:cs="Arial"/>
                      <w:sz w:val="18"/>
                      <w:szCs w:val="18"/>
                    </w:rPr>
                  </w:pPr>
                  <w:r>
                    <w:rPr>
                      <w:rFonts w:ascii="Arial" w:hAnsi="Arial" w:cs="Arial"/>
                      <w:color w:val="000000"/>
                      <w:sz w:val="18"/>
                      <w:szCs w:val="18"/>
                    </w:rPr>
                    <w:t xml:space="preserve">This is a </w:t>
                  </w:r>
                  <w:r>
                    <w:rPr>
                      <w:rFonts w:ascii="Arial" w:hAnsi="Arial" w:cs="Arial"/>
                      <w:b/>
                      <w:bCs/>
                      <w:i/>
                      <w:iCs/>
                      <w:color w:val="000000"/>
                      <w:sz w:val="18"/>
                      <w:szCs w:val="18"/>
                    </w:rPr>
                    <w:t>CC</w:t>
                  </w:r>
                  <w:r>
                    <w:rPr>
                      <w:rFonts w:ascii="Arial" w:hAnsi="Arial" w:cs="Arial"/>
                      <w:color w:val="000000"/>
                      <w:sz w:val="18"/>
                      <w:szCs w:val="18"/>
                    </w:rPr>
                    <w:t xml:space="preserve"> deal; please see the deal type explanation below.</w:t>
                  </w:r>
                </w:p>
                <w:tbl>
                  <w:tblPr>
                    <w:tblW w:w="0" w:type="auto"/>
                    <w:tblCellMar>
                      <w:left w:w="0" w:type="dxa"/>
                      <w:right w:w="0" w:type="dxa"/>
                    </w:tblCellMar>
                    <w:tblLook w:val="04A0" w:firstRow="1" w:lastRow="0" w:firstColumn="1" w:lastColumn="0" w:noHBand="0" w:noVBand="1"/>
                  </w:tblPr>
                  <w:tblGrid>
                    <w:gridCol w:w="805"/>
                    <w:gridCol w:w="1605"/>
                    <w:gridCol w:w="361"/>
                    <w:gridCol w:w="3240"/>
                  </w:tblGrid>
                  <w:tr w:rsidR="00953E57" w14:paraId="733DC390" w14:textId="77777777">
                    <w:trPr>
                      <w:trHeight w:val="289"/>
                    </w:trPr>
                    <w:tc>
                      <w:tcPr>
                        <w:tcW w:w="805" w:type="dxa"/>
                        <w:tcBorders>
                          <w:top w:val="single" w:sz="8" w:space="0" w:color="4472C4"/>
                          <w:left w:val="single" w:sz="8" w:space="0" w:color="4472C4"/>
                          <w:bottom w:val="single" w:sz="8" w:space="0" w:color="4472C4"/>
                          <w:right w:val="nil"/>
                        </w:tcBorders>
                        <w:shd w:val="clear" w:color="auto" w:fill="92D050"/>
                        <w:tcMar>
                          <w:top w:w="0" w:type="dxa"/>
                          <w:left w:w="108" w:type="dxa"/>
                          <w:bottom w:w="0" w:type="dxa"/>
                          <w:right w:w="108" w:type="dxa"/>
                        </w:tcMar>
                      </w:tcPr>
                      <w:p w14:paraId="5AC11432" w14:textId="77777777" w:rsidR="00953E57" w:rsidRDefault="00953E57">
                        <w:pPr>
                          <w:pStyle w:val="Heading1"/>
                          <w:rPr>
                            <w:rFonts w:eastAsia="Times New Roman"/>
                            <w:b w:val="0"/>
                            <w:bCs w:val="0"/>
                            <w:color w:val="FFFFFF"/>
                            <w:sz w:val="20"/>
                            <w:szCs w:val="20"/>
                            <w:lang w:val="ru-RU" w:eastAsia="ru-RU"/>
                          </w:rPr>
                        </w:pPr>
                      </w:p>
                    </w:tc>
                    <w:tc>
                      <w:tcPr>
                        <w:tcW w:w="1605" w:type="dxa"/>
                        <w:tcBorders>
                          <w:top w:val="single" w:sz="8" w:space="0" w:color="4472C4"/>
                          <w:left w:val="nil"/>
                          <w:bottom w:val="single" w:sz="8" w:space="0" w:color="4472C4"/>
                          <w:right w:val="nil"/>
                        </w:tcBorders>
                        <w:shd w:val="clear" w:color="auto" w:fill="92D050"/>
                        <w:tcMar>
                          <w:top w:w="0" w:type="dxa"/>
                          <w:left w:w="108" w:type="dxa"/>
                          <w:bottom w:w="0" w:type="dxa"/>
                          <w:right w:w="108" w:type="dxa"/>
                        </w:tcMar>
                        <w:hideMark/>
                      </w:tcPr>
                      <w:p w14:paraId="3C30BB06" w14:textId="77777777" w:rsidR="00953E57" w:rsidRDefault="00953E57">
                        <w:pPr>
                          <w:pStyle w:val="Heading1"/>
                          <w:rPr>
                            <w:rFonts w:eastAsia="Times New Roman"/>
                            <w:b w:val="0"/>
                            <w:bCs w:val="0"/>
                            <w:color w:val="FFFFFF"/>
                            <w:sz w:val="20"/>
                            <w:szCs w:val="20"/>
                            <w:lang w:val="ru-RU" w:eastAsia="ru-RU"/>
                          </w:rPr>
                        </w:pPr>
                        <w:r>
                          <w:rPr>
                            <w:rFonts w:eastAsia="Times New Roman"/>
                            <w:b w:val="0"/>
                            <w:bCs w:val="0"/>
                            <w:color w:val="FFFFFF"/>
                            <w:sz w:val="20"/>
                            <w:szCs w:val="20"/>
                            <w:lang w:val="ru-RU" w:eastAsia="ru-RU"/>
                          </w:rPr>
                          <w:t xml:space="preserve">Deal value in </w:t>
                        </w:r>
                        <w:r>
                          <w:rPr>
                            <w:rFonts w:eastAsia="Times New Roman"/>
                            <w:color w:val="FFFFFF"/>
                            <w:sz w:val="20"/>
                            <w:szCs w:val="20"/>
                            <w:lang w:val="ru-RU" w:eastAsia="ru-RU"/>
                          </w:rPr>
                          <w:t>€</w:t>
                        </w:r>
                        <w:r>
                          <w:rPr>
                            <w:rFonts w:eastAsia="Times New Roman"/>
                            <w:color w:val="000000"/>
                            <w:sz w:val="20"/>
                            <w:szCs w:val="20"/>
                            <w:lang w:val="ru-RU" w:eastAsia="ru-RU"/>
                          </w:rPr>
                          <w:t xml:space="preserve"> </w:t>
                        </w:r>
                        <w:r>
                          <w:rPr>
                            <w:rFonts w:eastAsia="Times New Roman"/>
                            <w:b w:val="0"/>
                            <w:bCs w:val="0"/>
                            <w:color w:val="FFFFFF"/>
                            <w:sz w:val="20"/>
                            <w:szCs w:val="20"/>
                            <w:lang w:val="ru-RU" w:eastAsia="ru-RU"/>
                          </w:rPr>
                          <w:t> </w:t>
                        </w:r>
                      </w:p>
                    </w:tc>
                    <w:tc>
                      <w:tcPr>
                        <w:tcW w:w="361" w:type="dxa"/>
                        <w:tcBorders>
                          <w:top w:val="single" w:sz="8" w:space="0" w:color="4472C4"/>
                          <w:left w:val="nil"/>
                          <w:bottom w:val="single" w:sz="8" w:space="0" w:color="4472C4"/>
                          <w:right w:val="nil"/>
                        </w:tcBorders>
                        <w:shd w:val="clear" w:color="auto" w:fill="92D050"/>
                        <w:tcMar>
                          <w:top w:w="0" w:type="dxa"/>
                          <w:left w:w="108" w:type="dxa"/>
                          <w:bottom w:w="0" w:type="dxa"/>
                          <w:right w:w="108" w:type="dxa"/>
                        </w:tcMar>
                      </w:tcPr>
                      <w:p w14:paraId="3483AE7F" w14:textId="77777777" w:rsidR="00953E57" w:rsidRDefault="00953E57">
                        <w:pPr>
                          <w:pStyle w:val="Heading1"/>
                          <w:rPr>
                            <w:rFonts w:eastAsia="Times New Roman"/>
                            <w:b w:val="0"/>
                            <w:bCs w:val="0"/>
                            <w:color w:val="FFFFFF"/>
                            <w:sz w:val="20"/>
                            <w:szCs w:val="20"/>
                            <w:lang w:val="ru-RU" w:eastAsia="ru-RU"/>
                          </w:rPr>
                        </w:pPr>
                      </w:p>
                    </w:tc>
                    <w:tc>
                      <w:tcPr>
                        <w:tcW w:w="3240" w:type="dxa"/>
                        <w:tcBorders>
                          <w:top w:val="single" w:sz="8" w:space="0" w:color="4472C4"/>
                          <w:left w:val="nil"/>
                          <w:bottom w:val="single" w:sz="8" w:space="0" w:color="4472C4"/>
                          <w:right w:val="single" w:sz="8" w:space="0" w:color="4472C4"/>
                        </w:tcBorders>
                        <w:shd w:val="clear" w:color="auto" w:fill="92D050"/>
                        <w:tcMar>
                          <w:top w:w="0" w:type="dxa"/>
                          <w:left w:w="108" w:type="dxa"/>
                          <w:bottom w:w="0" w:type="dxa"/>
                          <w:right w:w="108" w:type="dxa"/>
                        </w:tcMar>
                        <w:hideMark/>
                      </w:tcPr>
                      <w:p w14:paraId="3ACA0565" w14:textId="77777777" w:rsidR="00953E57" w:rsidRDefault="00953E57">
                        <w:pPr>
                          <w:pStyle w:val="Heading1"/>
                          <w:rPr>
                            <w:rFonts w:eastAsia="Times New Roman"/>
                            <w:b w:val="0"/>
                            <w:bCs w:val="0"/>
                            <w:color w:val="FFFFFF"/>
                            <w:sz w:val="20"/>
                            <w:szCs w:val="20"/>
                            <w:lang w:val="ru-RU" w:eastAsia="ru-RU"/>
                          </w:rPr>
                        </w:pPr>
                        <w:r>
                          <w:rPr>
                            <w:rFonts w:eastAsia="Times New Roman"/>
                            <w:b w:val="0"/>
                            <w:bCs w:val="0"/>
                            <w:color w:val="FFFFFF"/>
                            <w:sz w:val="20"/>
                            <w:szCs w:val="20"/>
                            <w:lang w:val="ru-RU" w:eastAsia="ru-RU"/>
                          </w:rPr>
                          <w:t>Revenue Flow</w:t>
                        </w:r>
                      </w:p>
                    </w:tc>
                  </w:tr>
                  <w:tr w:rsidR="00953E57" w14:paraId="111EA9A3" w14:textId="77777777">
                    <w:trPr>
                      <w:trHeight w:val="288"/>
                    </w:trPr>
                    <w:tc>
                      <w:tcPr>
                        <w:tcW w:w="805" w:type="dxa"/>
                        <w:tcBorders>
                          <w:top w:val="nil"/>
                          <w:left w:val="single" w:sz="8" w:space="0" w:color="8EAADB"/>
                          <w:bottom w:val="single" w:sz="8" w:space="0" w:color="8EAADB"/>
                          <w:right w:val="single" w:sz="8" w:space="0" w:color="8EAADB"/>
                        </w:tcBorders>
                        <w:shd w:val="clear" w:color="auto" w:fill="92D050"/>
                        <w:tcMar>
                          <w:top w:w="0" w:type="dxa"/>
                          <w:left w:w="108" w:type="dxa"/>
                          <w:bottom w:w="0" w:type="dxa"/>
                          <w:right w:w="108" w:type="dxa"/>
                        </w:tcMar>
                        <w:hideMark/>
                      </w:tcPr>
                      <w:p w14:paraId="23845D48" w14:textId="77777777" w:rsidR="00953E57" w:rsidRDefault="00953E57">
                        <w:pPr>
                          <w:pStyle w:val="Heading1"/>
                          <w:rPr>
                            <w:rFonts w:eastAsia="Times New Roman"/>
                            <w:b w:val="0"/>
                            <w:bCs w:val="0"/>
                            <w:color w:val="FFFFFF"/>
                            <w:sz w:val="20"/>
                            <w:szCs w:val="20"/>
                            <w:lang w:val="ru-RU" w:eastAsia="ru-RU"/>
                          </w:rPr>
                        </w:pPr>
                        <w:r>
                          <w:rPr>
                            <w:rFonts w:eastAsia="Times New Roman"/>
                            <w:b w:val="0"/>
                            <w:bCs w:val="0"/>
                            <w:color w:val="FFFFFF"/>
                            <w:sz w:val="20"/>
                            <w:szCs w:val="20"/>
                            <w:lang w:val="ru-RU" w:eastAsia="ru-RU"/>
                          </w:rPr>
                          <w:t>A</w:t>
                        </w:r>
                      </w:p>
                    </w:tc>
                    <w:tc>
                      <w:tcPr>
                        <w:tcW w:w="1605"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hideMark/>
                      </w:tcPr>
                      <w:p w14:paraId="27FB5146" w14:textId="77777777" w:rsidR="00953E57" w:rsidRDefault="00953E57">
                        <w:pPr>
                          <w:pStyle w:val="Heading1"/>
                          <w:rPr>
                            <w:rFonts w:eastAsia="Times New Roman"/>
                            <w:b w:val="0"/>
                            <w:bCs w:val="0"/>
                            <w:sz w:val="20"/>
                            <w:szCs w:val="20"/>
                            <w:lang w:val="ru-RU" w:eastAsia="ru-RU"/>
                          </w:rPr>
                        </w:pPr>
                        <w:r>
                          <w:rPr>
                            <w:rFonts w:eastAsia="Times New Roman"/>
                            <w:b w:val="0"/>
                            <w:bCs w:val="0"/>
                            <w:color w:val="000000"/>
                            <w:sz w:val="20"/>
                            <w:szCs w:val="20"/>
                            <w:lang w:val="ru-RU" w:eastAsia="ru-RU"/>
                          </w:rPr>
                          <w:t>€ 1M +</w:t>
                        </w:r>
                      </w:p>
                    </w:tc>
                    <w:tc>
                      <w:tcPr>
                        <w:tcW w:w="361" w:type="dxa"/>
                        <w:tcBorders>
                          <w:top w:val="nil"/>
                          <w:left w:val="nil"/>
                          <w:bottom w:val="single" w:sz="8" w:space="0" w:color="8EAADB"/>
                          <w:right w:val="single" w:sz="8" w:space="0" w:color="8EAADB"/>
                        </w:tcBorders>
                        <w:shd w:val="clear" w:color="auto" w:fill="92D050"/>
                        <w:tcMar>
                          <w:top w:w="0" w:type="dxa"/>
                          <w:left w:w="108" w:type="dxa"/>
                          <w:bottom w:w="0" w:type="dxa"/>
                          <w:right w:w="108" w:type="dxa"/>
                        </w:tcMar>
                        <w:hideMark/>
                      </w:tcPr>
                      <w:p w14:paraId="6F69B428" w14:textId="77777777" w:rsidR="00953E57" w:rsidRDefault="00953E57">
                        <w:pPr>
                          <w:pStyle w:val="Heading1"/>
                          <w:rPr>
                            <w:rFonts w:eastAsia="Times New Roman"/>
                            <w:color w:val="FFFFFF"/>
                            <w:sz w:val="20"/>
                            <w:szCs w:val="20"/>
                            <w:lang w:val="ru-RU" w:eastAsia="ru-RU"/>
                          </w:rPr>
                        </w:pPr>
                        <w:r>
                          <w:rPr>
                            <w:rFonts w:eastAsia="Times New Roman"/>
                            <w:b w:val="0"/>
                            <w:bCs w:val="0"/>
                            <w:color w:val="FFFFFF"/>
                            <w:sz w:val="20"/>
                            <w:szCs w:val="20"/>
                            <w:lang w:val="ru-RU" w:eastAsia="ru-RU"/>
                          </w:rPr>
                          <w:t>A</w:t>
                        </w:r>
                      </w:p>
                    </w:tc>
                    <w:tc>
                      <w:tcPr>
                        <w:tcW w:w="32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hideMark/>
                      </w:tcPr>
                      <w:p w14:paraId="4531588B" w14:textId="77777777" w:rsidR="00953E57" w:rsidRDefault="00953E57">
                        <w:pPr>
                          <w:pStyle w:val="Heading1"/>
                          <w:rPr>
                            <w:rFonts w:eastAsia="Times New Roman"/>
                            <w:b w:val="0"/>
                            <w:bCs w:val="0"/>
                            <w:sz w:val="20"/>
                            <w:szCs w:val="20"/>
                            <w:lang w:val="ru-RU" w:eastAsia="ru-RU"/>
                          </w:rPr>
                        </w:pPr>
                        <w:r>
                          <w:rPr>
                            <w:rFonts w:eastAsia="Times New Roman"/>
                            <w:b w:val="0"/>
                            <w:bCs w:val="0"/>
                            <w:color w:val="000000"/>
                            <w:sz w:val="20"/>
                            <w:szCs w:val="20"/>
                            <w:lang w:val="ru-RU" w:eastAsia="ru-RU"/>
                          </w:rPr>
                          <w:t>Revenue shows immediately</w:t>
                        </w:r>
                      </w:p>
                    </w:tc>
                  </w:tr>
                  <w:tr w:rsidR="00953E57" w14:paraId="0EEA9A82" w14:textId="77777777">
                    <w:trPr>
                      <w:trHeight w:val="288"/>
                    </w:trPr>
                    <w:tc>
                      <w:tcPr>
                        <w:tcW w:w="805" w:type="dxa"/>
                        <w:tcBorders>
                          <w:top w:val="nil"/>
                          <w:left w:val="single" w:sz="8" w:space="0" w:color="8EAADB"/>
                          <w:bottom w:val="single" w:sz="8" w:space="0" w:color="8EAADB"/>
                          <w:right w:val="single" w:sz="8" w:space="0" w:color="8EAADB"/>
                        </w:tcBorders>
                        <w:shd w:val="clear" w:color="auto" w:fill="92D050"/>
                        <w:tcMar>
                          <w:top w:w="0" w:type="dxa"/>
                          <w:left w:w="108" w:type="dxa"/>
                          <w:bottom w:w="0" w:type="dxa"/>
                          <w:right w:w="108" w:type="dxa"/>
                        </w:tcMar>
                        <w:hideMark/>
                      </w:tcPr>
                      <w:p w14:paraId="605E7D39" w14:textId="77777777" w:rsidR="00953E57" w:rsidRDefault="00953E57">
                        <w:pPr>
                          <w:pStyle w:val="Heading1"/>
                          <w:rPr>
                            <w:rFonts w:eastAsia="Times New Roman"/>
                            <w:b w:val="0"/>
                            <w:bCs w:val="0"/>
                            <w:color w:val="FFFFFF"/>
                            <w:sz w:val="20"/>
                            <w:szCs w:val="20"/>
                            <w:lang w:val="ru-RU" w:eastAsia="ru-RU"/>
                          </w:rPr>
                        </w:pPr>
                        <w:r>
                          <w:rPr>
                            <w:rFonts w:eastAsia="Times New Roman"/>
                            <w:b w:val="0"/>
                            <w:bCs w:val="0"/>
                            <w:color w:val="FFFFFF"/>
                            <w:sz w:val="20"/>
                            <w:szCs w:val="20"/>
                            <w:lang w:val="ru-RU" w:eastAsia="ru-RU"/>
                          </w:rPr>
                          <w:t>B</w:t>
                        </w:r>
                      </w:p>
                    </w:tc>
                    <w:tc>
                      <w:tcPr>
                        <w:tcW w:w="1605"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hideMark/>
                      </w:tcPr>
                      <w:p w14:paraId="23F6D797" w14:textId="77777777" w:rsidR="00953E57" w:rsidRDefault="00953E57">
                        <w:pPr>
                          <w:pStyle w:val="Heading1"/>
                          <w:rPr>
                            <w:rFonts w:eastAsia="Times New Roman"/>
                            <w:b w:val="0"/>
                            <w:bCs w:val="0"/>
                            <w:sz w:val="20"/>
                            <w:szCs w:val="20"/>
                            <w:lang w:val="ru-RU" w:eastAsia="ru-RU"/>
                          </w:rPr>
                        </w:pPr>
                        <w:r>
                          <w:rPr>
                            <w:rFonts w:eastAsia="Times New Roman"/>
                            <w:b w:val="0"/>
                            <w:bCs w:val="0"/>
                            <w:color w:val="000000"/>
                            <w:sz w:val="20"/>
                            <w:szCs w:val="20"/>
                            <w:lang w:val="ru-RU" w:eastAsia="ru-RU"/>
                          </w:rPr>
                          <w:t>€ 500K +</w:t>
                        </w:r>
                      </w:p>
                    </w:tc>
                    <w:tc>
                      <w:tcPr>
                        <w:tcW w:w="361" w:type="dxa"/>
                        <w:tcBorders>
                          <w:top w:val="nil"/>
                          <w:left w:val="nil"/>
                          <w:bottom w:val="single" w:sz="8" w:space="0" w:color="8EAADB"/>
                          <w:right w:val="single" w:sz="8" w:space="0" w:color="8EAADB"/>
                        </w:tcBorders>
                        <w:shd w:val="clear" w:color="auto" w:fill="92D050"/>
                        <w:tcMar>
                          <w:top w:w="0" w:type="dxa"/>
                          <w:left w:w="108" w:type="dxa"/>
                          <w:bottom w:w="0" w:type="dxa"/>
                          <w:right w:w="108" w:type="dxa"/>
                        </w:tcMar>
                        <w:hideMark/>
                      </w:tcPr>
                      <w:p w14:paraId="4FB97433" w14:textId="77777777" w:rsidR="00953E57" w:rsidRDefault="00953E57">
                        <w:pPr>
                          <w:pStyle w:val="Heading1"/>
                          <w:rPr>
                            <w:rFonts w:eastAsia="Times New Roman"/>
                            <w:color w:val="FFFFFF"/>
                            <w:sz w:val="20"/>
                            <w:szCs w:val="20"/>
                            <w:lang w:val="ru-RU" w:eastAsia="ru-RU"/>
                          </w:rPr>
                        </w:pPr>
                        <w:r>
                          <w:rPr>
                            <w:rFonts w:eastAsia="Times New Roman"/>
                            <w:b w:val="0"/>
                            <w:bCs w:val="0"/>
                            <w:color w:val="FFFFFF"/>
                            <w:sz w:val="20"/>
                            <w:szCs w:val="20"/>
                            <w:lang w:val="ru-RU" w:eastAsia="ru-RU"/>
                          </w:rPr>
                          <w:t>B</w:t>
                        </w:r>
                      </w:p>
                    </w:tc>
                    <w:tc>
                      <w:tcPr>
                        <w:tcW w:w="32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hideMark/>
                      </w:tcPr>
                      <w:p w14:paraId="18ABB926" w14:textId="77777777" w:rsidR="00953E57" w:rsidRDefault="00953E57">
                        <w:pPr>
                          <w:pStyle w:val="Heading1"/>
                          <w:rPr>
                            <w:rFonts w:eastAsia="Times New Roman"/>
                            <w:b w:val="0"/>
                            <w:bCs w:val="0"/>
                            <w:sz w:val="20"/>
                            <w:szCs w:val="20"/>
                            <w:lang w:val="ru-RU" w:eastAsia="ru-RU"/>
                          </w:rPr>
                        </w:pPr>
                        <w:r>
                          <w:rPr>
                            <w:rFonts w:eastAsia="Times New Roman"/>
                            <w:b w:val="0"/>
                            <w:bCs w:val="0"/>
                            <w:color w:val="000000"/>
                            <w:sz w:val="20"/>
                            <w:szCs w:val="20"/>
                            <w:lang w:val="ru-RU" w:eastAsia="ru-RU"/>
                          </w:rPr>
                          <w:t>GAA / Lease</w:t>
                        </w:r>
                      </w:p>
                    </w:tc>
                  </w:tr>
                  <w:tr w:rsidR="00953E57" w14:paraId="73FC7287" w14:textId="77777777">
                    <w:trPr>
                      <w:trHeight w:val="288"/>
                    </w:trPr>
                    <w:tc>
                      <w:tcPr>
                        <w:tcW w:w="805" w:type="dxa"/>
                        <w:tcBorders>
                          <w:top w:val="nil"/>
                          <w:left w:val="single" w:sz="8" w:space="0" w:color="8EAADB"/>
                          <w:bottom w:val="single" w:sz="8" w:space="0" w:color="8EAADB"/>
                          <w:right w:val="single" w:sz="8" w:space="0" w:color="8EAADB"/>
                        </w:tcBorders>
                        <w:shd w:val="clear" w:color="auto" w:fill="92D050"/>
                        <w:tcMar>
                          <w:top w:w="0" w:type="dxa"/>
                          <w:left w:w="108" w:type="dxa"/>
                          <w:bottom w:w="0" w:type="dxa"/>
                          <w:right w:w="108" w:type="dxa"/>
                        </w:tcMar>
                        <w:hideMark/>
                      </w:tcPr>
                      <w:p w14:paraId="59362D70" w14:textId="77777777" w:rsidR="00953E57" w:rsidRDefault="00953E57">
                        <w:pPr>
                          <w:pStyle w:val="Heading1"/>
                          <w:rPr>
                            <w:rFonts w:eastAsia="Times New Roman"/>
                            <w:b w:val="0"/>
                            <w:bCs w:val="0"/>
                            <w:color w:val="FFFFFF"/>
                            <w:sz w:val="20"/>
                            <w:szCs w:val="20"/>
                            <w:lang w:val="ru-RU" w:eastAsia="ru-RU"/>
                          </w:rPr>
                        </w:pPr>
                        <w:r>
                          <w:rPr>
                            <w:rFonts w:eastAsia="Times New Roman"/>
                            <w:b w:val="0"/>
                            <w:bCs w:val="0"/>
                            <w:color w:val="FFFFFF"/>
                            <w:sz w:val="20"/>
                            <w:szCs w:val="20"/>
                            <w:lang w:val="ru-RU" w:eastAsia="ru-RU"/>
                          </w:rPr>
                          <w:t>C</w:t>
                        </w:r>
                      </w:p>
                    </w:tc>
                    <w:tc>
                      <w:tcPr>
                        <w:tcW w:w="1605"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hideMark/>
                      </w:tcPr>
                      <w:p w14:paraId="0E7A1515" w14:textId="77777777" w:rsidR="00953E57" w:rsidRDefault="00953E57">
                        <w:pPr>
                          <w:pStyle w:val="Heading1"/>
                          <w:rPr>
                            <w:rFonts w:eastAsia="Times New Roman"/>
                            <w:b w:val="0"/>
                            <w:bCs w:val="0"/>
                            <w:sz w:val="20"/>
                            <w:szCs w:val="20"/>
                            <w:lang w:val="ru-RU" w:eastAsia="ru-RU"/>
                          </w:rPr>
                        </w:pPr>
                        <w:r>
                          <w:rPr>
                            <w:rFonts w:eastAsia="Times New Roman"/>
                            <w:b w:val="0"/>
                            <w:bCs w:val="0"/>
                            <w:color w:val="000000"/>
                            <w:sz w:val="20"/>
                            <w:szCs w:val="20"/>
                            <w:lang w:val="ru-RU" w:eastAsia="ru-RU"/>
                          </w:rPr>
                          <w:t>€ 250K +</w:t>
                        </w:r>
                      </w:p>
                    </w:tc>
                    <w:tc>
                      <w:tcPr>
                        <w:tcW w:w="361" w:type="dxa"/>
                        <w:tcBorders>
                          <w:top w:val="nil"/>
                          <w:left w:val="nil"/>
                          <w:bottom w:val="single" w:sz="8" w:space="0" w:color="8EAADB"/>
                          <w:right w:val="single" w:sz="8" w:space="0" w:color="8EAADB"/>
                        </w:tcBorders>
                        <w:shd w:val="clear" w:color="auto" w:fill="92D050"/>
                        <w:tcMar>
                          <w:top w:w="0" w:type="dxa"/>
                          <w:left w:w="108" w:type="dxa"/>
                          <w:bottom w:w="0" w:type="dxa"/>
                          <w:right w:w="108" w:type="dxa"/>
                        </w:tcMar>
                        <w:hideMark/>
                      </w:tcPr>
                      <w:p w14:paraId="7C876F9C" w14:textId="77777777" w:rsidR="00953E57" w:rsidRDefault="00953E57">
                        <w:pPr>
                          <w:pStyle w:val="Heading1"/>
                          <w:rPr>
                            <w:rFonts w:eastAsia="Times New Roman"/>
                            <w:color w:val="FFFFFF"/>
                            <w:sz w:val="20"/>
                            <w:szCs w:val="20"/>
                            <w:lang w:val="ru-RU" w:eastAsia="ru-RU"/>
                          </w:rPr>
                        </w:pPr>
                        <w:r>
                          <w:rPr>
                            <w:rFonts w:eastAsia="Times New Roman"/>
                            <w:b w:val="0"/>
                            <w:bCs w:val="0"/>
                            <w:color w:val="FFFFFF"/>
                            <w:sz w:val="20"/>
                            <w:szCs w:val="20"/>
                            <w:lang w:val="ru-RU" w:eastAsia="ru-RU"/>
                          </w:rPr>
                          <w:t>C</w:t>
                        </w:r>
                      </w:p>
                    </w:tc>
                    <w:tc>
                      <w:tcPr>
                        <w:tcW w:w="32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hideMark/>
                      </w:tcPr>
                      <w:p w14:paraId="72D1C195" w14:textId="77777777" w:rsidR="00953E57" w:rsidRDefault="00953E57">
                        <w:pPr>
                          <w:pStyle w:val="Heading1"/>
                          <w:rPr>
                            <w:rFonts w:eastAsia="Times New Roman"/>
                            <w:b w:val="0"/>
                            <w:bCs w:val="0"/>
                            <w:sz w:val="20"/>
                            <w:szCs w:val="20"/>
                            <w:lang w:val="ru-RU" w:eastAsia="ru-RU"/>
                          </w:rPr>
                        </w:pPr>
                        <w:r>
                          <w:rPr>
                            <w:rFonts w:eastAsia="Times New Roman"/>
                            <w:b w:val="0"/>
                            <w:bCs w:val="0"/>
                            <w:color w:val="000000"/>
                            <w:sz w:val="20"/>
                            <w:szCs w:val="20"/>
                            <w:lang w:val="ru-RU" w:eastAsia="ru-RU"/>
                          </w:rPr>
                          <w:t>Revenue will flow within 6 months</w:t>
                        </w:r>
                      </w:p>
                    </w:tc>
                  </w:tr>
                  <w:tr w:rsidR="00953E57" w14:paraId="4E62A2C5" w14:textId="77777777">
                    <w:trPr>
                      <w:trHeight w:val="288"/>
                    </w:trPr>
                    <w:tc>
                      <w:tcPr>
                        <w:tcW w:w="805" w:type="dxa"/>
                        <w:tcBorders>
                          <w:top w:val="nil"/>
                          <w:left w:val="single" w:sz="8" w:space="0" w:color="8EAADB"/>
                          <w:bottom w:val="single" w:sz="8" w:space="0" w:color="8EAADB"/>
                          <w:right w:val="single" w:sz="8" w:space="0" w:color="8EAADB"/>
                        </w:tcBorders>
                        <w:shd w:val="clear" w:color="auto" w:fill="92D050"/>
                        <w:tcMar>
                          <w:top w:w="0" w:type="dxa"/>
                          <w:left w:w="108" w:type="dxa"/>
                          <w:bottom w:w="0" w:type="dxa"/>
                          <w:right w:w="108" w:type="dxa"/>
                        </w:tcMar>
                        <w:hideMark/>
                      </w:tcPr>
                      <w:p w14:paraId="36C2998F" w14:textId="77777777" w:rsidR="00953E57" w:rsidRDefault="00953E57">
                        <w:pPr>
                          <w:pStyle w:val="Heading1"/>
                          <w:rPr>
                            <w:rFonts w:eastAsia="Times New Roman"/>
                            <w:b w:val="0"/>
                            <w:bCs w:val="0"/>
                            <w:color w:val="FFFFFF"/>
                            <w:sz w:val="20"/>
                            <w:szCs w:val="20"/>
                            <w:lang w:val="ru-RU" w:eastAsia="ru-RU"/>
                          </w:rPr>
                        </w:pPr>
                        <w:r>
                          <w:rPr>
                            <w:rFonts w:eastAsia="Times New Roman"/>
                            <w:b w:val="0"/>
                            <w:bCs w:val="0"/>
                            <w:color w:val="FFFFFF"/>
                            <w:sz w:val="20"/>
                            <w:szCs w:val="20"/>
                            <w:lang w:val="ru-RU" w:eastAsia="ru-RU"/>
                          </w:rPr>
                          <w:lastRenderedPageBreak/>
                          <w:t>D</w:t>
                        </w:r>
                      </w:p>
                    </w:tc>
                    <w:tc>
                      <w:tcPr>
                        <w:tcW w:w="1605"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hideMark/>
                      </w:tcPr>
                      <w:p w14:paraId="6289C7CE" w14:textId="77777777" w:rsidR="00953E57" w:rsidRDefault="00953E57">
                        <w:pPr>
                          <w:pStyle w:val="Heading1"/>
                          <w:rPr>
                            <w:rFonts w:eastAsia="Times New Roman"/>
                            <w:b w:val="0"/>
                            <w:bCs w:val="0"/>
                            <w:sz w:val="20"/>
                            <w:szCs w:val="20"/>
                            <w:lang w:val="ru-RU" w:eastAsia="ru-RU"/>
                          </w:rPr>
                        </w:pPr>
                        <w:r>
                          <w:rPr>
                            <w:rFonts w:eastAsia="Times New Roman"/>
                            <w:b w:val="0"/>
                            <w:bCs w:val="0"/>
                            <w:color w:val="000000"/>
                            <w:sz w:val="20"/>
                            <w:szCs w:val="20"/>
                            <w:lang w:val="ru-RU" w:eastAsia="ru-RU"/>
                          </w:rPr>
                          <w:t>€100K +</w:t>
                        </w:r>
                      </w:p>
                    </w:tc>
                    <w:tc>
                      <w:tcPr>
                        <w:tcW w:w="361" w:type="dxa"/>
                        <w:tcBorders>
                          <w:top w:val="nil"/>
                          <w:left w:val="nil"/>
                          <w:bottom w:val="single" w:sz="8" w:space="0" w:color="8EAADB"/>
                          <w:right w:val="single" w:sz="8" w:space="0" w:color="8EAADB"/>
                        </w:tcBorders>
                        <w:shd w:val="clear" w:color="auto" w:fill="92D050"/>
                        <w:tcMar>
                          <w:top w:w="0" w:type="dxa"/>
                          <w:left w:w="108" w:type="dxa"/>
                          <w:bottom w:w="0" w:type="dxa"/>
                          <w:right w:w="108" w:type="dxa"/>
                        </w:tcMar>
                        <w:hideMark/>
                      </w:tcPr>
                      <w:p w14:paraId="5AC32744" w14:textId="77777777" w:rsidR="00953E57" w:rsidRDefault="00953E57">
                        <w:pPr>
                          <w:pStyle w:val="Heading1"/>
                          <w:rPr>
                            <w:rFonts w:eastAsia="Times New Roman"/>
                            <w:color w:val="FFFFFF"/>
                            <w:sz w:val="20"/>
                            <w:szCs w:val="20"/>
                            <w:lang w:val="ru-RU" w:eastAsia="ru-RU"/>
                          </w:rPr>
                        </w:pPr>
                        <w:r>
                          <w:rPr>
                            <w:rFonts w:eastAsia="Times New Roman"/>
                            <w:b w:val="0"/>
                            <w:bCs w:val="0"/>
                            <w:color w:val="FFFFFF"/>
                            <w:sz w:val="20"/>
                            <w:szCs w:val="20"/>
                            <w:lang w:val="ru-RU" w:eastAsia="ru-RU"/>
                          </w:rPr>
                          <w:t>D</w:t>
                        </w:r>
                      </w:p>
                    </w:tc>
                    <w:tc>
                      <w:tcPr>
                        <w:tcW w:w="32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hideMark/>
                      </w:tcPr>
                      <w:p w14:paraId="0BC63818" w14:textId="77777777" w:rsidR="00953E57" w:rsidRDefault="00953E57">
                        <w:pPr>
                          <w:pStyle w:val="Heading1"/>
                          <w:rPr>
                            <w:rFonts w:eastAsia="Times New Roman"/>
                            <w:b w:val="0"/>
                            <w:bCs w:val="0"/>
                            <w:sz w:val="20"/>
                            <w:szCs w:val="20"/>
                            <w:lang w:val="ru-RU" w:eastAsia="ru-RU"/>
                          </w:rPr>
                        </w:pPr>
                        <w:r>
                          <w:rPr>
                            <w:rFonts w:eastAsia="Times New Roman"/>
                            <w:b w:val="0"/>
                            <w:bCs w:val="0"/>
                            <w:color w:val="000000"/>
                            <w:sz w:val="20"/>
                            <w:szCs w:val="20"/>
                            <w:lang w:val="ru-RU" w:eastAsia="ru-RU"/>
                          </w:rPr>
                          <w:t>Revenue will flow 6+ months</w:t>
                        </w:r>
                      </w:p>
                    </w:tc>
                  </w:tr>
                  <w:tr w:rsidR="00953E57" w14:paraId="4BA7C389" w14:textId="77777777">
                    <w:trPr>
                      <w:trHeight w:val="288"/>
                    </w:trPr>
                    <w:tc>
                      <w:tcPr>
                        <w:tcW w:w="805" w:type="dxa"/>
                        <w:tcBorders>
                          <w:top w:val="nil"/>
                          <w:left w:val="single" w:sz="8" w:space="0" w:color="8EAADB"/>
                          <w:bottom w:val="single" w:sz="8" w:space="0" w:color="8EAADB"/>
                          <w:right w:val="single" w:sz="8" w:space="0" w:color="8EAADB"/>
                        </w:tcBorders>
                        <w:shd w:val="clear" w:color="auto" w:fill="92D050"/>
                        <w:tcMar>
                          <w:top w:w="0" w:type="dxa"/>
                          <w:left w:w="108" w:type="dxa"/>
                          <w:bottom w:w="0" w:type="dxa"/>
                          <w:right w:w="108" w:type="dxa"/>
                        </w:tcMar>
                        <w:hideMark/>
                      </w:tcPr>
                      <w:p w14:paraId="390B464B" w14:textId="77777777" w:rsidR="00953E57" w:rsidRDefault="00953E57">
                        <w:pPr>
                          <w:pStyle w:val="Heading1"/>
                          <w:rPr>
                            <w:rFonts w:eastAsia="Times New Roman"/>
                            <w:b w:val="0"/>
                            <w:bCs w:val="0"/>
                            <w:color w:val="FFFFFF"/>
                            <w:sz w:val="20"/>
                            <w:szCs w:val="20"/>
                            <w:lang w:val="ru-RU" w:eastAsia="ru-RU"/>
                          </w:rPr>
                        </w:pPr>
                        <w:r>
                          <w:rPr>
                            <w:rFonts w:eastAsia="Times New Roman"/>
                            <w:b w:val="0"/>
                            <w:bCs w:val="0"/>
                            <w:color w:val="FFFFFF"/>
                            <w:sz w:val="20"/>
                            <w:szCs w:val="20"/>
                            <w:lang w:val="ru-RU" w:eastAsia="ru-RU"/>
                          </w:rPr>
                          <w:t>E</w:t>
                        </w:r>
                      </w:p>
                    </w:tc>
                    <w:tc>
                      <w:tcPr>
                        <w:tcW w:w="1605"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hideMark/>
                      </w:tcPr>
                      <w:p w14:paraId="00948637" w14:textId="77777777" w:rsidR="00953E57" w:rsidRDefault="00953E57">
                        <w:pPr>
                          <w:pStyle w:val="Heading1"/>
                          <w:rPr>
                            <w:rFonts w:eastAsia="Times New Roman"/>
                            <w:b w:val="0"/>
                            <w:bCs w:val="0"/>
                            <w:sz w:val="20"/>
                            <w:szCs w:val="20"/>
                            <w:lang w:val="ru-RU" w:eastAsia="ru-RU"/>
                          </w:rPr>
                        </w:pPr>
                        <w:r>
                          <w:rPr>
                            <w:rFonts w:eastAsia="Times New Roman"/>
                            <w:b w:val="0"/>
                            <w:bCs w:val="0"/>
                            <w:color w:val="000000"/>
                            <w:sz w:val="20"/>
                            <w:szCs w:val="20"/>
                            <w:lang w:val="ru-RU" w:eastAsia="ru-RU"/>
                          </w:rPr>
                          <w:t>&lt;€ 100K</w:t>
                        </w:r>
                      </w:p>
                    </w:tc>
                    <w:tc>
                      <w:tcPr>
                        <w:tcW w:w="361" w:type="dxa"/>
                        <w:tcBorders>
                          <w:top w:val="nil"/>
                          <w:left w:val="nil"/>
                          <w:bottom w:val="single" w:sz="8" w:space="0" w:color="8EAADB"/>
                          <w:right w:val="single" w:sz="8" w:space="0" w:color="8EAADB"/>
                        </w:tcBorders>
                        <w:shd w:val="clear" w:color="auto" w:fill="92D050"/>
                        <w:tcMar>
                          <w:top w:w="0" w:type="dxa"/>
                          <w:left w:w="108" w:type="dxa"/>
                          <w:bottom w:w="0" w:type="dxa"/>
                          <w:right w:w="108" w:type="dxa"/>
                        </w:tcMar>
                        <w:hideMark/>
                      </w:tcPr>
                      <w:p w14:paraId="5CED8CB9" w14:textId="77777777" w:rsidR="00953E57" w:rsidRDefault="00953E57">
                        <w:pPr>
                          <w:pStyle w:val="Heading1"/>
                          <w:rPr>
                            <w:rFonts w:eastAsia="Times New Roman"/>
                            <w:color w:val="FFFFFF"/>
                            <w:sz w:val="20"/>
                            <w:szCs w:val="20"/>
                            <w:lang w:val="ru-RU" w:eastAsia="ru-RU"/>
                          </w:rPr>
                        </w:pPr>
                        <w:r>
                          <w:rPr>
                            <w:rFonts w:eastAsia="Times New Roman"/>
                            <w:b w:val="0"/>
                            <w:bCs w:val="0"/>
                            <w:color w:val="FFFFFF"/>
                            <w:sz w:val="20"/>
                            <w:szCs w:val="20"/>
                            <w:lang w:val="ru-RU" w:eastAsia="ru-RU"/>
                          </w:rPr>
                          <w:t>E</w:t>
                        </w:r>
                      </w:p>
                    </w:tc>
                    <w:tc>
                      <w:tcPr>
                        <w:tcW w:w="32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hideMark/>
                      </w:tcPr>
                      <w:p w14:paraId="203C7D83" w14:textId="77777777" w:rsidR="00953E57" w:rsidRDefault="00953E57">
                        <w:pPr>
                          <w:pStyle w:val="Heading1"/>
                          <w:rPr>
                            <w:rFonts w:eastAsia="Times New Roman"/>
                            <w:b w:val="0"/>
                            <w:bCs w:val="0"/>
                            <w:sz w:val="20"/>
                            <w:szCs w:val="20"/>
                            <w:lang w:eastAsia="ru-RU"/>
                          </w:rPr>
                        </w:pPr>
                        <w:r>
                          <w:rPr>
                            <w:rFonts w:eastAsia="Times New Roman"/>
                            <w:b w:val="0"/>
                            <w:bCs w:val="0"/>
                            <w:color w:val="000000"/>
                            <w:sz w:val="20"/>
                            <w:szCs w:val="20"/>
                            <w:lang w:eastAsia="ru-RU"/>
                          </w:rPr>
                          <w:t>SaaS (software as a service)</w:t>
                        </w:r>
                      </w:p>
                    </w:tc>
                  </w:tr>
                </w:tbl>
                <w:p w14:paraId="7E053A67" w14:textId="77777777" w:rsidR="00953E57" w:rsidRDefault="00953E57">
                  <w:pPr>
                    <w:spacing w:after="240" w:line="240" w:lineRule="atLeast"/>
                    <w:rPr>
                      <w:rFonts w:ascii="Arial" w:hAnsi="Arial" w:cs="Arial"/>
                      <w:sz w:val="18"/>
                      <w:szCs w:val="18"/>
                    </w:rPr>
                  </w:pPr>
                </w:p>
                <w:p w14:paraId="299E873E" w14:textId="77777777" w:rsidR="00953E57" w:rsidRDefault="00953E57">
                  <w:pPr>
                    <w:spacing w:after="240" w:line="240" w:lineRule="atLeast"/>
                  </w:pPr>
                  <w:r>
                    <w:rPr>
                      <w:rFonts w:ascii="Arial" w:hAnsi="Arial" w:cs="Arial"/>
                      <w:b/>
                      <w:bCs/>
                      <w:color w:val="000000"/>
                      <w:sz w:val="18"/>
                      <w:szCs w:val="18"/>
                    </w:rPr>
                    <w:t>About ONGC</w:t>
                  </w:r>
                  <w:r>
                    <w:rPr>
                      <w:rFonts w:ascii="Arial" w:hAnsi="Arial" w:cs="Arial"/>
                      <w:b/>
                      <w:bCs/>
                      <w:color w:val="000000"/>
                      <w:sz w:val="18"/>
                      <w:szCs w:val="18"/>
                    </w:rPr>
                    <w:br/>
                  </w:r>
                  <w:proofErr w:type="spellStart"/>
                  <w:r>
                    <w:rPr>
                      <w:rFonts w:ascii="Arial" w:hAnsi="Arial" w:cs="Arial"/>
                      <w:color w:val="000000"/>
                      <w:sz w:val="18"/>
                      <w:szCs w:val="18"/>
                    </w:rPr>
                    <w:t>Maharatna</w:t>
                  </w:r>
                  <w:proofErr w:type="spellEnd"/>
                  <w:r>
                    <w:rPr>
                      <w:rFonts w:ascii="Arial" w:hAnsi="Arial" w:cs="Arial"/>
                      <w:color w:val="000000"/>
                      <w:sz w:val="18"/>
                      <w:szCs w:val="18"/>
                    </w:rPr>
                    <w:t xml:space="preserve"> ONGC is the largest crude oil and natural gas company in India, contributing around 75% to Indian domestic production. This most extensive natural gas company ranks 11</w:t>
                  </w:r>
                  <w:r>
                    <w:rPr>
                      <w:rFonts w:ascii="Arial" w:hAnsi="Arial" w:cs="Arial"/>
                      <w:color w:val="000000"/>
                      <w:sz w:val="18"/>
                      <w:szCs w:val="18"/>
                      <w:vertAlign w:val="superscript"/>
                    </w:rPr>
                    <w:t>th</w:t>
                  </w:r>
                  <w:r>
                    <w:rPr>
                      <w:rFonts w:ascii="Arial" w:hAnsi="Arial" w:cs="Arial"/>
                      <w:color w:val="000000"/>
                      <w:sz w:val="18"/>
                      <w:szCs w:val="18"/>
                    </w:rPr>
                    <w:t xml:space="preserve"> among global energy majors, and it is the only public sector Indian company to feature in Fortune’s ‘Most Admired Energy Companies’ list. ONGC ranks 18th in ‘Oil and Gas operations’ and 220 overall in Forbes Global 2000.</w:t>
                  </w:r>
                  <w:r>
                    <w:rPr>
                      <w:rFonts w:ascii="Arial" w:hAnsi="Arial" w:cs="Arial"/>
                      <w:color w:val="000000"/>
                      <w:sz w:val="18"/>
                      <w:szCs w:val="18"/>
                    </w:rPr>
                    <w:br/>
                  </w:r>
                  <w:hyperlink r:id="rId10" w:history="1">
                    <w:r>
                      <w:rPr>
                        <w:rStyle w:val="Hyperlink"/>
                        <w:sz w:val="18"/>
                        <w:szCs w:val="18"/>
                      </w:rPr>
                      <w:t>www.ongcindia.com</w:t>
                    </w:r>
                  </w:hyperlink>
                </w:p>
              </w:tc>
            </w:tr>
            <w:tr w:rsidR="00953E57" w14:paraId="197F4EB2" w14:textId="77777777">
              <w:trPr>
                <w:trHeight w:val="113"/>
                <w:jc w:val="center"/>
              </w:trPr>
              <w:tc>
                <w:tcPr>
                  <w:tcW w:w="0" w:type="auto"/>
                  <w:shd w:val="clear" w:color="auto" w:fill="FFFFFF"/>
                  <w:vAlign w:val="bottom"/>
                  <w:hideMark/>
                </w:tcPr>
                <w:p w14:paraId="28427B42" w14:textId="37030D2C" w:rsidR="00953E57" w:rsidRDefault="00953E57">
                  <w:pPr>
                    <w:rPr>
                      <w:rFonts w:ascii="Arial" w:hAnsi="Arial" w:cs="Arial"/>
                    </w:rPr>
                  </w:pPr>
                  <w:r>
                    <w:rPr>
                      <w:rFonts w:ascii="Arial" w:hAnsi="Arial" w:cs="Arial"/>
                      <w:noProof/>
                      <w:color w:val="000000"/>
                    </w:rPr>
                    <w:lastRenderedPageBreak/>
                    <w:drawing>
                      <wp:inline distT="0" distB="0" distL="0" distR="0" wp14:anchorId="28833EC2" wp14:editId="6D2B73B6">
                        <wp:extent cx="5715000" cy="144780"/>
                        <wp:effectExtent l="0" t="0" r="0" b="7620"/>
                        <wp:docPr id="5" name="Picture 5" descr="artwork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workb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44780"/>
                                </a:xfrm>
                                <a:prstGeom prst="rect">
                                  <a:avLst/>
                                </a:prstGeom>
                                <a:noFill/>
                                <a:ln>
                                  <a:noFill/>
                                </a:ln>
                              </pic:spPr>
                            </pic:pic>
                          </a:graphicData>
                        </a:graphic>
                      </wp:inline>
                    </w:drawing>
                  </w:r>
                </w:p>
              </w:tc>
            </w:tr>
            <w:tr w:rsidR="00953E57" w14:paraId="7FADBA8F" w14:textId="77777777">
              <w:trPr>
                <w:jc w:val="center"/>
              </w:trPr>
              <w:tc>
                <w:tcPr>
                  <w:tcW w:w="0" w:type="auto"/>
                  <w:shd w:val="clear" w:color="auto" w:fill="ECECEC"/>
                  <w:tcMar>
                    <w:top w:w="225" w:type="dxa"/>
                    <w:left w:w="450" w:type="dxa"/>
                    <w:bottom w:w="225" w:type="dxa"/>
                    <w:right w:w="450" w:type="dxa"/>
                  </w:tcMar>
                  <w:vAlign w:val="center"/>
                  <w:hideMark/>
                </w:tcPr>
                <w:tbl>
                  <w:tblPr>
                    <w:tblW w:w="8100" w:type="dxa"/>
                    <w:jc w:val="center"/>
                    <w:tblCellMar>
                      <w:left w:w="0" w:type="dxa"/>
                      <w:right w:w="0" w:type="dxa"/>
                    </w:tblCellMar>
                    <w:tblLook w:val="04A0" w:firstRow="1" w:lastRow="0" w:firstColumn="1" w:lastColumn="0" w:noHBand="0" w:noVBand="1"/>
                  </w:tblPr>
                  <w:tblGrid>
                    <w:gridCol w:w="8100"/>
                  </w:tblGrid>
                  <w:tr w:rsidR="00953E57" w14:paraId="089401EE" w14:textId="77777777">
                    <w:trPr>
                      <w:jc w:val="center"/>
                    </w:trPr>
                    <w:tc>
                      <w:tcPr>
                        <w:tcW w:w="0" w:type="auto"/>
                        <w:hideMark/>
                      </w:tcPr>
                      <w:p w14:paraId="43FAD396" w14:textId="1A05EE5D" w:rsidR="00953E57" w:rsidRDefault="00953E57">
                        <w:pPr>
                          <w:jc w:val="center"/>
                          <w:rPr>
                            <w:rFonts w:ascii="Arial" w:hAnsi="Arial" w:cs="Arial"/>
                          </w:rPr>
                        </w:pPr>
                        <w:r>
                          <w:rPr>
                            <w:rFonts w:ascii="Arial" w:hAnsi="Arial" w:cs="Arial"/>
                            <w:noProof/>
                            <w:color w:val="005072"/>
                            <w:bdr w:val="none" w:sz="0" w:space="0" w:color="auto" w:frame="1"/>
                          </w:rPr>
                          <w:drawing>
                            <wp:inline distT="0" distB="0" distL="0" distR="0" wp14:anchorId="4E0B5924" wp14:editId="790A44FF">
                              <wp:extent cx="228600" cy="228600"/>
                              <wp:effectExtent l="0" t="0" r="0" b="0"/>
                              <wp:docPr id="4" name="Picture 4">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hAnsi="Arial" w:cs="Arial"/>
                            <w:sz w:val="5"/>
                            <w:szCs w:val="5"/>
                          </w:rPr>
                          <w:t> </w:t>
                        </w:r>
                        <w:r>
                          <w:rPr>
                            <w:rFonts w:ascii="Arial" w:hAnsi="Arial" w:cs="Arial"/>
                          </w:rPr>
                          <w:t xml:space="preserve"> </w:t>
                        </w:r>
                        <w:r>
                          <w:rPr>
                            <w:rFonts w:ascii="Arial" w:hAnsi="Arial" w:cs="Arial"/>
                            <w:noProof/>
                            <w:color w:val="005072"/>
                            <w:bdr w:val="none" w:sz="0" w:space="0" w:color="auto" w:frame="1"/>
                          </w:rPr>
                          <w:drawing>
                            <wp:inline distT="0" distB="0" distL="0" distR="0" wp14:anchorId="24678A8E" wp14:editId="3D3AC186">
                              <wp:extent cx="228600" cy="228600"/>
                              <wp:effectExtent l="0" t="0" r="0" b="0"/>
                              <wp:docPr id="3" name="Picture 3">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hAnsi="Arial" w:cs="Arial"/>
                            <w:sz w:val="5"/>
                            <w:szCs w:val="5"/>
                          </w:rPr>
                          <w:t> </w:t>
                        </w:r>
                        <w:r>
                          <w:rPr>
                            <w:rFonts w:ascii="Arial" w:hAnsi="Arial" w:cs="Arial"/>
                          </w:rPr>
                          <w:t xml:space="preserve"> </w:t>
                        </w:r>
                        <w:r>
                          <w:rPr>
                            <w:rFonts w:ascii="Arial" w:hAnsi="Arial" w:cs="Arial"/>
                            <w:noProof/>
                            <w:color w:val="005072"/>
                            <w:bdr w:val="none" w:sz="0" w:space="0" w:color="auto" w:frame="1"/>
                          </w:rPr>
                          <w:drawing>
                            <wp:inline distT="0" distB="0" distL="0" distR="0" wp14:anchorId="333B2036" wp14:editId="0AF66B9A">
                              <wp:extent cx="228600" cy="228600"/>
                              <wp:effectExtent l="0" t="0" r="0" b="0"/>
                              <wp:docPr id="2" name="Picture 2">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hAnsi="Arial" w:cs="Arial"/>
                            <w:sz w:val="5"/>
                            <w:szCs w:val="5"/>
                          </w:rPr>
                          <w:t> </w:t>
                        </w:r>
                        <w:r>
                          <w:rPr>
                            <w:rFonts w:ascii="Arial" w:hAnsi="Arial" w:cs="Arial"/>
                          </w:rPr>
                          <w:t xml:space="preserve"> </w:t>
                        </w:r>
                        <w:r>
                          <w:rPr>
                            <w:rFonts w:ascii="Arial" w:hAnsi="Arial" w:cs="Arial"/>
                            <w:noProof/>
                            <w:color w:val="005072"/>
                            <w:bdr w:val="none" w:sz="0" w:space="0" w:color="auto" w:frame="1"/>
                          </w:rPr>
                          <w:drawing>
                            <wp:inline distT="0" distB="0" distL="0" distR="0" wp14:anchorId="7E4F7B0D" wp14:editId="14E09F5F">
                              <wp:extent cx="228600" cy="228600"/>
                              <wp:effectExtent l="0" t="0" r="0" b="0"/>
                              <wp:docPr id="1" name="Picture 1">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953E57" w14:paraId="683209FD" w14:textId="77777777">
                    <w:trPr>
                      <w:jc w:val="center"/>
                    </w:trPr>
                    <w:tc>
                      <w:tcPr>
                        <w:tcW w:w="0" w:type="auto"/>
                        <w:tcMar>
                          <w:top w:w="165" w:type="dxa"/>
                          <w:left w:w="0" w:type="dxa"/>
                          <w:bottom w:w="0" w:type="dxa"/>
                          <w:right w:w="0" w:type="dxa"/>
                        </w:tcMar>
                        <w:vAlign w:val="center"/>
                        <w:hideMark/>
                      </w:tcPr>
                      <w:p w14:paraId="311AB22C" w14:textId="77777777" w:rsidR="00953E57" w:rsidRDefault="00953E57">
                        <w:pPr>
                          <w:jc w:val="center"/>
                          <w:rPr>
                            <w:rFonts w:ascii="Arial" w:hAnsi="Arial" w:cs="Arial"/>
                          </w:rPr>
                        </w:pPr>
                        <w:hyperlink r:id="rId19" w:tgtFrame="_blank" w:history="1">
                          <w:r>
                            <w:rPr>
                              <w:rStyle w:val="Hyperlink"/>
                              <w:b/>
                              <w:bCs/>
                              <w:color w:val="000000"/>
                              <w:sz w:val="15"/>
                              <w:szCs w:val="15"/>
                            </w:rPr>
                            <w:t>Hexagon.com</w:t>
                          </w:r>
                        </w:hyperlink>
                      </w:p>
                    </w:tc>
                  </w:tr>
                </w:tbl>
                <w:p w14:paraId="62B61E1A" w14:textId="77777777" w:rsidR="00953E57" w:rsidRDefault="00953E57">
                  <w:pPr>
                    <w:jc w:val="center"/>
                    <w:rPr>
                      <w:rFonts w:ascii="Times New Roman" w:eastAsia="Times New Roman" w:hAnsi="Times New Roman" w:cs="Times New Roman"/>
                      <w:sz w:val="20"/>
                      <w:szCs w:val="20"/>
                    </w:rPr>
                  </w:pPr>
                </w:p>
              </w:tc>
            </w:tr>
          </w:tbl>
          <w:p w14:paraId="46DB0E76" w14:textId="77777777" w:rsidR="00953E57" w:rsidRDefault="00953E57">
            <w:pPr>
              <w:jc w:val="center"/>
              <w:rPr>
                <w:rFonts w:ascii="Times New Roman" w:eastAsia="Times New Roman" w:hAnsi="Times New Roman" w:cs="Times New Roman"/>
                <w:sz w:val="20"/>
                <w:szCs w:val="20"/>
              </w:rPr>
            </w:pPr>
          </w:p>
        </w:tc>
      </w:tr>
    </w:tbl>
    <w:p w14:paraId="4D8C375A" w14:textId="77777777" w:rsidR="00953E57" w:rsidRDefault="00953E57" w:rsidP="00953E57">
      <w:pPr>
        <w:rPr>
          <w:lang w:val="en-US"/>
        </w:rPr>
      </w:pPr>
    </w:p>
    <w:p w14:paraId="5ADF081B" w14:textId="77777777" w:rsidR="00783E34" w:rsidRDefault="00953E57">
      <w:bookmarkStart w:id="0" w:name="_GoBack"/>
      <w:bookmarkEnd w:id="0"/>
    </w:p>
    <w:sectPr w:rsidR="00783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A4"/>
    <w:rsid w:val="00466EA4"/>
    <w:rsid w:val="00693C3B"/>
    <w:rsid w:val="00953E57"/>
    <w:rsid w:val="00DB3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F0A77-93E5-43A3-8AFA-4BEF93EF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E57"/>
    <w:pPr>
      <w:spacing w:after="0" w:line="240" w:lineRule="auto"/>
    </w:pPr>
    <w:rPr>
      <w:rFonts w:ascii="Calibri" w:hAnsi="Calibri" w:cs="Calibri"/>
      <w:lang w:eastAsia="en-IN"/>
    </w:rPr>
  </w:style>
  <w:style w:type="paragraph" w:styleId="Heading1">
    <w:name w:val="heading 1"/>
    <w:basedOn w:val="Normal"/>
    <w:link w:val="Heading1Char"/>
    <w:uiPriority w:val="9"/>
    <w:qFormat/>
    <w:rsid w:val="00953E57"/>
    <w:pPr>
      <w:spacing w:before="100" w:beforeAutospacing="1" w:after="100" w:afterAutospacing="1" w:line="330" w:lineRule="atLeast"/>
      <w:outlineLvl w:val="0"/>
    </w:pPr>
    <w:rPr>
      <w:rFonts w:ascii="Arial" w:hAnsi="Arial" w:cs="Arial"/>
      <w:b/>
      <w:bCs/>
      <w:kern w:val="36"/>
      <w:sz w:val="27"/>
      <w:szCs w:val="27"/>
    </w:rPr>
  </w:style>
  <w:style w:type="paragraph" w:styleId="Heading2">
    <w:name w:val="heading 2"/>
    <w:basedOn w:val="Normal"/>
    <w:link w:val="Heading2Char"/>
    <w:uiPriority w:val="9"/>
    <w:semiHidden/>
    <w:unhideWhenUsed/>
    <w:qFormat/>
    <w:rsid w:val="00953E57"/>
    <w:pPr>
      <w:spacing w:before="100" w:beforeAutospacing="1" w:after="100" w:afterAutospacing="1" w:line="330" w:lineRule="atLeast"/>
      <w:outlineLvl w:val="1"/>
    </w:pPr>
    <w:rPr>
      <w:rFonts w:ascii="Arial"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E57"/>
    <w:rPr>
      <w:rFonts w:ascii="Arial" w:hAnsi="Arial" w:cs="Arial"/>
      <w:b/>
      <w:bCs/>
      <w:kern w:val="36"/>
      <w:sz w:val="27"/>
      <w:szCs w:val="27"/>
      <w:lang w:eastAsia="en-IN"/>
    </w:rPr>
  </w:style>
  <w:style w:type="character" w:customStyle="1" w:styleId="Heading2Char">
    <w:name w:val="Heading 2 Char"/>
    <w:basedOn w:val="DefaultParagraphFont"/>
    <w:link w:val="Heading2"/>
    <w:uiPriority w:val="9"/>
    <w:semiHidden/>
    <w:rsid w:val="00953E57"/>
    <w:rPr>
      <w:rFonts w:ascii="Arial" w:hAnsi="Arial" w:cs="Arial"/>
      <w:b/>
      <w:bCs/>
      <w:sz w:val="27"/>
      <w:szCs w:val="27"/>
      <w:lang w:eastAsia="en-IN"/>
    </w:rPr>
  </w:style>
  <w:style w:type="character" w:styleId="Hyperlink">
    <w:name w:val="Hyperlink"/>
    <w:basedOn w:val="DefaultParagraphFont"/>
    <w:uiPriority w:val="99"/>
    <w:semiHidden/>
    <w:unhideWhenUsed/>
    <w:rsid w:val="00953E57"/>
    <w:rPr>
      <w:color w:val="005072"/>
      <w:u w:val="single"/>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5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2.safelinks.protection.outlook.com/?url=https%3A%2F%2Fwww.ongcindia.com%2F&amp;data=04%7C01%7C%7Ccf5a3d707461415adced08d880995712%7C1b16ab3eb8f64fe39f3e2db7fe549f6a%7C0%7C0%7C637400743882119635%7CUnknown%7CTWFpbGZsb3d8eyJWIjoiMC4wLjAwMDAiLCJQIjoiV2luMzIiLCJBTiI6Ik1haWwiLCJXVCI6Mn0%3D%7C1000&amp;sdata=9GLlnLEMuofPyZI2aNNydcCqZ63W338G9cEASkzAoJQ%3D&amp;reserved=0" TargetMode="External"/><Relationship Id="rId13" Type="http://schemas.openxmlformats.org/officeDocument/2006/relationships/hyperlink" Target="https://eur02.safelinks.protection.outlook.com/?url=https%3A%2F%2Ftwitter.com%2FHexagonAB&amp;data=04%7C01%7C%7Ccf5a3d707461415adced08d880995712%7C1b16ab3eb8f64fe39f3e2db7fe549f6a%7C0%7C0%7C637400743882129626%7CUnknown%7CTWFpbGZsb3d8eyJWIjoiMC4wLjAwMDAiLCJQIjoiV2luMzIiLCJBTiI6Ik1haWwiLCJXVCI6Mn0%3D%7C1000&amp;sdata=HiGQF5keqUI8hZTLvq481C21dfG1ZmwyC%2Bfzp9MyALo%3D&amp;reserved=0"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s://eur02.safelinks.protection.outlook.com/?url=https%3A%2F%2Fwww.youtube.com%2Fuser%2FHexagonVideos&amp;data=04%7C01%7C%7Ccf5a3d707461415adced08d880995712%7C1b16ab3eb8f64fe39f3e2db7fe549f6a%7C0%7C0%7C637400743882139619%7CUnknown%7CTWFpbGZsb3d8eyJWIjoiMC4wLjAwMDAiLCJQIjoiV2luMzIiLCJBTiI6Ik1haWwiLCJXVCI6Mn0%3D%7C1000&amp;sdata=ygOoWuLJsqCKpJlFeLJKfxu5OAbzEdhp93hOIyID2NE%3D&amp;reserved=0"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eur02.safelinks.protection.outlook.com/?url=https%3A%2F%2Fwww.facebook.com%2FHexagonAB&amp;data=04%7C01%7C%7Ccf5a3d707461415adced08d880995712%7C1b16ab3eb8f64fe39f3e2db7fe549f6a%7C0%7C0%7C637400743882129626%7CUnknown%7CTWFpbGZsb3d8eyJWIjoiMC4wLjAwMDAiLCJQIjoiV2luMzIiLCJBTiI6Ik1haWwiLCJXVCI6Mn0%3D%7C1000&amp;sdata=s0BnML5ceVf8czthDpe4RFAU0O6ZGkKu1iWALRsQHuQ%3D&amp;reserved=0" TargetMode="External"/><Relationship Id="rId5" Type="http://schemas.openxmlformats.org/officeDocument/2006/relationships/image" Target="media/image1.png"/><Relationship Id="rId15" Type="http://schemas.openxmlformats.org/officeDocument/2006/relationships/hyperlink" Target="https://www.linkedin.com/company/hexagon-ab/" TargetMode="External"/><Relationship Id="rId10" Type="http://schemas.openxmlformats.org/officeDocument/2006/relationships/hyperlink" Target="https://eur02.safelinks.protection.outlook.com/?url=http%3A%2F%2Fwww.ongcindia.com%2F&amp;data=04%7C01%7C%7Ccf5a3d707461415adced08d880995712%7C1b16ab3eb8f64fe39f3e2db7fe549f6a%7C0%7C0%7C637400743882119635%7CUnknown%7CTWFpbGZsb3d8eyJWIjoiMC4wLjAwMDAiLCJQIjoiV2luMzIiLCJBTiI6Ik1haWwiLCJXVCI6Mn0%3D%7C1000&amp;sdata=zZaMSXEIIQoJUTetQDFwAjLx%2B2k6t1j6wro%2BB4boPj4%3D&amp;reserved=0" TargetMode="External"/><Relationship Id="rId19" Type="http://schemas.openxmlformats.org/officeDocument/2006/relationships/hyperlink" Target="https://hexagon.com/" TargetMode="External"/><Relationship Id="rId4" Type="http://schemas.openxmlformats.org/officeDocument/2006/relationships/hyperlink" Target="https://hexagon.com/" TargetMode="External"/><Relationship Id="rId9" Type="http://schemas.openxmlformats.org/officeDocument/2006/relationships/hyperlink" Target="mailto:rajat.tikku@hexagon.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3</cp:revision>
  <dcterms:created xsi:type="dcterms:W3CDTF">2020-11-04T16:02:00Z</dcterms:created>
  <dcterms:modified xsi:type="dcterms:W3CDTF">2020-11-04T16:03:00Z</dcterms:modified>
</cp:coreProperties>
</file>