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Aptos Display" w:hAnsi="Aptos Display" w:cs="Aptos Display"/>
          <w:b/>
          <w:i w:val="0"/>
          <w:color w:val="17324D"/>
          <w:sz w:val="44"/>
        </w:rPr>
        <w:t>EMAIL FOLLOW-UP ORCHESTRATOR</w:t>
      </w:r>
    </w:p>
    <w:p>
      <w:pPr>
        <w:spacing w:after="200"/>
      </w:pPr>
      <w:r>
        <w:rPr>
          <w:rFonts w:ascii="Aptos" w:hAnsi="Aptos" w:cs="Aptos"/>
          <w:b w:val="0"/>
          <w:i w:val="0"/>
          <w:color w:val="475569"/>
          <w:sz w:val="22"/>
        </w:rPr>
        <w:t>Sequence timing, cross-mapping, edge cases, and delivery estimate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952"/>
            <w:shd w:fill="F1F5F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8" w:color="2563EB"/>
            </w:tcBorders>
          </w:tcPr>
          <w:p>
            <w:pPr>
              <w:spacing w:after="40"/>
            </w:pPr>
            <w:r>
              <w:rPr>
                <w:rFonts w:ascii="Aptos" w:hAnsi="Aptos" w:cs="Aptos"/>
                <w:b/>
                <w:i w:val="0"/>
                <w:color w:val="64748B"/>
                <w:sz w:val="14"/>
              </w:rPr>
              <w:t>DOCUMENT TYPE</w:t>
            </w:r>
          </w:p>
          <w:p>
            <w:pPr>
              <w:spacing w:after="0"/>
            </w:pPr>
            <w:r>
              <w:rPr>
                <w:rFonts w:ascii="Aptos" w:hAnsi="Aptos" w:cs="Aptos"/>
                <w:b/>
                <w:i w:val="0"/>
                <w:color w:val="17324D"/>
                <w:sz w:val="18"/>
              </w:rPr>
              <w:t>Engineering design note</w:t>
            </w:r>
          </w:p>
        </w:tc>
        <w:tc>
          <w:tcPr>
            <w:tcW w:type="dxa" w:w="2952"/>
            <w:shd w:fill="F1F5F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8" w:color="2563EB"/>
            </w:tcBorders>
          </w:tcPr>
          <w:p>
            <w:pPr>
              <w:spacing w:after="40"/>
            </w:pPr>
            <w:r>
              <w:rPr>
                <w:rFonts w:ascii="Aptos" w:hAnsi="Aptos" w:cs="Aptos"/>
                <w:b/>
                <w:i w:val="0"/>
                <w:color w:val="64748B"/>
                <w:sz w:val="14"/>
              </w:rPr>
              <w:t>VERSION</w:t>
            </w:r>
          </w:p>
          <w:p>
            <w:pPr>
              <w:spacing w:after="0"/>
            </w:pPr>
            <w:r>
              <w:rPr>
                <w:rFonts w:ascii="Aptos" w:hAnsi="Aptos" w:cs="Aptos"/>
                <w:b/>
                <w:i w:val="0"/>
                <w:color w:val="17324D"/>
                <w:sz w:val="18"/>
              </w:rPr>
              <w:t>1.0</w:t>
            </w:r>
          </w:p>
        </w:tc>
        <w:tc>
          <w:tcPr>
            <w:tcW w:type="dxa" w:w="3456"/>
            <w:shd w:fill="F1F5F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8" w:color="2563EB"/>
            </w:tcBorders>
          </w:tcPr>
          <w:p>
            <w:pPr>
              <w:spacing w:after="40"/>
            </w:pPr>
            <w:r>
              <w:rPr>
                <w:rFonts w:ascii="Aptos" w:hAnsi="Aptos" w:cs="Aptos"/>
                <w:b/>
                <w:i w:val="0"/>
                <w:color w:val="64748B"/>
                <w:sz w:val="14"/>
              </w:rPr>
              <w:t>DATE</w:t>
            </w:r>
          </w:p>
          <w:p>
            <w:pPr>
              <w:spacing w:after="0"/>
            </w:pPr>
            <w:r>
              <w:rPr>
                <w:rFonts w:ascii="Aptos" w:hAnsi="Aptos" w:cs="Aptos"/>
                <w:b/>
                <w:i w:val="0"/>
                <w:color w:val="17324D"/>
                <w:sz w:val="18"/>
              </w:rPr>
              <w:t>16 October 2026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Aptos" w:hAnsi="Aptos" w:cs="Aptos"/>
          <w:b/>
          <w:i w:val="0"/>
          <w:color w:val="17324D"/>
          <w:sz w:val="32"/>
        </w:rPr>
        <w:t>1. Purpose and scope</w:t>
      </w:r>
    </w:p>
    <w:p>
      <w:pPr>
        <w:spacing w:before="0" w:after="100" w:line="264" w:lineRule="auto"/>
      </w:pPr>
      <w:r>
        <w:rPr>
          <w:rFonts w:ascii="Aptos" w:hAnsi="Aptos" w:cs="Aptos"/>
          <w:b w:val="0"/>
          <w:i w:val="0"/>
          <w:color w:val="1F2937"/>
          <w:sz w:val="18"/>
        </w:rPr>
        <w:t>This document specifies how the 11-email follow-up catalogue is scheduled and how a lead moves between three engagement branches: N (not opened), O (opened without a click), and C (clicked). It covers cross-mapping from every NO_* email into O_1 or C_1, and from every O_* email into C_1, plus stopping conditions and implementation estimates.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864"/>
            <w:shd w:fill="EFF6FF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color="CBD5E1"/>
              <w:left w:val="single" w:sz="22" w:color="2563EB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Aptos" w:hAnsi="Aptos" w:cs="Aptos"/>
                <w:b/>
                <w:i w:val="0"/>
                <w:color w:val="2563EB"/>
                <w:sz w:val="19"/>
              </w:rPr>
              <w:t>Design principle</w:t>
            </w:r>
          </w:p>
          <w:p>
            <w:pPr>
              <w:spacing w:after="0" w:line="259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7"/>
              </w:rPr>
              <w:t>Treat the campaign as one event-driven state machine, not three independent sequences. A qualifying event changes the lead state, invalidates obsolete scheduled jobs, and starts the destination branch at its first email.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Aptos" w:hAnsi="Aptos" w:cs="Aptos"/>
          <w:b/>
          <w:i w:val="0"/>
          <w:color w:val="17324D"/>
          <w:sz w:val="32"/>
        </w:rPr>
        <w:t>2. Email sequence and timing model</w:t>
      </w:r>
    </w:p>
    <w:p>
      <w:pPr>
        <w:spacing w:before="0" w:after="100" w:line="264" w:lineRule="auto"/>
      </w:pPr>
      <w:r>
        <w:rPr>
          <w:rFonts w:ascii="Aptos" w:hAnsi="Aptos" w:cs="Aptos"/>
          <w:b w:val="0"/>
          <w:i w:val="0"/>
          <w:color w:val="1F2937"/>
          <w:sz w:val="17"/>
        </w:rPr>
        <w:t>Waits are measured from the previous email in the same branch. For branch transitions, O_1 or C_1 is sent immediately after the event is accepted; subsequent waits are measured from that branch’s send schedule.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FFFFFF"/>
                <w:sz w:val="15"/>
              </w:rPr>
              <w:t>Branch</w:t>
            </w:r>
          </w:p>
        </w:tc>
        <w:tc>
          <w:tcPr>
            <w:tcW w:type="dxa" w:w="123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FFFFFF"/>
                <w:sz w:val="15"/>
              </w:rPr>
              <w:t>Email</w:t>
            </w:r>
          </w:p>
        </w:tc>
        <w:tc>
          <w:tcPr>
            <w:tcW w:type="dxa" w:w="42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FFFFFF"/>
                <w:sz w:val="15"/>
              </w:rPr>
              <w:t>Wait / trigger</w:t>
            </w:r>
          </w:p>
        </w:tc>
        <w:tc>
          <w:tcPr>
            <w:tcW w:type="dxa" w:w="169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FFFFFF"/>
                <w:sz w:val="15"/>
              </w:rPr>
              <w:t>Elapsed time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N — Not opened</w:t>
            </w:r>
          </w:p>
        </w:tc>
        <w:tc>
          <w:tcPr>
            <w:tcW w:type="dxa" w:w="123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NO_1</w:t>
            </w:r>
          </w:p>
        </w:tc>
        <w:tc>
          <w:tcPr>
            <w:tcW w:type="dxa" w:w="42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Initial send</w:t>
            </w:r>
          </w:p>
        </w:tc>
        <w:tc>
          <w:tcPr>
            <w:tcW w:type="dxa" w:w="169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Day 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N — Not opened</w:t>
            </w:r>
          </w:p>
        </w:tc>
        <w:tc>
          <w:tcPr>
            <w:tcW w:type="dxa" w:w="123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NO_2</w:t>
            </w:r>
          </w:p>
        </w:tc>
        <w:tc>
          <w:tcPr>
            <w:tcW w:type="dxa" w:w="42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+2 days after NO_1</w:t>
            </w:r>
          </w:p>
        </w:tc>
        <w:tc>
          <w:tcPr>
            <w:tcW w:type="dxa" w:w="169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Day 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N — Not opened</w:t>
            </w:r>
          </w:p>
        </w:tc>
        <w:tc>
          <w:tcPr>
            <w:tcW w:type="dxa" w:w="123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NO_3</w:t>
            </w:r>
          </w:p>
        </w:tc>
        <w:tc>
          <w:tcPr>
            <w:tcW w:type="dxa" w:w="42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+2 days after NO_2</w:t>
            </w:r>
          </w:p>
        </w:tc>
        <w:tc>
          <w:tcPr>
            <w:tcW w:type="dxa" w:w="169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Day 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N — Not opened</w:t>
            </w:r>
          </w:p>
        </w:tc>
        <w:tc>
          <w:tcPr>
            <w:tcW w:type="dxa" w:w="123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NO_4</w:t>
            </w:r>
          </w:p>
        </w:tc>
        <w:tc>
          <w:tcPr>
            <w:tcW w:type="dxa" w:w="42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+3 days after NO_3</w:t>
            </w:r>
          </w:p>
        </w:tc>
        <w:tc>
          <w:tcPr>
            <w:tcW w:type="dxa" w:w="169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Day 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N — Not opened</w:t>
            </w:r>
          </w:p>
        </w:tc>
        <w:tc>
          <w:tcPr>
            <w:tcW w:type="dxa" w:w="123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NO_5</w:t>
            </w:r>
          </w:p>
        </w:tc>
        <w:tc>
          <w:tcPr>
            <w:tcW w:type="dxa" w:w="42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+3 days after NO_4</w:t>
            </w:r>
          </w:p>
        </w:tc>
        <w:tc>
          <w:tcPr>
            <w:tcW w:type="dxa" w:w="169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Day 10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O — Opened, no click</w:t>
            </w:r>
          </w:p>
        </w:tc>
        <w:tc>
          <w:tcPr>
            <w:tcW w:type="dxa" w:w="123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O_1</w:t>
            </w:r>
          </w:p>
        </w:tc>
        <w:tc>
          <w:tcPr>
            <w:tcW w:type="dxa" w:w="42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Immediately on transition to O</w:t>
            </w:r>
          </w:p>
        </w:tc>
        <w:tc>
          <w:tcPr>
            <w:tcW w:type="dxa" w:w="169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Branch day 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O — Opened, no click</w:t>
            </w:r>
          </w:p>
        </w:tc>
        <w:tc>
          <w:tcPr>
            <w:tcW w:type="dxa" w:w="123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O_2</w:t>
            </w:r>
          </w:p>
        </w:tc>
        <w:tc>
          <w:tcPr>
            <w:tcW w:type="dxa" w:w="42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+2 days after O_1</w:t>
            </w:r>
          </w:p>
        </w:tc>
        <w:tc>
          <w:tcPr>
            <w:tcW w:type="dxa" w:w="169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Branch day 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O — Opened, no click</w:t>
            </w:r>
          </w:p>
        </w:tc>
        <w:tc>
          <w:tcPr>
            <w:tcW w:type="dxa" w:w="123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O_3</w:t>
            </w:r>
          </w:p>
        </w:tc>
        <w:tc>
          <w:tcPr>
            <w:tcW w:type="dxa" w:w="42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+3 days after O_2</w:t>
            </w:r>
          </w:p>
        </w:tc>
        <w:tc>
          <w:tcPr>
            <w:tcW w:type="dxa" w:w="169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Branch day 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C — Clicked</w:t>
            </w:r>
          </w:p>
        </w:tc>
        <w:tc>
          <w:tcPr>
            <w:tcW w:type="dxa" w:w="123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C_1</w:t>
            </w:r>
          </w:p>
        </w:tc>
        <w:tc>
          <w:tcPr>
            <w:tcW w:type="dxa" w:w="42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Immediately on transition to C</w:t>
            </w:r>
          </w:p>
        </w:tc>
        <w:tc>
          <w:tcPr>
            <w:tcW w:type="dxa" w:w="169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Branch day 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C — Clicked</w:t>
            </w:r>
          </w:p>
        </w:tc>
        <w:tc>
          <w:tcPr>
            <w:tcW w:type="dxa" w:w="123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C_2</w:t>
            </w:r>
          </w:p>
        </w:tc>
        <w:tc>
          <w:tcPr>
            <w:tcW w:type="dxa" w:w="42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+2 days after C_1</w:t>
            </w:r>
          </w:p>
        </w:tc>
        <w:tc>
          <w:tcPr>
            <w:tcW w:type="dxa" w:w="169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Branch day 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C — Clicked</w:t>
            </w:r>
          </w:p>
        </w:tc>
        <w:tc>
          <w:tcPr>
            <w:tcW w:type="dxa" w:w="123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C_3</w:t>
            </w:r>
          </w:p>
        </w:tc>
        <w:tc>
          <w:tcPr>
            <w:tcW w:type="dxa" w:w="42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+3 days after C_2</w:t>
            </w:r>
          </w:p>
        </w:tc>
        <w:tc>
          <w:tcPr>
            <w:tcW w:type="dxa" w:w="169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Branch day 5</w:t>
            </w:r>
          </w:p>
        </w:tc>
      </w:tr>
    </w:tbl>
    <w:p>
      <w:pPr>
        <w:spacing w:before="0" w:after="100" w:line="264" w:lineRule="auto"/>
      </w:pPr>
      <w:r>
        <w:rPr>
          <w:rFonts w:ascii="Aptos" w:hAnsi="Aptos" w:cs="Aptos"/>
          <w:b w:val="0"/>
          <w:i/>
          <w:color w:val="64748B"/>
          <w:sz w:val="16"/>
        </w:rPr>
        <w:t>Timing assumption: the cross-mapping examples later in this document show events detected at the listed NO_* send day. If an open/click arrives later, O_1/C_1 should start at event-processing time and the new branch’s clock starts there.</w:t>
      </w: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Aptos" w:hAnsi="Aptos" w:cs="Aptos"/>
          <w:b/>
          <w:i w:val="0"/>
          <w:color w:val="17324D"/>
          <w:sz w:val="32"/>
        </w:rPr>
        <w:t>3. State model and allowed transitions</w:t>
      </w:r>
    </w:p>
    <w:p>
      <w:pPr>
        <w:spacing w:before="0" w:after="100" w:line="264" w:lineRule="auto"/>
      </w:pPr>
      <w:r>
        <w:rPr>
          <w:rFonts w:ascii="Aptos" w:hAnsi="Aptos" w:cs="Aptos"/>
          <w:b w:val="0"/>
          <w:i w:val="0"/>
          <w:color w:val="1F2937"/>
          <w:sz w:val="18"/>
        </w:rPr>
        <w:t>The state hierarchy is monotonic: N can move to O or directly to C; O can move to C; C does not move back to O or N. Click evidence wins over open evidence. Converted or suppressed leads stop regardless of engagement state.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14384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38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 w:cs="Aptos"/>
          <w:b w:val="0"/>
          <w:i/>
          <w:color w:val="64748B"/>
          <w:sz w:val="15"/>
        </w:rPr>
        <w:t>Figure 1. Branch model. Solid arrows represent engagement transitions; dashed arrows represent stop/suppression conditions.</w:t>
      </w:r>
    </w:p>
    <w:p>
      <w:pPr>
        <w:pStyle w:val="Heading1"/>
        <w:keepNext/>
        <w:spacing w:before="160" w:after="80"/>
      </w:pPr>
      <w:r>
        <w:rPr>
          <w:rFonts w:ascii="Aptos" w:hAnsi="Aptos" w:cs="Aptos"/>
          <w:b/>
          <w:i w:val="0"/>
          <w:color w:val="17324D"/>
          <w:sz w:val="32"/>
        </w:rPr>
        <w:t>4. Full mapping from NO_1 through NO_5</w:t>
      </w:r>
    </w:p>
    <w:p>
      <w:pPr>
        <w:spacing w:before="0" w:after="100" w:line="264" w:lineRule="auto"/>
      </w:pPr>
      <w:r>
        <w:rPr>
          <w:rFonts w:ascii="Aptos" w:hAnsi="Aptos" w:cs="Aptos"/>
          <w:b w:val="0"/>
          <w:i w:val="0"/>
          <w:color w:val="1F2937"/>
          <w:sz w:val="16"/>
        </w:rPr>
        <w:t>Each event is evaluated against the email currently sent. “Open only” means the lead opened but no click has been recorded by the time the transition is evaluated. “Click” includes a click from any eligible link in that email.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FFFFFF"/>
                <w:sz w:val="14"/>
              </w:rPr>
              <w:t>Current email / event anchor</w:t>
            </w:r>
          </w:p>
        </w:tc>
        <w:tc>
          <w:tcPr>
            <w:tcW w:type="dxa" w:w="16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FFFFFF"/>
                <w:sz w:val="14"/>
              </w:rPr>
              <w:t>No engagement</w:t>
            </w:r>
          </w:p>
        </w:tc>
        <w:tc>
          <w:tcPr>
            <w:tcW w:type="dxa" w:w="31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FFFFFF"/>
                <w:sz w:val="14"/>
              </w:rPr>
              <w:t>Open only → O branch</w:t>
            </w:r>
          </w:p>
        </w:tc>
        <w:tc>
          <w:tcPr>
            <w:tcW w:type="dxa" w:w="305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FFFFFF"/>
                <w:sz w:val="14"/>
              </w:rPr>
              <w:t>Click → C branch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4"/>
              </w:rPr>
              <w:t>NO_1 (Day 0)</w:t>
            </w:r>
          </w:p>
        </w:tc>
        <w:tc>
          <w:tcPr>
            <w:tcW w:type="dxa" w:w="16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4"/>
              </w:rPr>
              <w:t>NO_2 at Day 2</w:t>
            </w:r>
          </w:p>
        </w:tc>
        <w:tc>
          <w:tcPr>
            <w:tcW w:type="dxa" w:w="31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4"/>
              </w:rPr>
              <w:t>O_1 → O_2 (Day 2) → O_3 (Day 5)</w:t>
            </w:r>
          </w:p>
        </w:tc>
        <w:tc>
          <w:tcPr>
            <w:tcW w:type="dxa" w:w="305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4"/>
              </w:rPr>
              <w:t>C_1 → C_2 (Day 2) → C_3 (Day 5)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4"/>
              </w:rPr>
              <w:t>NO_2 (Day 2)</w:t>
            </w:r>
          </w:p>
        </w:tc>
        <w:tc>
          <w:tcPr>
            <w:tcW w:type="dxa" w:w="16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4"/>
              </w:rPr>
              <w:t>NO_3 at Day 4</w:t>
            </w:r>
          </w:p>
        </w:tc>
        <w:tc>
          <w:tcPr>
            <w:tcW w:type="dxa" w:w="31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4"/>
              </w:rPr>
              <w:t>O_1 at Day 2 → O_2 Day 4 → O_3 Day 7</w:t>
            </w:r>
          </w:p>
        </w:tc>
        <w:tc>
          <w:tcPr>
            <w:tcW w:type="dxa" w:w="305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4"/>
              </w:rPr>
              <w:t>C_1 at Day 2 → C_2 Day 4 → C_3 Day 7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4"/>
              </w:rPr>
              <w:t>NO_3 (Day 4)</w:t>
            </w:r>
          </w:p>
        </w:tc>
        <w:tc>
          <w:tcPr>
            <w:tcW w:type="dxa" w:w="16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4"/>
              </w:rPr>
              <w:t>NO_4 at Day 7</w:t>
            </w:r>
          </w:p>
        </w:tc>
        <w:tc>
          <w:tcPr>
            <w:tcW w:type="dxa" w:w="31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4"/>
              </w:rPr>
              <w:t>O_1 at Day 4 → O_2 Day 6 → O_3 Day 9</w:t>
            </w:r>
          </w:p>
        </w:tc>
        <w:tc>
          <w:tcPr>
            <w:tcW w:type="dxa" w:w="305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4"/>
              </w:rPr>
              <w:t>C_1 at Day 4 → C_2 Day 6 → C_3 Day 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4"/>
              </w:rPr>
              <w:t>NO_4 (Day 7)</w:t>
            </w:r>
          </w:p>
        </w:tc>
        <w:tc>
          <w:tcPr>
            <w:tcW w:type="dxa" w:w="16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4"/>
              </w:rPr>
              <w:t>NO_5 at Day 10</w:t>
            </w:r>
          </w:p>
        </w:tc>
        <w:tc>
          <w:tcPr>
            <w:tcW w:type="dxa" w:w="31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4"/>
              </w:rPr>
              <w:t>O_1 at Day 7 → O_2 Day 9 → O_3 Day 12</w:t>
            </w:r>
          </w:p>
        </w:tc>
        <w:tc>
          <w:tcPr>
            <w:tcW w:type="dxa" w:w="305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4"/>
              </w:rPr>
              <w:t>C_1 at Day 7 → C_2 Day 9 → C_3 Day 12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4"/>
              </w:rPr>
              <w:t>NO_5 (Day 10)</w:t>
            </w:r>
          </w:p>
        </w:tc>
        <w:tc>
          <w:tcPr>
            <w:tcW w:type="dxa" w:w="16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4"/>
              </w:rPr>
              <w:t>N branch complete</w:t>
            </w:r>
          </w:p>
        </w:tc>
        <w:tc>
          <w:tcPr>
            <w:tcW w:type="dxa" w:w="31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4"/>
              </w:rPr>
              <w:t>O_1 at Day 10 → O_2 Day 12 → O_3 Day 15*</w:t>
            </w:r>
          </w:p>
        </w:tc>
        <w:tc>
          <w:tcPr>
            <w:tcW w:type="dxa" w:w="305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4"/>
              </w:rPr>
              <w:t>C_1 at Day 10 → C_2 Day 12 → C_3 Day 15*</w:t>
            </w:r>
          </w:p>
        </w:tc>
      </w:tr>
    </w:tbl>
    <w:p>
      <w:pPr>
        <w:spacing w:before="0" w:after="100" w:line="264" w:lineRule="auto"/>
      </w:pPr>
      <w:r>
        <w:rPr>
          <w:rFonts w:ascii="Aptos" w:hAnsi="Aptos" w:cs="Aptos"/>
          <w:b w:val="0"/>
          <w:i/>
          <w:color w:val="64748B"/>
          <w:sz w:val="15"/>
        </w:rPr>
        <w:t>* Late opens/clicks after NO_5 require the campaign to remain eligible for post-sequence engagement. The elapsed-day examples assume the event occurs at the anchor day; if received later, shift the new branch schedule to the accepted event time.</w:t>
      </w: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Aptos" w:hAnsi="Aptos" w:cs="Aptos"/>
          <w:b/>
          <w:i w:val="0"/>
          <w:color w:val="17324D"/>
          <w:sz w:val="32"/>
        </w:rPr>
        <w:t>5. Full mapping from O_1 through O_3 into C_1 through C_3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Current email / event anchor</w:t>
            </w:r>
          </w:p>
        </w:tc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No click</w:t>
            </w:r>
          </w:p>
        </w:tc>
        <w:tc>
          <w:tcPr>
            <w:tcW w:type="dxa" w:w="529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Click → C branch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6"/>
              </w:rPr>
              <w:t>O_1 (O branch Day 0)</w:t>
            </w:r>
          </w:p>
        </w:tc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6"/>
              </w:rPr>
              <w:t>O_2 after 2 days</w:t>
            </w:r>
          </w:p>
        </w:tc>
        <w:tc>
          <w:tcPr>
            <w:tcW w:type="dxa" w:w="529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6"/>
              </w:rPr>
              <w:t>Click → C_1 immediately; C_2 at +2d; C_3 at +5d from C_1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6"/>
              </w:rPr>
              <w:t>O_2 (O branch Day 2)</w:t>
            </w:r>
          </w:p>
        </w:tc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6"/>
              </w:rPr>
              <w:t>O_3 after 3 more days</w:t>
            </w:r>
          </w:p>
        </w:tc>
        <w:tc>
          <w:tcPr>
            <w:tcW w:type="dxa" w:w="529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6"/>
              </w:rPr>
              <w:t>Click → C_1 immediately; C_2 at +2d; C_3 at +5d from C_1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6"/>
              </w:rPr>
              <w:t>O_3 (O branch Day 5)</w:t>
            </w:r>
          </w:p>
        </w:tc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6"/>
              </w:rPr>
              <w:t>O branch complete</w:t>
            </w:r>
          </w:p>
        </w:tc>
        <w:tc>
          <w:tcPr>
            <w:tcW w:type="dxa" w:w="529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6"/>
              </w:rPr>
              <w:t>Click → C_1 immediately; C_2 at +2d; C_3 at +5d from C_1*</w:t>
            </w:r>
          </w:p>
        </w:tc>
      </w:tr>
    </w:tbl>
    <w:p>
      <w:pPr>
        <w:spacing w:before="0" w:after="100" w:line="264" w:lineRule="auto"/>
      </w:pPr>
      <w:r>
        <w:rPr>
          <w:rFonts w:ascii="Aptos" w:hAnsi="Aptos" w:cs="Aptos"/>
          <w:b w:val="0"/>
          <w:i/>
          <w:color w:val="64748B"/>
          <w:sz w:val="16"/>
        </w:rPr>
        <w:t>* A click after O_3 is a late-engagement path. The campaign needs an explicit eligibility window; otherwise, record the click without automatically restarting follow-ups.</w:t>
      </w:r>
    </w:p>
    <w:p>
      <w:pPr>
        <w:pStyle w:val="Heading1"/>
        <w:keepNext/>
        <w:spacing w:before="160" w:after="80"/>
      </w:pPr>
      <w:r>
        <w:rPr>
          <w:rFonts w:ascii="Aptos" w:hAnsi="Aptos" w:cs="Aptos"/>
          <w:b/>
          <w:i w:val="0"/>
          <w:color w:val="17324D"/>
          <w:sz w:val="32"/>
        </w:rPr>
        <w:t>6. Event handling rules and edge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FFFFFF"/>
                <w:sz w:val="15"/>
              </w:rPr>
              <w:t>Scenario</w:t>
            </w:r>
          </w:p>
        </w:tc>
        <w:tc>
          <w:tcPr>
            <w:tcW w:type="dxa" w:w="65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FFFFFF"/>
                <w:sz w:val="15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Click without an open event</w:t>
            </w:r>
          </w:p>
        </w:tc>
        <w:tc>
          <w:tcPr>
            <w:tcW w:type="dxa" w:w="65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Move directly to C. Do not require an open event to be present first.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Open and click arrive close together</w:t>
            </w:r>
          </w:p>
        </w:tc>
        <w:tc>
          <w:tcPr>
            <w:tcW w:type="dxa" w:w="65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C wins. Do not send O_1 after the click has been accepted.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Open arrives after click</w:t>
            </w:r>
          </w:p>
        </w:tc>
        <w:tc>
          <w:tcPr>
            <w:tcW w:type="dxa" w:w="65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Keep C as the current engagement state; never downgrade.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Click arrives when follow-up is due</w:t>
            </w:r>
          </w:p>
        </w:tc>
        <w:tc>
          <w:tcPr>
            <w:tcW w:type="dxa" w:w="65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Recheck current state and suppression immediately before send; invalidate the old job.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Duplicate webhook</w:t>
            </w:r>
          </w:p>
        </w:tc>
        <w:tc>
          <w:tcPr>
            <w:tcW w:type="dxa" w:w="65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Deduplicate by provider event ID or a deterministic event key; do not send C_1 twice.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Out-of-order webhook</w:t>
            </w:r>
          </w:p>
        </w:tc>
        <w:tc>
          <w:tcPr>
            <w:tcW w:type="dxa" w:w="65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Persist the event, compare its meaning with current state, and prevent stale events from reverting the state.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Conversion / booking</w:t>
            </w:r>
          </w:p>
        </w:tc>
        <w:tc>
          <w:tcPr>
            <w:tcW w:type="dxa" w:w="65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Stop remaining sales follow-ups.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Unsubscribe / hard bounce / complaint</w:t>
            </w:r>
          </w:p>
        </w:tc>
        <w:tc>
          <w:tcPr>
            <w:tcW w:type="dxa" w:w="65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Apply suppression immediately and block future marketing sends.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Reply received</w:t>
            </w:r>
          </w:p>
        </w:tc>
        <w:tc>
          <w:tcPr>
            <w:tcW w:type="dxa" w:w="65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Pause or stop according to a configured reply-handling policy.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Parallel workers</w:t>
            </w:r>
          </w:p>
        </w:tc>
        <w:tc>
          <w:tcPr>
            <w:tcW w:type="dxa" w:w="65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Use an atomic state update / per-lead serialization so only one active branch remains.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Sequence finished, then click occurs</w:t>
            </w:r>
          </w:p>
        </w:tc>
        <w:tc>
          <w:tcPr>
            <w:tcW w:type="dxa" w:w="65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Record the click; start C only if the late-engagement policy allows it.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Temporary provider failure</w:t>
            </w:r>
          </w:p>
        </w:tc>
        <w:tc>
          <w:tcPr>
            <w:tcW w:type="dxa" w:w="65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Use bounded retries with backoff and idempotent send keys to avoid duplicate emails.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Aptos" w:hAnsi="Aptos" w:cs="Aptos"/>
          <w:b/>
          <w:i w:val="0"/>
          <w:color w:val="17324D"/>
          <w:sz w:val="32"/>
        </w:rPr>
        <w:t>7. State transition invariants</w:t>
      </w:r>
    </w:p>
    <w:p>
      <w:pPr>
        <w:pStyle w:val="ListBullet"/>
        <w:spacing w:after="40" w:line="252" w:lineRule="auto"/>
        <w:ind w:left="317" w:hanging="173"/>
      </w:pPr>
      <w:r>
        <w:rPr>
          <w:rFonts w:ascii="Aptos" w:hAnsi="Aptos" w:cs="Aptos"/>
          <w:b w:val="0"/>
          <w:i w:val="0"/>
          <w:color w:val="1F2937"/>
          <w:sz w:val="16"/>
        </w:rPr>
        <w:t>Start a destination branch at its first email: O_1 or C_1. Never jump directly to O_2/C_2/C_3 because of the source email position.</w:t>
      </w:r>
    </w:p>
    <w:p>
      <w:pPr>
        <w:pStyle w:val="ListBullet"/>
        <w:spacing w:after="40" w:line="252" w:lineRule="auto"/>
        <w:ind w:left="317" w:hanging="173"/>
      </w:pPr>
      <w:r>
        <w:rPr>
          <w:rFonts w:ascii="Aptos" w:hAnsi="Aptos" w:cs="Aptos"/>
          <w:b w:val="0"/>
          <w:i w:val="0"/>
          <w:color w:val="1F2937"/>
          <w:sz w:val="16"/>
        </w:rPr>
        <w:t>At most one engagement branch is active for a lead at a time.</w:t>
      </w:r>
    </w:p>
    <w:p>
      <w:pPr>
        <w:pStyle w:val="ListBullet"/>
        <w:spacing w:after="40" w:line="252" w:lineRule="auto"/>
        <w:ind w:left="317" w:hanging="173"/>
      </w:pPr>
      <w:r>
        <w:rPr>
          <w:rFonts w:ascii="Aptos" w:hAnsi="Aptos" w:cs="Aptos"/>
          <w:b w:val="0"/>
          <w:i w:val="0"/>
          <w:color w:val="1F2937"/>
          <w:sz w:val="16"/>
        </w:rPr>
        <w:t>All scheduled jobs must be revalidated at send time against current state, campaign eligibility, and suppression.</w:t>
      </w:r>
    </w:p>
    <w:p>
      <w:pPr>
        <w:pStyle w:val="ListBullet"/>
        <w:spacing w:after="40" w:line="252" w:lineRule="auto"/>
        <w:ind w:left="317" w:hanging="173"/>
      </w:pPr>
      <w:r>
        <w:rPr>
          <w:rFonts w:ascii="Aptos" w:hAnsi="Aptos" w:cs="Aptos"/>
          <w:b w:val="0"/>
          <w:i w:val="0"/>
          <w:color w:val="1F2937"/>
          <w:sz w:val="16"/>
        </w:rPr>
        <w:t>Job cancellation should be durable where possible; otherwise, use a state/version guard so stale jobs become no-ops.</w:t>
      </w:r>
    </w:p>
    <w:p>
      <w:pPr>
        <w:pStyle w:val="ListBullet"/>
        <w:spacing w:after="40" w:line="252" w:lineRule="auto"/>
        <w:ind w:left="317" w:hanging="173"/>
      </w:pPr>
      <w:r>
        <w:rPr>
          <w:rFonts w:ascii="Aptos" w:hAnsi="Aptos" w:cs="Aptos"/>
          <w:b w:val="0"/>
          <w:i w:val="0"/>
          <w:color w:val="1F2937"/>
          <w:sz w:val="16"/>
        </w:rPr>
        <w:t>Open tracking can be noisy or unavailable in some email clients. Treat click as the stronger engagement signal.</w:t>
      </w: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Aptos" w:hAnsi="Aptos" w:cs="Aptos"/>
          <w:b/>
          <w:i w:val="0"/>
          <w:color w:val="17324D"/>
          <w:sz w:val="32"/>
        </w:rPr>
        <w:t>8. Implementation estimate</w:t>
      </w:r>
    </w:p>
    <w:p>
      <w:pPr>
        <w:spacing w:before="0" w:after="100" w:line="264" w:lineRule="auto"/>
      </w:pPr>
      <w:r>
        <w:rPr>
          <w:rFonts w:ascii="Aptos" w:hAnsi="Aptos" w:cs="Aptos"/>
          <w:b w:val="0"/>
          <w:i w:val="0"/>
          <w:color w:val="1F2937"/>
          <w:sz w:val="17"/>
        </w:rPr>
        <w:t>Estimate for one developer. The range assumes the existing email sender, database, scheduler/queue, and webhook receiver are usable; it is not a guarantee or a measurement from the repository.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Scope</w:t>
            </w:r>
          </w:p>
        </w:tc>
        <w:tc>
          <w:tcPr>
            <w:tcW w:type="dxa" w:w="18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Estimate</w:t>
            </w:r>
          </w:p>
        </w:tc>
        <w:tc>
          <w:tcPr>
            <w:tcW w:type="dxa" w:w="51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Included work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6"/>
              </w:rPr>
              <w:t>Basic working version</w:t>
            </w:r>
          </w:p>
        </w:tc>
        <w:tc>
          <w:tcPr>
            <w:tcW w:type="dxa" w:w="18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6"/>
              </w:rPr>
              <w:t>4–6 working days</w:t>
            </w:r>
          </w:p>
        </w:tc>
        <w:tc>
          <w:tcPr>
            <w:tcW w:type="dxa" w:w="51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6"/>
              </w:rPr>
              <w:t>Branch scheduling, template mapping, basic open/click transitions and a happy-path test.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6"/>
              </w:rPr>
              <w:t>Production-ready implementation</w:t>
            </w:r>
          </w:p>
        </w:tc>
        <w:tc>
          <w:tcPr>
            <w:tcW w:type="dxa" w:w="18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6"/>
              </w:rPr>
              <w:t>7–10 working days</w:t>
            </w:r>
          </w:p>
        </w:tc>
        <w:tc>
          <w:tcPr>
            <w:tcW w:type="dxa" w:w="51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6"/>
              </w:rPr>
              <w:t>Cross-mapping, durable scheduling, stale-job protection, suppression, retries, idempotency, tests and staging verification.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6"/>
              </w:rPr>
              <w:t>Substantial build from scratch</w:t>
            </w:r>
          </w:p>
        </w:tc>
        <w:tc>
          <w:tcPr>
            <w:tcW w:type="dxa" w:w="18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6"/>
              </w:rPr>
              <w:t>12–18 working days</w:t>
            </w:r>
          </w:p>
        </w:tc>
        <w:tc>
          <w:tcPr>
            <w:tcW w:type="dxa" w:w="51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6"/>
              </w:rPr>
              <w:t>If sender integration, webhook ingestion, persistence, scheduler, deployment or monitoring are missing.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864"/>
            <w:shd w:fill="EFF6FF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color="CBD5E1"/>
              <w:left w:val="single" w:sz="22" w:color="2563EB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Aptos" w:hAnsi="Aptos" w:cs="Aptos"/>
                <w:b/>
                <w:i w:val="0"/>
                <w:color w:val="2563EB"/>
                <w:sz w:val="19"/>
              </w:rPr>
              <w:t>Recommended planning estimate: 7–10 working days</w:t>
            </w:r>
          </w:p>
          <w:p>
            <w:pPr>
              <w:spacing w:after="0" w:line="259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7"/>
              </w:rPr>
              <w:t>This assumes the email provider can send messages and deliver event webhooks, and the project already has usable persistence and scheduled-job infrastructure. Confirm the repository before committing to the estimate.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Aptos" w:hAnsi="Aptos" w:cs="Aptos"/>
          <w:b/>
          <w:i w:val="0"/>
          <w:color w:val="17324D"/>
          <w:sz w:val="32"/>
        </w:rPr>
        <w:t>9. Suggested day-by-day delivery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Day</w:t>
            </w:r>
          </w:p>
        </w:tc>
        <w:tc>
          <w:tcPr>
            <w:tcW w:type="dxa" w:w="78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FFFFFF"/>
                <w:sz w:val="16"/>
              </w:rPr>
              <w:t>Deliverable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6"/>
              </w:rPr>
              <w:t>Day 1</w:t>
            </w:r>
          </w:p>
        </w:tc>
        <w:tc>
          <w:tcPr>
            <w:tcW w:type="dxa" w:w="78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6"/>
              </w:rPr>
              <w:t>Confirm sequence rules, transition semantics, late-event window, data model, idempotency keys.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6"/>
              </w:rPr>
              <w:t>Day 2</w:t>
            </w:r>
          </w:p>
        </w:tc>
        <w:tc>
          <w:tcPr>
            <w:tcW w:type="dxa" w:w="78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6"/>
              </w:rPr>
              <w:t>Implement all 11 template mappings, merge variables, validation and rendering checks.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6"/>
              </w:rPr>
              <w:t>Day 3</w:t>
            </w:r>
          </w:p>
        </w:tc>
        <w:tc>
          <w:tcPr>
            <w:tcW w:type="dxa" w:w="78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6"/>
              </w:rPr>
              <w:t>Implement durable delayed jobs and branch-local wait calculations.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6"/>
              </w:rPr>
              <w:t>Day 4</w:t>
            </w:r>
          </w:p>
        </w:tc>
        <w:tc>
          <w:tcPr>
            <w:tcW w:type="dxa" w:w="78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6"/>
              </w:rPr>
              <w:t>Implement open/click webhook ingestion, event validation and deduplication.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6"/>
              </w:rPr>
              <w:t>Day 5</w:t>
            </w:r>
          </w:p>
        </w:tc>
        <w:tc>
          <w:tcPr>
            <w:tcW w:type="dxa" w:w="78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6"/>
              </w:rPr>
              <w:t>Implement N→O, N→C and O→C transitions; invalidate or version old branch jobs.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6"/>
              </w:rPr>
              <w:t>Day 6</w:t>
            </w:r>
          </w:p>
        </w:tc>
        <w:tc>
          <w:tcPr>
            <w:tcW w:type="dxa" w:w="78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6"/>
              </w:rPr>
              <w:t>Implement conversion, unsubscribe, bounce, complaint and reply rules.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6"/>
              </w:rPr>
              <w:t>Day 7</w:t>
            </w:r>
          </w:p>
        </w:tc>
        <w:tc>
          <w:tcPr>
            <w:tcW w:type="dxa" w:w="78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6"/>
              </w:rPr>
              <w:t>Add send-time state guards, retries, backoff, logging and metrics.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6"/>
              </w:rPr>
              <w:t>Days 8–9</w:t>
            </w:r>
          </w:p>
        </w:tc>
        <w:tc>
          <w:tcPr>
            <w:tcW w:type="dxa" w:w="78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6"/>
              </w:rPr>
              <w:t>Run transition tests, race tests, duplicate/out-of-order events and end-to-end provider tests.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6"/>
              </w:rPr>
              <w:t>Day 10</w:t>
            </w:r>
          </w:p>
        </w:tc>
        <w:tc>
          <w:tcPr>
            <w:tcW w:type="dxa" w:w="78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6"/>
              </w:rPr>
              <w:t>Deploy to staging, verify dashboards/alerts, document operational runbook and release checklist.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Aptos" w:hAnsi="Aptos" w:cs="Aptos"/>
          <w:b/>
          <w:i w:val="0"/>
          <w:color w:val="17324D"/>
          <w:sz w:val="32"/>
        </w:rPr>
        <w:t>10. Elapsed campaign time versus engineering time</w:t>
      </w:r>
    </w:p>
    <w:p>
      <w:pPr>
        <w:spacing w:before="0" w:after="100" w:line="264" w:lineRule="auto"/>
      </w:pPr>
      <w:r>
        <w:rPr>
          <w:rFonts w:ascii="Aptos" w:hAnsi="Aptos" w:cs="Aptos"/>
          <w:b w:val="0"/>
          <w:i w:val="0"/>
          <w:color w:val="1F2937"/>
          <w:sz w:val="18"/>
        </w:rPr>
        <w:t>These are different clocks. The N branch reaches NO_5 at approximately campaign Day 10. The O and C branches each take approximately 5 days from their respective branch start to their final email. Engineering implementation is estimated at 7–10 working days for the production-ready scope above. A lead may therefore still be progressing through emails after the implementation work has finished.</w:t>
      </w:r>
    </w:p>
    <w:p>
      <w:pPr>
        <w:pStyle w:val="Heading1"/>
        <w:keepNext/>
        <w:spacing w:before="160" w:after="80"/>
      </w:pPr>
      <w:r>
        <w:rPr>
          <w:rFonts w:ascii="Aptos" w:hAnsi="Aptos" w:cs="Aptos"/>
          <w:b/>
          <w:i w:val="0"/>
          <w:color w:val="17324D"/>
          <w:sz w:val="32"/>
        </w:rPr>
        <w:t>11. Acceptance criteria / test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FFFFFF"/>
                <w:sz w:val="15"/>
              </w:rPr>
              <w:t>Test area</w:t>
            </w:r>
          </w:p>
        </w:tc>
        <w:tc>
          <w:tcPr>
            <w:tcW w:type="dxa" w:w="72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FFFFFF"/>
                <w:sz w:val="15"/>
              </w:rPr>
              <w:t>Pass condition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N → O</w:t>
            </w:r>
          </w:p>
        </w:tc>
        <w:tc>
          <w:tcPr>
            <w:tcW w:type="dxa" w:w="72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For each NO_1–NO_5, an accepted open with no click starts O_1 and invalidates the remaining NO jobs.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N → C</w:t>
            </w:r>
          </w:p>
        </w:tc>
        <w:tc>
          <w:tcPr>
            <w:tcW w:type="dxa" w:w="72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For each NO_1–NO_5, an accepted click starts C_1 and invalidates the remaining NO jobs.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O → C</w:t>
            </w:r>
          </w:p>
        </w:tc>
        <w:tc>
          <w:tcPr>
            <w:tcW w:type="dxa" w:w="72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For each O_1–O_3, an accepted click starts C_1 and invalidates remaining O jobs.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Schedule timing</w:t>
            </w:r>
          </w:p>
        </w:tc>
        <w:tc>
          <w:tcPr>
            <w:tcW w:type="dxa" w:w="72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NO: Day 0, 2, 4, 7, 10. O and C: branch Day 0, +2 days, +5 days.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No duplicate sends</w:t>
            </w:r>
          </w:p>
        </w:tc>
        <w:tc>
          <w:tcPr>
            <w:tcW w:type="dxa" w:w="72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Duplicate webhook or retry does not create duplicate sends for the same sequence step.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Stale job guard</w:t>
            </w:r>
          </w:p>
        </w:tc>
        <w:tc>
          <w:tcPr>
            <w:tcW w:type="dxa" w:w="72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An old scheduled job cannot send if the lead has moved to another branch or is suppressed.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Terminal conditions</w:t>
            </w:r>
          </w:p>
        </w:tc>
        <w:tc>
          <w:tcPr>
            <w:tcW w:type="dxa" w:w="72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Conversion stops sales follow-ups; unsubscribe/bounce/complaint suppression blocks marketing sends.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Late events</w:t>
            </w:r>
          </w:p>
        </w:tc>
        <w:tc>
          <w:tcPr>
            <w:tcW w:type="dxa" w:w="72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Events after the final email follow the configured eligibility window and are still recorded.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Observability</w:t>
            </w:r>
          </w:p>
        </w:tc>
        <w:tc>
          <w:tcPr>
            <w:tcW w:type="dxa" w:w="72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Every transition and send attempt records lead ID, previous/new state, event reason, sequence step, attempt and outcome.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/>
                <w:i w:val="0"/>
                <w:color w:val="1F2937"/>
                <w:sz w:val="15"/>
              </w:rPr>
              <w:t>Recovery</w:t>
            </w:r>
          </w:p>
        </w:tc>
        <w:tc>
          <w:tcPr>
            <w:tcW w:type="dxa" w:w="72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before="0" w:line="245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5"/>
              </w:rPr>
              <w:t>A worker restart does not lose scheduled jobs or cause a replay to send duplicate emails.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Aptos" w:hAnsi="Aptos" w:cs="Aptos"/>
          <w:b/>
          <w:i w:val="0"/>
          <w:color w:val="17324D"/>
          <w:sz w:val="32"/>
        </w:rPr>
        <w:t>12. Decisions to finalize before implementation</w:t>
      </w:r>
    </w:p>
    <w:p>
      <w:pPr>
        <w:pStyle w:val="ListBullet"/>
        <w:spacing w:after="40" w:line="252" w:lineRule="auto"/>
        <w:ind w:left="317" w:hanging="173"/>
      </w:pPr>
      <w:r>
        <w:rPr>
          <w:rFonts w:ascii="Aptos" w:hAnsi="Aptos" w:cs="Aptos"/>
          <w:b w:val="0"/>
          <w:i w:val="0"/>
          <w:color w:val="1F2937"/>
          <w:sz w:val="16"/>
        </w:rPr>
        <w:t>Late-event window: how long after NO_5 or O_3 can an open/click start a new branch?</w:t>
      </w:r>
    </w:p>
    <w:p>
      <w:pPr>
        <w:pStyle w:val="ListBullet"/>
        <w:spacing w:after="40" w:line="252" w:lineRule="auto"/>
        <w:ind w:left="317" w:hanging="173"/>
      </w:pPr>
      <w:r>
        <w:rPr>
          <w:rFonts w:ascii="Aptos" w:hAnsi="Aptos" w:cs="Aptos"/>
          <w:b w:val="0"/>
          <w:i w:val="0"/>
          <w:color w:val="1F2937"/>
          <w:sz w:val="16"/>
        </w:rPr>
        <w:t>Open classification: how long to wait for a click before treating the lead as O rather than N? Do not transition immediately on an open if the same email can later produce a click and campaign logic is intended to prefer C.</w:t>
      </w:r>
    </w:p>
    <w:p>
      <w:pPr>
        <w:pStyle w:val="ListBullet"/>
        <w:spacing w:after="40" w:line="252" w:lineRule="auto"/>
        <w:ind w:left="317" w:hanging="173"/>
      </w:pPr>
      <w:r>
        <w:rPr>
          <w:rFonts w:ascii="Aptos" w:hAnsi="Aptos" w:cs="Aptos"/>
          <w:b w:val="0"/>
          <w:i w:val="0"/>
          <w:color w:val="1F2937"/>
          <w:sz w:val="16"/>
        </w:rPr>
        <w:t>Reply handling: pause, stop, or hand off to a human?</w:t>
      </w:r>
    </w:p>
    <w:p>
      <w:pPr>
        <w:pStyle w:val="ListBullet"/>
        <w:spacing w:after="40" w:line="252" w:lineRule="auto"/>
        <w:ind w:left="317" w:hanging="173"/>
      </w:pPr>
      <w:r>
        <w:rPr>
          <w:rFonts w:ascii="Aptos" w:hAnsi="Aptos" w:cs="Aptos"/>
          <w:b w:val="0"/>
          <w:i w:val="0"/>
          <w:color w:val="1F2937"/>
          <w:sz w:val="16"/>
        </w:rPr>
        <w:t>Conversion definition: booked demo, purchase, qualified reply, or another explicit event?</w:t>
      </w:r>
    </w:p>
    <w:p>
      <w:pPr>
        <w:pStyle w:val="ListBullet"/>
        <w:spacing w:after="40" w:line="252" w:lineRule="auto"/>
        <w:ind w:left="317" w:hanging="173"/>
      </w:pPr>
      <w:r>
        <w:rPr>
          <w:rFonts w:ascii="Aptos" w:hAnsi="Aptos" w:cs="Aptos"/>
          <w:b w:val="0"/>
          <w:i w:val="0"/>
          <w:color w:val="1F2937"/>
          <w:sz w:val="16"/>
        </w:rPr>
        <w:t>Business hours / send-time policy: send exactly at the delay boundary or defer outside configured hours/time zone?</w:t>
      </w:r>
    </w:p>
    <w:p>
      <w:pPr>
        <w:pStyle w:val="ListBullet"/>
        <w:spacing w:after="40" w:line="252" w:lineRule="auto"/>
        <w:ind w:left="317" w:hanging="173"/>
      </w:pPr>
      <w:r>
        <w:rPr>
          <w:rFonts w:ascii="Aptos" w:hAnsi="Aptos" w:cs="Aptos"/>
          <w:b w:val="0"/>
          <w:i w:val="0"/>
          <w:color w:val="1F2937"/>
          <w:sz w:val="16"/>
        </w:rPr>
        <w:t>Template links: replace any placeholder URLs (such as example.com links) with production destinations before launch.</w:t>
      </w:r>
    </w:p>
    <w:p>
      <w:pPr>
        <w:pStyle w:val="Heading1"/>
        <w:keepNext/>
        <w:spacing w:before="160" w:after="80"/>
      </w:pPr>
      <w:r>
        <w:rPr>
          <w:rFonts w:ascii="Aptos" w:hAnsi="Aptos" w:cs="Aptos"/>
          <w:b/>
          <w:i w:val="0"/>
          <w:color w:val="17324D"/>
          <w:sz w:val="32"/>
        </w:rPr>
        <w:t>13. Source and limitations</w:t>
      </w:r>
    </w:p>
    <w:p>
      <w:pPr>
        <w:spacing w:before="0" w:after="100" w:line="264" w:lineRule="auto"/>
      </w:pPr>
      <w:r>
        <w:rPr>
          <w:rFonts w:ascii="Aptos" w:hAnsi="Aptos" w:cs="Aptos"/>
          <w:b w:val="0"/>
          <w:i w:val="0"/>
          <w:color w:val="1F2937"/>
          <w:sz w:val="16"/>
        </w:rPr>
        <w:t>Source catalogue provided for this design: https://tourmaline-cascaron-8659e2.netlify.app/. The schedule and template IDs in this specification reflect the sequence information discussed from that site. This document is an implementation design and planning estimate; it does not verify the current codebase, provider configuration, or production readiness.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864"/>
            <w:shd w:fill="F0FDFA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color="CBD5E1"/>
              <w:left w:val="single" w:sz="22" w:color="0F766E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Aptos" w:hAnsi="Aptos" w:cs="Aptos"/>
                <w:b/>
                <w:i w:val="0"/>
                <w:color w:val="0F766E"/>
                <w:sz w:val="19"/>
              </w:rPr>
              <w:t>Final recommendation</w:t>
            </w:r>
          </w:p>
          <w:p>
            <w:pPr>
              <w:spacing w:after="0" w:line="259" w:lineRule="auto"/>
            </w:pPr>
            <w:r>
              <w:rPr>
                <w:rFonts w:ascii="Aptos" w:hAnsi="Aptos" w:cs="Aptos"/>
                <w:b w:val="0"/>
                <w:i w:val="0"/>
                <w:color w:val="1F2937"/>
                <w:sz w:val="17"/>
              </w:rPr>
              <w:t>Implement the flow as a durable, event-driven state machine with one active branch per lead, a send-time state check, idempotent event processing, and explicit terminal/suppression handling. Use 7–10 working days as the initial plan, then refine after a repository and infrastructure review.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>
      <w:rPr>
        <w:rFonts w:ascii="Aptos" w:hAnsi="Aptos" w:cs="Aptos"/>
        <w:b w:val="0"/>
        <w:i w:val="0"/>
        <w:color w:val="64748B"/>
        <w:sz w:val="15"/>
      </w:rPr>
      <w:t>Sequence &amp; Cross-Mapping Specification</w:t>
    </w:r>
  </w:p>
  <w:p>
    <w:pPr>
      <w:spacing w:before="0"/>
      <w:jc w:val="right"/>
    </w:pPr>
    <w:r>
      <w:rPr>
        <w:rFonts w:ascii="Aptos" w:hAnsi="Aptos" w:cs="Aptos"/>
        <w:b w:val="0"/>
        <w:i w:val="0"/>
        <w:color w:val="64748B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ptos" w:hAnsi="Aptos" w:cs="Aptos"/>
        <w:b/>
        <w:i w:val="0"/>
        <w:color w:val="64748B"/>
        <w:sz w:val="15"/>
      </w:rPr>
      <w:t>EMAIL ORCHESTRATOR  /  ENGINEERING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Email Follow-up Orchestrator: Sequence &amp; Cross-Mapping Specification</dc:title>
  <dc:subject>Email sequence timing, cross-mapping, implementation scenarios and estimate</dc:subject>
  <dc:creator>Engineering Specification</dc:creator>
  <cp:keywords>email orchestration, state machine, cross-mapping, scheduling, implementation estimate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