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c564c1fee47453ebd0d61de6f18915086655ac"/>
    <w:p>
      <w:pPr>
        <w:pStyle w:val="Heading1"/>
      </w:pPr>
      <w:r>
        <w:t xml:space="preserve">From Manual Data Entry to GST-Ready Accounting in Seconds</w:t>
      </w:r>
    </w:p>
    <w:bookmarkStart w:id="9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Vijay, a</w:t>
      </w:r>
      <w:r>
        <w:t xml:space="preserve"> </w:t>
      </w:r>
      <w:r>
        <w:rPr>
          <w:b/>
          <w:bCs/>
        </w:rPr>
        <w:t xml:space="preserve">solopreneur at Vanalaya</w:t>
      </w:r>
      <w:r>
        <w:t xml:space="preserve">, was struggling to keep up with his e-commerce accounting and GST filing requirements.</w:t>
      </w:r>
    </w:p>
    <w:p>
      <w:pPr>
        <w:pStyle w:val="BodyText"/>
      </w:pPr>
      <w:r>
        <w:t xml:space="preserve">A major part of the process involved</w:t>
      </w:r>
      <w:r>
        <w:t xml:space="preserve"> </w:t>
      </w:r>
      <w:r>
        <w:rPr>
          <w:b/>
          <w:bCs/>
        </w:rPr>
        <w:t xml:space="preserve">manually punching e-commerce transaction data into his ERP</w:t>
      </w:r>
      <w:r>
        <w:t xml:space="preserve">, which was time-consuming and prone to errors. As GST filing deadlines approached, preparing accurate reports became increasingly difficult.</w:t>
      </w:r>
    </w:p>
    <w:p>
      <w:pPr>
        <w:pStyle w:val="BodyText"/>
      </w:pPr>
      <w:r>
        <w:t xml:space="preserve">The reports generated internally were often</w:t>
      </w:r>
      <w:r>
        <w:t xml:space="preserve"> </w:t>
      </w:r>
      <w:r>
        <w:rPr>
          <w:b/>
          <w:bCs/>
        </w:rPr>
        <w:t xml:space="preserve">inaccurate or did not match the data available on the TCS portal</w:t>
      </w:r>
      <w:r>
        <w:t xml:space="preserve">, creating additional reconciliation work and uncertainty during GST filing.</w:t>
      </w:r>
    </w:p>
    <w:bookmarkEnd w:id="9"/>
    <w:bookmarkStart w:id="10" w:name="the-deepecom-solution"/>
    <w:p>
      <w:pPr>
        <w:pStyle w:val="Heading3"/>
      </w:pPr>
      <w:r>
        <w:t xml:space="preserve">The DeepEcom Solution</w:t>
      </w:r>
    </w:p>
    <w:p>
      <w:pPr>
        <w:pStyle w:val="FirstParagraph"/>
      </w:pPr>
      <w:r>
        <w:t xml:space="preserve">DeepEcom helped Vijay connect his e-commerce data directly to his ERP through the</w:t>
      </w:r>
      <w:r>
        <w:t xml:space="preserve"> </w:t>
      </w:r>
      <w:r>
        <w:rPr>
          <w:b/>
          <w:bCs/>
        </w:rPr>
        <w:t xml:space="preserve">DeepEcom Tally Connector</w:t>
      </w:r>
      <w:r>
        <w:t xml:space="preserve">.</w:t>
      </w:r>
    </w:p>
    <w:p>
      <w:pPr>
        <w:pStyle w:val="BodyText"/>
      </w:pPr>
      <w:r>
        <w:t xml:space="preserve">Instead of manually downloading, processing, and entering transaction data, Vijay could bring his e-commerce data into his ERP</w:t>
      </w:r>
      <w:r>
        <w:t xml:space="preserve"> </w:t>
      </w:r>
      <w:r>
        <w:rPr>
          <w:b/>
          <w:bCs/>
        </w:rPr>
        <w:t xml:space="preserve">within seconds</w:t>
      </w:r>
      <w:r>
        <w:t xml:space="preserve">.</w:t>
      </w:r>
    </w:p>
    <w:p>
      <w:pPr>
        <w:pStyle w:val="BodyText"/>
      </w:pPr>
      <w:r>
        <w:t xml:space="preserve">DeepEcom also provided</w:t>
      </w:r>
      <w:r>
        <w:t xml:space="preserve"> </w:t>
      </w:r>
      <w:r>
        <w:rPr>
          <w:b/>
          <w:bCs/>
        </w:rPr>
        <w:t xml:space="preserve">GST-ready reports</w:t>
      </w:r>
      <w:r>
        <w:t xml:space="preserve">, making it easier to reconcile the numbers and prepare accurate information for GST filing.</w:t>
      </w:r>
    </w:p>
    <w:p>
      <w:pPr>
        <w:pStyle w:val="BodyText"/>
      </w:pPr>
      <w:r>
        <w:t xml:space="preserve">The solution helped him:</w:t>
      </w:r>
    </w:p>
    <w:p>
      <w:pPr>
        <w:pStyle w:val="Compact"/>
        <w:numPr>
          <w:ilvl w:val="0"/>
          <w:numId w:val="1001"/>
        </w:numPr>
      </w:pPr>
      <w:r>
        <w:t xml:space="preserve">Automatically bring e-commerce data into Tally</w:t>
      </w:r>
    </w:p>
    <w:p>
      <w:pPr>
        <w:pStyle w:val="Compact"/>
        <w:numPr>
          <w:ilvl w:val="0"/>
          <w:numId w:val="1001"/>
        </w:numPr>
      </w:pPr>
      <w:r>
        <w:t xml:space="preserve">Eliminate repetitive manual data entry</w:t>
      </w:r>
    </w:p>
    <w:p>
      <w:pPr>
        <w:pStyle w:val="Compact"/>
        <w:numPr>
          <w:ilvl w:val="0"/>
          <w:numId w:val="1001"/>
        </w:numPr>
      </w:pPr>
      <w:r>
        <w:t xml:space="preserve">Generate GST-ready reports</w:t>
      </w:r>
    </w:p>
    <w:p>
      <w:pPr>
        <w:pStyle w:val="Compact"/>
        <w:numPr>
          <w:ilvl w:val="0"/>
          <w:numId w:val="1001"/>
        </w:numPr>
      </w:pPr>
      <w:r>
        <w:t xml:space="preserve">Reconcile e-commerce data with TCS portal figures</w:t>
      </w:r>
    </w:p>
    <w:p>
      <w:pPr>
        <w:pStyle w:val="Compact"/>
        <w:numPr>
          <w:ilvl w:val="0"/>
          <w:numId w:val="1001"/>
        </w:numPr>
      </w:pPr>
      <w:r>
        <w:t xml:space="preserve">Reduce errors in GST reporting</w:t>
      </w:r>
    </w:p>
    <w:p>
      <w:pPr>
        <w:pStyle w:val="Compact"/>
        <w:numPr>
          <w:ilvl w:val="0"/>
          <w:numId w:val="1001"/>
        </w:numPr>
      </w:pPr>
      <w:r>
        <w:t xml:space="preserve">Save valuable time during every filing cycle</w:t>
      </w:r>
    </w:p>
    <w:bookmarkEnd w:id="10"/>
    <w:bookmarkStart w:id="11" w:name="the-outcome"/>
    <w:p>
      <w:pPr>
        <w:pStyle w:val="Heading3"/>
      </w:pPr>
      <w:r>
        <w:t xml:space="preserve">The Outcome</w:t>
      </w:r>
    </w:p>
    <w:p>
      <w:pPr>
        <w:pStyle w:val="FirstParagraph"/>
      </w:pPr>
      <w:r>
        <w:t xml:space="preserve">With the DeepEcom Tally Connector, Vijay no longer had to spend hours manually entering e-commerce transactions into his ERP.</w:t>
      </w:r>
    </w:p>
    <w:p>
      <w:pPr>
        <w:pStyle w:val="BodyText"/>
      </w:pPr>
      <w:r>
        <w:t xml:space="preserve">He could get his e-commerce data into Tally</w:t>
      </w:r>
      <w:r>
        <w:t xml:space="preserve"> </w:t>
      </w:r>
      <w:r>
        <w:rPr>
          <w:b/>
          <w:bCs/>
        </w:rPr>
        <w:t xml:space="preserve">in seconds</w:t>
      </w:r>
      <w:r>
        <w:t xml:space="preserve">, with reports structured and ready for GST reconciliation and filing.</w:t>
      </w:r>
    </w:p>
    <w:p>
      <w:pPr>
        <w:pStyle w:val="BodyText"/>
      </w:pPr>
      <w:r>
        <w:t xml:space="preserve">What was once a stressful, manual process became a</w:t>
      </w:r>
      <w:r>
        <w:t xml:space="preserve"> </w:t>
      </w:r>
      <w:r>
        <w:rPr>
          <w:b/>
          <w:bCs/>
        </w:rPr>
        <w:t xml:space="preserve">faster, more accurate, and streamlined workflow</w:t>
      </w:r>
      <w:r>
        <w:t xml:space="preserve">.</w:t>
      </w:r>
    </w:p>
    <w:bookmarkEnd w:id="11"/>
    <w:bookmarkStart w:id="12" w:name="key-impact"/>
    <w:p>
      <w:pPr>
        <w:pStyle w:val="Heading3"/>
      </w:pPr>
      <w:r>
        <w:t xml:space="preserve">Key Impact</w:t>
      </w:r>
    </w:p>
    <w:p>
      <w:pPr>
        <w:pStyle w:val="FirstParagraph"/>
      </w:pPr>
      <w:r>
        <w:rPr>
          <w:b/>
          <w:bCs/>
        </w:rPr>
        <w:t xml:space="preserve">E-commerce data in seconds → GST-ready reports → Easier reconciliation → Faster, more accurate filing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