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3DF5"/>
          <w:sz w:val="44"/>
          <w:szCs w:val="44"/>
        </w:rPr>
        <w:t xml:space="preserve">CGNF Recommender</w:t>
      </w:r>
    </w:p>
    <w:p>
      <w:pPr>
        <w:spacing w:after="300"/>
      </w:pPr>
      <w:r>
        <w:rPr>
          <w:b/>
          <w:bCs/>
          <w:sz w:val="30"/>
          <w:szCs w:val="30"/>
        </w:rPr>
        <w:t xml:space="preserve">Point-by-Point Response to Reviewer 1 and Reviewer 2</w:t>
      </w:r>
    </w:p>
    <w:p>
      <w:pPr>
        <w:spacing w:after="60"/>
      </w:pPr>
      <w:r>
        <w:rPr>
          <w:b/>
          <w:bCs/>
        </w:rPr>
        <w:t xml:space="preserve">Manuscript: </w:t>
      </w:r>
      <w:r>
        <w:t xml:space="preserve">“Enhancing Recommendation Systems through Novel Collaborative Graph Neural Filtering Approach” (Paper 20265754)</w:t>
      </w:r>
    </w:p>
    <w:p>
      <w:pPr>
        <w:spacing w:after="60"/>
      </w:pPr>
      <w:r>
        <w:rPr>
          <w:b/>
          <w:bCs/>
        </w:rPr>
        <w:t xml:space="preserve">Prepared from: </w:t>
      </w:r>
      <w:r>
        <w:t xml:space="preserve">the accompanying reproducible implementation in </w:t>
      </w:r>
      <w:r>
        <w:rPr>
          <w:i/>
          <w:iCs/>
        </w:rPr>
        <w:t xml:space="preserve">cgnf-recommender/</w:t>
      </w:r>
      <w:r>
        <w:t xml:space="preserve"> (Python/Flask backend, React/Tailwind frontend)</w:t>
      </w:r>
    </w:p>
    <w:p>
      <w:pPr>
        <w:spacing w:after="60"/>
      </w:pPr>
      <w:r>
        <w:rPr>
          <w:b/>
          <w:bCs/>
        </w:rPr>
        <w:t xml:space="preserve">Evaluation dataset: </w:t>
      </w:r>
      <w:r>
        <w:t xml:space="preserve">MovieLens 1M — 6,040 users, 3,883 movies, 1,000,209 ratings (real run id: 5ab5fa5a70)</w:t>
      </w:r>
    </w:p>
    <w:p>
      <w:pPr>
        <w:spacing w:after="300"/>
      </w:pPr>
      <w:r>
        <w:rPr>
          <w:b/>
          <w:bCs/>
        </w:rPr>
        <w:t xml:space="preserve">Prepared: </w:t>
      </w:r>
      <w:r>
        <w:t xml:space="preserve">2026-10-03</w:t>
      </w:r>
    </w:p>
    <w:p>
      <w:pPr>
        <w:pStyle w:val="Heading2"/>
        <w:spacing w:after="140" w:before="400"/>
      </w:pPr>
      <w:r>
        <w:t xml:space="preserve">How to read this document</w:t>
      </w:r>
    </w:p>
    <w:p>
      <w:pPr>
        <w:spacing w:after="140"/>
      </w:pPr>
      <w:r>
        <w:t xml:space="preserve">Every comment from both reviewer rounds is quoted verbatim, then given an explicit status and a concrete implementation approach — what was actually built, in which file, with what real measured result from a real training run. Nothing below is claimed as done unless backed by a working feature or a real number; genuine gaps are labeled as gaps.</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1200"/>
        <w:gridCol w:w="7700"/>
        <w:gridCol w:w="3000"/>
      </w:tblGrid>
      <w:tr>
        <w:trPr>
          <w:tblHeader/>
        </w:trPr>
        <w:tc>
          <w:tcPr>
            <w:tcW w:type="dxa" w:w="1200"/>
            <w:shd w:fill="5B3DF5" w:val="clear"/>
            <w:tcMar>
              <w:top w:type="dxa" w:w="60"/>
              <w:left w:type="dxa" w:w="100"/>
              <w:bottom w:type="dxa" w:w="60"/>
              <w:right w:type="dxa" w:w="100"/>
            </w:tcMar>
            <w:vAlign w:val="center"/>
          </w:tcPr>
          <w:p>
            <w:r>
              <w:rPr>
                <w:b/>
                <w:bCs/>
                <w:color w:val="FFFFFF"/>
              </w:rPr>
              <w:t xml:space="preserve">#</w:t>
            </w:r>
          </w:p>
        </w:tc>
        <w:tc>
          <w:tcPr>
            <w:tcW w:type="dxa" w:w="7700"/>
            <w:shd w:fill="5B3DF5" w:val="clear"/>
            <w:tcMar>
              <w:top w:type="dxa" w:w="60"/>
              <w:left w:type="dxa" w:w="100"/>
              <w:bottom w:type="dxa" w:w="60"/>
              <w:right w:type="dxa" w:w="100"/>
            </w:tcMar>
            <w:vAlign w:val="center"/>
          </w:tcPr>
          <w:p>
            <w:r>
              <w:rPr>
                <w:b/>
                <w:bCs/>
                <w:color w:val="FFFFFF"/>
              </w:rPr>
              <w:t xml:space="preserve">Comment</w:t>
            </w:r>
          </w:p>
        </w:tc>
        <w:tc>
          <w:tcPr>
            <w:tcW w:type="dxa" w:w="3000"/>
            <w:shd w:fill="5B3DF5" w:val="clear"/>
            <w:tcMar>
              <w:top w:type="dxa" w:w="60"/>
              <w:left w:type="dxa" w:w="100"/>
              <w:bottom w:type="dxa" w:w="60"/>
              <w:right w:type="dxa" w:w="100"/>
            </w:tcMar>
            <w:vAlign w:val="center"/>
          </w:tcPr>
          <w:p>
            <w:r>
              <w:rPr>
                <w:b/>
                <w:bCs/>
                <w:color w:val="FFFFFF"/>
              </w:rPr>
              <w:t xml:space="preserve">Status</w:t>
            </w:r>
          </w:p>
        </w:tc>
      </w:tr>
      <w:tr>
        <w:tc>
          <w:tcPr>
            <w:tcW w:type="dxa" w:w="1200"/>
            <w:tcMar>
              <w:top w:type="dxa" w:w="50"/>
              <w:left w:type="dxa" w:w="100"/>
              <w:bottom w:type="dxa" w:w="50"/>
              <w:right w:type="dxa" w:w="100"/>
            </w:tcMar>
          </w:tcPr>
          <w:p>
            <w:r>
              <w:rPr>
                <w:b/>
                <w:bCs/>
              </w:rPr>
              <w:t xml:space="preserve">R1.1</w:t>
            </w:r>
          </w:p>
        </w:tc>
        <w:tc>
          <w:tcPr>
            <w:tcW w:type="dxa" w:w="7700"/>
            <w:tcMar>
              <w:top w:type="dxa" w:w="50"/>
              <w:left w:type="dxa" w:w="100"/>
              <w:bottom w:type="dxa" w:w="50"/>
              <w:right w:type="dxa" w:w="100"/>
            </w:tcMar>
          </w:tcPr>
          <w:p>
            <w:r>
              <w:t xml:space="preserve">Mathematical formulation</w:t>
            </w:r>
          </w:p>
        </w:tc>
        <w:tc>
          <w:tcPr>
            <w:tcW w:type="dxa" w:w="3000"/>
            <w:shd w:fill="E3E0FC" w:val="clear"/>
            <w:tcMar>
              <w:top w:type="dxa" w:w="50"/>
              <w:left w:type="dxa" w:w="100"/>
              <w:bottom w:type="dxa" w:w="50"/>
              <w:right w:type="dxa" w:w="100"/>
            </w:tcMar>
          </w:tcPr>
          <w:p>
            <w:r>
              <w:rPr>
                <w:b/>
                <w:bCs/>
                <w:color w:val="4327C9"/>
                <w:sz w:val="16"/>
                <w:szCs w:val="16"/>
              </w:rPr>
              <w:t xml:space="preserve">IMPLEMENTED</w:t>
            </w:r>
          </w:p>
        </w:tc>
      </w:tr>
      <w:tr>
        <w:tc>
          <w:tcPr>
            <w:tcW w:type="dxa" w:w="1200"/>
            <w:tcMar>
              <w:top w:type="dxa" w:w="50"/>
              <w:left w:type="dxa" w:w="100"/>
              <w:bottom w:type="dxa" w:w="50"/>
              <w:right w:type="dxa" w:w="100"/>
            </w:tcMar>
          </w:tcPr>
          <w:p>
            <w:r>
              <w:rPr>
                <w:b/>
                <w:bCs/>
              </w:rPr>
              <w:t xml:space="preserve">R1.2</w:t>
            </w:r>
          </w:p>
        </w:tc>
        <w:tc>
          <w:tcPr>
            <w:tcW w:type="dxa" w:w="7700"/>
            <w:tcMar>
              <w:top w:type="dxa" w:w="50"/>
              <w:left w:type="dxa" w:w="100"/>
              <w:bottom w:type="dxa" w:w="50"/>
              <w:right w:type="dxa" w:w="100"/>
            </w:tcMar>
          </w:tcPr>
          <w:p>
            <w:r>
              <w:t xml:space="preserve">Experimental setup</w:t>
            </w:r>
          </w:p>
        </w:tc>
        <w:tc>
          <w:tcPr>
            <w:tcW w:type="dxa" w:w="3000"/>
            <w:shd w:fill="E3E0FC" w:val="clear"/>
            <w:tcMar>
              <w:top w:type="dxa" w:w="50"/>
              <w:left w:type="dxa" w:w="100"/>
              <w:bottom w:type="dxa" w:w="50"/>
              <w:right w:type="dxa" w:w="100"/>
            </w:tcMar>
          </w:tcPr>
          <w:p>
            <w:r>
              <w:rPr>
                <w:b/>
                <w:bCs/>
                <w:color w:val="4327C9"/>
                <w:sz w:val="16"/>
                <w:szCs w:val="16"/>
              </w:rPr>
              <w:t xml:space="preserve">IMPLEMENTED</w:t>
            </w:r>
          </w:p>
        </w:tc>
      </w:tr>
      <w:tr>
        <w:tc>
          <w:tcPr>
            <w:tcW w:type="dxa" w:w="1200"/>
            <w:tcMar>
              <w:top w:type="dxa" w:w="50"/>
              <w:left w:type="dxa" w:w="100"/>
              <w:bottom w:type="dxa" w:w="50"/>
              <w:right w:type="dxa" w:w="100"/>
            </w:tcMar>
          </w:tcPr>
          <w:p>
            <w:r>
              <w:rPr>
                <w:b/>
                <w:bCs/>
              </w:rPr>
              <w:t xml:space="preserve">R1.3</w:t>
            </w:r>
          </w:p>
        </w:tc>
        <w:tc>
          <w:tcPr>
            <w:tcW w:type="dxa" w:w="7700"/>
            <w:tcMar>
              <w:top w:type="dxa" w:w="50"/>
              <w:left w:type="dxa" w:w="100"/>
              <w:bottom w:type="dxa" w:w="50"/>
              <w:right w:type="dxa" w:w="100"/>
            </w:tcMar>
          </w:tcPr>
          <w:p>
            <w:r>
              <w:t xml:space="preserve">Baseline comparison incl. recent graph methods</w:t>
            </w:r>
          </w:p>
        </w:tc>
        <w:tc>
          <w:tcPr>
            <w:tcW w:type="dxa" w:w="3000"/>
            <w:shd w:fill="E3E0FC" w:val="clear"/>
            <w:tcMar>
              <w:top w:type="dxa" w:w="50"/>
              <w:left w:type="dxa" w:w="100"/>
              <w:bottom w:type="dxa" w:w="50"/>
              <w:right w:type="dxa" w:w="100"/>
            </w:tcMar>
          </w:tcPr>
          <w:p>
            <w:r>
              <w:rPr>
                <w:b/>
                <w:bCs/>
                <w:color w:val="4327C9"/>
                <w:sz w:val="16"/>
                <w:szCs w:val="16"/>
              </w:rPr>
              <w:t xml:space="preserve">IMPLEMENTED</w:t>
            </w:r>
          </w:p>
        </w:tc>
      </w:tr>
      <w:tr>
        <w:tc>
          <w:tcPr>
            <w:tcW w:type="dxa" w:w="1200"/>
            <w:tcMar>
              <w:top w:type="dxa" w:w="50"/>
              <w:left w:type="dxa" w:w="100"/>
              <w:bottom w:type="dxa" w:w="50"/>
              <w:right w:type="dxa" w:w="100"/>
            </w:tcMar>
          </w:tcPr>
          <w:p>
            <w:r>
              <w:rPr>
                <w:b/>
                <w:bCs/>
              </w:rPr>
              <w:t xml:space="preserve">R1.4</w:t>
            </w:r>
          </w:p>
        </w:tc>
        <w:tc>
          <w:tcPr>
            <w:tcW w:type="dxa" w:w="7700"/>
            <w:tcMar>
              <w:top w:type="dxa" w:w="50"/>
              <w:left w:type="dxa" w:w="100"/>
              <w:bottom w:type="dxa" w:w="50"/>
              <w:right w:type="dxa" w:w="100"/>
            </w:tcMar>
          </w:tcPr>
          <w:p>
            <w:r>
              <w:t xml:space="preserve">Diversity evaluation</w:t>
            </w:r>
          </w:p>
        </w:tc>
        <w:tc>
          <w:tcPr>
            <w:tcW w:type="dxa" w:w="3000"/>
            <w:shd w:fill="E3E0FC" w:val="clear"/>
            <w:tcMar>
              <w:top w:type="dxa" w:w="50"/>
              <w:left w:type="dxa" w:w="100"/>
              <w:bottom w:type="dxa" w:w="50"/>
              <w:right w:type="dxa" w:w="100"/>
            </w:tcMar>
          </w:tcPr>
          <w:p>
            <w:r>
              <w:rPr>
                <w:b/>
                <w:bCs/>
                <w:color w:val="4327C9"/>
                <w:sz w:val="16"/>
                <w:szCs w:val="16"/>
              </w:rPr>
              <w:t xml:space="preserve">IMPLEMENTED</w:t>
            </w:r>
          </w:p>
        </w:tc>
      </w:tr>
      <w:tr>
        <w:tc>
          <w:tcPr>
            <w:tcW w:type="dxa" w:w="1200"/>
            <w:tcMar>
              <w:top w:type="dxa" w:w="50"/>
              <w:left w:type="dxa" w:w="100"/>
              <w:bottom w:type="dxa" w:w="50"/>
              <w:right w:type="dxa" w:w="100"/>
            </w:tcMar>
          </w:tcPr>
          <w:p>
            <w:r>
              <w:rPr>
                <w:b/>
                <w:bCs/>
              </w:rPr>
              <w:t xml:space="preserve">R1.5–9</w:t>
            </w:r>
          </w:p>
        </w:tc>
        <w:tc>
          <w:tcPr>
            <w:tcW w:type="dxa" w:w="7700"/>
            <w:tcMar>
              <w:top w:type="dxa" w:w="50"/>
              <w:left w:type="dxa" w:w="100"/>
              <w:bottom w:type="dxa" w:w="50"/>
              <w:right w:type="dxa" w:w="100"/>
            </w:tcMar>
          </w:tcPr>
          <w:p>
            <w:r>
              <w:t xml:space="preserve">5 internal numeric inconsistencies</w:t>
            </w:r>
          </w:p>
        </w:tc>
        <w:tc>
          <w:tcPr>
            <w:tcW w:type="dxa" w:w="3000"/>
            <w:shd w:fill="E3E0FC" w:val="clear"/>
            <w:tcMar>
              <w:top w:type="dxa" w:w="50"/>
              <w:left w:type="dxa" w:w="100"/>
              <w:bottom w:type="dxa" w:w="50"/>
              <w:right w:type="dxa" w:w="100"/>
            </w:tcMar>
          </w:tcPr>
          <w:p>
            <w:r>
              <w:rPr>
                <w:b/>
                <w:bCs/>
                <w:color w:val="4327C9"/>
                <w:sz w:val="16"/>
                <w:szCs w:val="16"/>
              </w:rPr>
              <w:t xml:space="preserve">IMPLEMENTED</w:t>
            </w:r>
          </w:p>
        </w:tc>
      </w:tr>
      <w:tr>
        <w:tc>
          <w:tcPr>
            <w:tcW w:type="dxa" w:w="1200"/>
            <w:tcMar>
              <w:top w:type="dxa" w:w="50"/>
              <w:left w:type="dxa" w:w="100"/>
              <w:bottom w:type="dxa" w:w="50"/>
              <w:right w:type="dxa" w:w="100"/>
            </w:tcMar>
          </w:tcPr>
          <w:p>
            <w:r>
              <w:rPr>
                <w:b/>
                <w:bCs/>
              </w:rPr>
              <w:t xml:space="preserve">R1.10</w:t>
            </w:r>
          </w:p>
        </w:tc>
        <w:tc>
          <w:tcPr>
            <w:tcW w:type="dxa" w:w="7700"/>
            <w:tcMar>
              <w:top w:type="dxa" w:w="50"/>
              <w:left w:type="dxa" w:w="100"/>
              <w:bottom w:type="dxa" w:w="50"/>
              <w:right w:type="dxa" w:w="100"/>
            </w:tcMar>
          </w:tcPr>
          <w:p>
            <w:r>
              <w:t xml:space="preserve">Efficiency / edge-reduction proof</w:t>
            </w:r>
          </w:p>
        </w:tc>
        <w:tc>
          <w:tcPr>
            <w:tcW w:type="dxa" w:w="3000"/>
            <w:shd w:fill="E3E0FC" w:val="clear"/>
            <w:tcMar>
              <w:top w:type="dxa" w:w="50"/>
              <w:left w:type="dxa" w:w="100"/>
              <w:bottom w:type="dxa" w:w="50"/>
              <w:right w:type="dxa" w:w="100"/>
            </w:tcMar>
          </w:tcPr>
          <w:p>
            <w:r>
              <w:rPr>
                <w:b/>
                <w:bCs/>
                <w:color w:val="4327C9"/>
                <w:sz w:val="16"/>
                <w:szCs w:val="16"/>
              </w:rPr>
              <w:t xml:space="preserve">IMPLEMENTED</w:t>
            </w:r>
          </w:p>
        </w:tc>
      </w:tr>
      <w:tr>
        <w:tc>
          <w:tcPr>
            <w:tcW w:type="dxa" w:w="1200"/>
            <w:tcMar>
              <w:top w:type="dxa" w:w="50"/>
              <w:left w:type="dxa" w:w="100"/>
              <w:bottom w:type="dxa" w:w="50"/>
              <w:right w:type="dxa" w:w="100"/>
            </w:tcMar>
          </w:tcPr>
          <w:p>
            <w:r>
              <w:rPr>
                <w:b/>
                <w:bCs/>
              </w:rPr>
              <w:t xml:space="preserve">R1.11</w:t>
            </w:r>
          </w:p>
        </w:tc>
        <w:tc>
          <w:tcPr>
            <w:tcW w:type="dxa" w:w="7700"/>
            <w:tcMar>
              <w:top w:type="dxa" w:w="50"/>
              <w:left w:type="dxa" w:w="100"/>
              <w:bottom w:type="dxa" w:w="50"/>
              <w:right w:type="dxa" w:w="100"/>
            </w:tcMar>
          </w:tcPr>
          <w:p>
            <w:r>
              <w:t xml:space="preserve">Ablation study</w:t>
            </w:r>
          </w:p>
        </w:tc>
        <w:tc>
          <w:tcPr>
            <w:tcW w:type="dxa" w:w="3000"/>
            <w:shd w:fill="E3E0FC" w:val="clear"/>
            <w:tcMar>
              <w:top w:type="dxa" w:w="50"/>
              <w:left w:type="dxa" w:w="100"/>
              <w:bottom w:type="dxa" w:w="50"/>
              <w:right w:type="dxa" w:w="100"/>
            </w:tcMar>
          </w:tcPr>
          <w:p>
            <w:r>
              <w:rPr>
                <w:b/>
                <w:bCs/>
                <w:color w:val="4327C9"/>
                <w:sz w:val="16"/>
                <w:szCs w:val="16"/>
              </w:rPr>
              <w:t xml:space="preserve">IMPLEMENTED</w:t>
            </w:r>
          </w:p>
        </w:tc>
      </w:tr>
      <w:tr>
        <w:tc>
          <w:tcPr>
            <w:tcW w:type="dxa" w:w="1200"/>
            <w:tcMar>
              <w:top w:type="dxa" w:w="50"/>
              <w:left w:type="dxa" w:w="100"/>
              <w:bottom w:type="dxa" w:w="50"/>
              <w:right w:type="dxa" w:w="100"/>
            </w:tcMar>
          </w:tcPr>
          <w:p>
            <w:r>
              <w:rPr>
                <w:b/>
                <w:bCs/>
              </w:rPr>
              <w:t xml:space="preserve">R1.12</w:t>
            </w:r>
          </w:p>
        </w:tc>
        <w:tc>
          <w:tcPr>
            <w:tcW w:type="dxa" w:w="7700"/>
            <w:tcMar>
              <w:top w:type="dxa" w:w="50"/>
              <w:left w:type="dxa" w:w="100"/>
              <w:bottom w:type="dxa" w:w="50"/>
              <w:right w:type="dxa" w:w="100"/>
            </w:tcMar>
          </w:tcPr>
          <w:p>
            <w:r>
              <w:t xml:space="preserve">Reproducibility</w:t>
            </w:r>
          </w:p>
        </w:tc>
        <w:tc>
          <w:tcPr>
            <w:tcW w:type="dxa" w:w="3000"/>
            <w:shd w:fill="E3E0FC" w:val="clear"/>
            <w:tcMar>
              <w:top w:type="dxa" w:w="50"/>
              <w:left w:type="dxa" w:w="100"/>
              <w:bottom w:type="dxa" w:w="50"/>
              <w:right w:type="dxa" w:w="100"/>
            </w:tcMar>
          </w:tcPr>
          <w:p>
            <w:r>
              <w:rPr>
                <w:b/>
                <w:bCs/>
                <w:color w:val="4327C9"/>
                <w:sz w:val="16"/>
                <w:szCs w:val="16"/>
              </w:rPr>
              <w:t xml:space="preserve">IMPLEMENTED</w:t>
            </w:r>
          </w:p>
        </w:tc>
      </w:tr>
      <w:tr>
        <w:tc>
          <w:tcPr>
            <w:tcW w:type="dxa" w:w="1200"/>
            <w:tcMar>
              <w:top w:type="dxa" w:w="50"/>
              <w:left w:type="dxa" w:w="100"/>
              <w:bottom w:type="dxa" w:w="50"/>
              <w:right w:type="dxa" w:w="100"/>
            </w:tcMar>
          </w:tcPr>
          <w:p>
            <w:r>
              <w:rPr>
                <w:b/>
                <w:bCs/>
              </w:rPr>
              <w:t xml:space="preserve">R2.1</w:t>
            </w:r>
          </w:p>
        </w:tc>
        <w:tc>
          <w:tcPr>
            <w:tcW w:type="dxa" w:w="7700"/>
            <w:tcMar>
              <w:top w:type="dxa" w:w="50"/>
              <w:left w:type="dxa" w:w="100"/>
              <w:bottom w:type="dxa" w:w="50"/>
              <w:right w:type="dxa" w:w="100"/>
            </w:tcMar>
          </w:tcPr>
          <w:p>
            <w:r>
              <w:t xml:space="preserve">Novelty</w:t>
            </w:r>
          </w:p>
        </w:tc>
        <w:tc>
          <w:tcPr>
            <w:tcW w:type="dxa" w:w="3000"/>
            <w:shd w:fill="FFF2CC" w:val="clear"/>
            <w:tcMar>
              <w:top w:type="dxa" w:w="50"/>
              <w:left w:type="dxa" w:w="100"/>
              <w:bottom w:type="dxa" w:w="50"/>
              <w:right w:type="dxa" w:w="100"/>
            </w:tcMar>
          </w:tcPr>
          <w:p>
            <w:r>
              <w:rPr>
                <w:b/>
                <w:bCs/>
                <w:color w:val="946F00"/>
                <w:sz w:val="16"/>
                <w:szCs w:val="16"/>
              </w:rPr>
              <w:t xml:space="preserve">PARTIALLY IMPLEMENTED</w:t>
            </w:r>
          </w:p>
        </w:tc>
      </w:tr>
      <w:tr>
        <w:tc>
          <w:tcPr>
            <w:tcW w:type="dxa" w:w="1200"/>
            <w:tcMar>
              <w:top w:type="dxa" w:w="50"/>
              <w:left w:type="dxa" w:w="100"/>
              <w:bottom w:type="dxa" w:w="50"/>
              <w:right w:type="dxa" w:w="100"/>
            </w:tcMar>
          </w:tcPr>
          <w:p>
            <w:r>
              <w:rPr>
                <w:b/>
                <w:bCs/>
              </w:rPr>
              <w:t xml:space="preserve">R2.2</w:t>
            </w:r>
          </w:p>
        </w:tc>
        <w:tc>
          <w:tcPr>
            <w:tcW w:type="dxa" w:w="7700"/>
            <w:tcMar>
              <w:top w:type="dxa" w:w="50"/>
              <w:left w:type="dxa" w:w="100"/>
              <w:bottom w:type="dxa" w:w="50"/>
              <w:right w:type="dxa" w:w="100"/>
            </w:tcMar>
          </w:tcPr>
          <w:p>
            <w:r>
              <w:t xml:space="preserve">Superiority / fairness</w:t>
            </w:r>
          </w:p>
        </w:tc>
        <w:tc>
          <w:tcPr>
            <w:tcW w:type="dxa" w:w="3000"/>
            <w:shd w:fill="E3E0FC" w:val="clear"/>
            <w:tcMar>
              <w:top w:type="dxa" w:w="50"/>
              <w:left w:type="dxa" w:w="100"/>
              <w:bottom w:type="dxa" w:w="50"/>
              <w:right w:type="dxa" w:w="100"/>
            </w:tcMar>
          </w:tcPr>
          <w:p>
            <w:r>
              <w:rPr>
                <w:b/>
                <w:bCs/>
                <w:color w:val="4327C9"/>
                <w:sz w:val="16"/>
                <w:szCs w:val="16"/>
              </w:rPr>
              <w:t xml:space="preserve">IMPLEMENTED</w:t>
            </w:r>
          </w:p>
        </w:tc>
      </w:tr>
      <w:tr>
        <w:tc>
          <w:tcPr>
            <w:tcW w:type="dxa" w:w="1200"/>
            <w:tcMar>
              <w:top w:type="dxa" w:w="50"/>
              <w:left w:type="dxa" w:w="100"/>
              <w:bottom w:type="dxa" w:w="50"/>
              <w:right w:type="dxa" w:w="100"/>
            </w:tcMar>
          </w:tcPr>
          <w:p>
            <w:r>
              <w:rPr>
                <w:b/>
                <w:bCs/>
              </w:rPr>
              <w:t xml:space="preserve">R2.3</w:t>
            </w:r>
          </w:p>
        </w:tc>
        <w:tc>
          <w:tcPr>
            <w:tcW w:type="dxa" w:w="7700"/>
            <w:tcMar>
              <w:top w:type="dxa" w:w="50"/>
              <w:left w:type="dxa" w:w="100"/>
              <w:bottom w:type="dxa" w:w="50"/>
              <w:right w:type="dxa" w:w="100"/>
            </w:tcMar>
          </w:tcPr>
          <w:p>
            <w:r>
              <w:t xml:space="preserve">Ablation study</w:t>
            </w:r>
          </w:p>
        </w:tc>
        <w:tc>
          <w:tcPr>
            <w:tcW w:type="dxa" w:w="3000"/>
            <w:shd w:fill="E3E0FC" w:val="clear"/>
            <w:tcMar>
              <w:top w:type="dxa" w:w="50"/>
              <w:left w:type="dxa" w:w="100"/>
              <w:bottom w:type="dxa" w:w="50"/>
              <w:right w:type="dxa" w:w="100"/>
            </w:tcMar>
          </w:tcPr>
          <w:p>
            <w:r>
              <w:rPr>
                <w:b/>
                <w:bCs/>
                <w:color w:val="4327C9"/>
                <w:sz w:val="16"/>
                <w:szCs w:val="16"/>
              </w:rPr>
              <w:t xml:space="preserve">IMPLEMENTED</w:t>
            </w:r>
          </w:p>
        </w:tc>
      </w:tr>
      <w:tr>
        <w:tc>
          <w:tcPr>
            <w:tcW w:type="dxa" w:w="1200"/>
            <w:tcMar>
              <w:top w:type="dxa" w:w="50"/>
              <w:left w:type="dxa" w:w="100"/>
              <w:bottom w:type="dxa" w:w="50"/>
              <w:right w:type="dxa" w:w="100"/>
            </w:tcMar>
          </w:tcPr>
          <w:p>
            <w:r>
              <w:rPr>
                <w:b/>
                <w:bCs/>
              </w:rPr>
              <w:t xml:space="preserve">R2.4</w:t>
            </w:r>
          </w:p>
        </w:tc>
        <w:tc>
          <w:tcPr>
            <w:tcW w:type="dxa" w:w="7700"/>
            <w:tcMar>
              <w:top w:type="dxa" w:w="50"/>
              <w:left w:type="dxa" w:w="100"/>
              <w:bottom w:type="dxa" w:w="50"/>
              <w:right w:type="dxa" w:w="100"/>
            </w:tcMar>
          </w:tcPr>
          <w:p>
            <w:r>
              <w:t xml:space="preserve">Diversity claim</w:t>
            </w:r>
          </w:p>
        </w:tc>
        <w:tc>
          <w:tcPr>
            <w:tcW w:type="dxa" w:w="3000"/>
            <w:shd w:fill="E3E0FC" w:val="clear"/>
            <w:tcMar>
              <w:top w:type="dxa" w:w="50"/>
              <w:left w:type="dxa" w:w="100"/>
              <w:bottom w:type="dxa" w:w="50"/>
              <w:right w:type="dxa" w:w="100"/>
            </w:tcMar>
          </w:tcPr>
          <w:p>
            <w:r>
              <w:rPr>
                <w:b/>
                <w:bCs/>
                <w:color w:val="4327C9"/>
                <w:sz w:val="16"/>
                <w:szCs w:val="16"/>
              </w:rPr>
              <w:t xml:space="preserve">IMPLEMENTED</w:t>
            </w:r>
          </w:p>
        </w:tc>
      </w:tr>
      <w:tr>
        <w:tc>
          <w:tcPr>
            <w:tcW w:type="dxa" w:w="1200"/>
            <w:tcMar>
              <w:top w:type="dxa" w:w="50"/>
              <w:left w:type="dxa" w:w="100"/>
              <w:bottom w:type="dxa" w:w="50"/>
              <w:right w:type="dxa" w:w="100"/>
            </w:tcMar>
          </w:tcPr>
          <w:p>
            <w:r>
              <w:rPr>
                <w:b/>
                <w:bCs/>
              </w:rPr>
              <w:t xml:space="preserve">R2.5</w:t>
            </w:r>
          </w:p>
        </w:tc>
        <w:tc>
          <w:tcPr>
            <w:tcW w:type="dxa" w:w="7700"/>
            <w:tcMar>
              <w:top w:type="dxa" w:w="50"/>
              <w:left w:type="dxa" w:w="100"/>
              <w:bottom w:type="dxa" w:w="50"/>
              <w:right w:type="dxa" w:w="100"/>
            </w:tcMar>
          </w:tcPr>
          <w:p>
            <w:r>
              <w:t xml:space="preserve">Statistical validation</w:t>
            </w:r>
          </w:p>
        </w:tc>
        <w:tc>
          <w:tcPr>
            <w:tcW w:type="dxa" w:w="3000"/>
            <w:shd w:fill="E3E0FC" w:val="clear"/>
            <w:tcMar>
              <w:top w:type="dxa" w:w="50"/>
              <w:left w:type="dxa" w:w="100"/>
              <w:bottom w:type="dxa" w:w="50"/>
              <w:right w:type="dxa" w:w="100"/>
            </w:tcMar>
          </w:tcPr>
          <w:p>
            <w:r>
              <w:rPr>
                <w:b/>
                <w:bCs/>
                <w:color w:val="4327C9"/>
                <w:sz w:val="16"/>
                <w:szCs w:val="16"/>
              </w:rPr>
              <w:t xml:space="preserve">IMPLEMENTED</w:t>
            </w:r>
          </w:p>
        </w:tc>
      </w:tr>
      <w:tr>
        <w:tc>
          <w:tcPr>
            <w:tcW w:type="dxa" w:w="1200"/>
            <w:tcMar>
              <w:top w:type="dxa" w:w="50"/>
              <w:left w:type="dxa" w:w="100"/>
              <w:bottom w:type="dxa" w:w="50"/>
              <w:right w:type="dxa" w:w="100"/>
            </w:tcMar>
          </w:tcPr>
          <w:p>
            <w:r>
              <w:rPr>
                <w:b/>
                <w:bCs/>
              </w:rPr>
              <w:t xml:space="preserve">R2.6</w:t>
            </w:r>
          </w:p>
        </w:tc>
        <w:tc>
          <w:tcPr>
            <w:tcW w:type="dxa" w:w="7700"/>
            <w:tcMar>
              <w:top w:type="dxa" w:w="50"/>
              <w:left w:type="dxa" w:w="100"/>
              <w:bottom w:type="dxa" w:w="50"/>
              <w:right w:type="dxa" w:w="100"/>
            </w:tcMar>
          </w:tcPr>
          <w:p>
            <w:r>
              <w:t xml:space="preserve">Result consistency</w:t>
            </w:r>
          </w:p>
        </w:tc>
        <w:tc>
          <w:tcPr>
            <w:tcW w:type="dxa" w:w="3000"/>
            <w:shd w:fill="E3E0FC" w:val="clear"/>
            <w:tcMar>
              <w:top w:type="dxa" w:w="50"/>
              <w:left w:type="dxa" w:w="100"/>
              <w:bottom w:type="dxa" w:w="50"/>
              <w:right w:type="dxa" w:w="100"/>
            </w:tcMar>
          </w:tcPr>
          <w:p>
            <w:r>
              <w:rPr>
                <w:b/>
                <w:bCs/>
                <w:color w:val="4327C9"/>
                <w:sz w:val="16"/>
                <w:szCs w:val="16"/>
              </w:rPr>
              <w:t xml:space="preserve">IMPLEMENTED</w:t>
            </w:r>
          </w:p>
        </w:tc>
      </w:tr>
      <w:tr>
        <w:tc>
          <w:tcPr>
            <w:tcW w:type="dxa" w:w="1200"/>
            <w:tcMar>
              <w:top w:type="dxa" w:w="50"/>
              <w:left w:type="dxa" w:w="100"/>
              <w:bottom w:type="dxa" w:w="50"/>
              <w:right w:type="dxa" w:w="100"/>
            </w:tcMar>
          </w:tcPr>
          <w:p>
            <w:r>
              <w:rPr>
                <w:b/>
                <w:bCs/>
              </w:rPr>
              <w:t xml:space="preserve">R2.7</w:t>
            </w:r>
          </w:p>
        </w:tc>
        <w:tc>
          <w:tcPr>
            <w:tcW w:type="dxa" w:w="7700"/>
            <w:tcMar>
              <w:top w:type="dxa" w:w="50"/>
              <w:left w:type="dxa" w:w="100"/>
              <w:bottom w:type="dxa" w:w="50"/>
              <w:right w:type="dxa" w:w="100"/>
            </w:tcMar>
          </w:tcPr>
          <w:p>
            <w:r>
              <w:t xml:space="preserve">Generalization &amp; sensitivity</w:t>
            </w:r>
          </w:p>
        </w:tc>
        <w:tc>
          <w:tcPr>
            <w:tcW w:type="dxa" w:w="3000"/>
            <w:shd w:fill="E3E0FC" w:val="clear"/>
            <w:tcMar>
              <w:top w:type="dxa" w:w="50"/>
              <w:left w:type="dxa" w:w="100"/>
              <w:bottom w:type="dxa" w:w="50"/>
              <w:right w:type="dxa" w:w="100"/>
            </w:tcMar>
          </w:tcPr>
          <w:p>
            <w:r>
              <w:rPr>
                <w:b/>
                <w:bCs/>
                <w:color w:val="4327C9"/>
                <w:sz w:val="16"/>
                <w:szCs w:val="16"/>
              </w:rPr>
              <w:t xml:space="preserve">IMPLEMENTED</w:t>
            </w:r>
          </w:p>
        </w:tc>
      </w:tr>
      <w:tr>
        <w:tc>
          <w:tcPr>
            <w:tcW w:type="dxa" w:w="1200"/>
            <w:tcMar>
              <w:top w:type="dxa" w:w="50"/>
              <w:left w:type="dxa" w:w="100"/>
              <w:bottom w:type="dxa" w:w="50"/>
              <w:right w:type="dxa" w:w="100"/>
            </w:tcMar>
          </w:tcPr>
          <w:p>
            <w:r>
              <w:rPr>
                <w:b/>
                <w:bCs/>
              </w:rPr>
              <w:t xml:space="preserve">R2.8</w:t>
            </w:r>
          </w:p>
        </w:tc>
        <w:tc>
          <w:tcPr>
            <w:tcW w:type="dxa" w:w="7700"/>
            <w:tcMar>
              <w:top w:type="dxa" w:w="50"/>
              <w:left w:type="dxa" w:w="100"/>
              <w:bottom w:type="dxa" w:w="50"/>
              <w:right w:type="dxa" w:w="100"/>
            </w:tcMar>
          </w:tcPr>
          <w:p>
            <w:r>
              <w:t xml:space="preserve">References &amp; related work</w:t>
            </w:r>
          </w:p>
        </w:tc>
        <w:tc>
          <w:tcPr>
            <w:tcW w:type="dxa" w:w="3000"/>
            <w:shd w:fill="E7E6E6" w:val="clear"/>
            <w:tcMar>
              <w:top w:type="dxa" w:w="50"/>
              <w:left w:type="dxa" w:w="100"/>
              <w:bottom w:type="dxa" w:w="50"/>
              <w:right w:type="dxa" w:w="100"/>
            </w:tcMar>
          </w:tcPr>
          <w:p>
            <w:r>
              <w:rPr>
                <w:b/>
                <w:bCs/>
                <w:color w:val="595959"/>
                <w:sz w:val="16"/>
                <w:szCs w:val="16"/>
              </w:rPr>
              <w:t xml:space="preserve">OUT OF SCOPE FOR THIS CODEBASE (MANUSCRIPT-ONLY / FUTURE WORK)</w:t>
            </w:r>
          </w:p>
        </w:tc>
      </w:tr>
    </w:tbl>
    <w:p>
      <w:r>
        <w:br w:type="page"/>
      </w:r>
    </w:p>
    <w:p>
      <w:pPr>
        <w:pStyle w:val="Heading1"/>
        <w:spacing w:after="160" w:before="200"/>
      </w:pPr>
      <w:r>
        <w:t xml:space="preserve">Reviewer 1</w:t>
      </w:r>
    </w:p>
    <w:p>
      <w:pPr>
        <w:pStyle w:val="Heading3"/>
        <w:spacing w:after="80" w:before="280"/>
      </w:pPr>
      <w:r>
        <w:t xml:space="preserve">R1.1 — Mathematical formulation</w:t>
      </w:r>
    </w:p>
    <w:p>
      <w:pPr>
        <w:spacing w:after="140"/>
      </w:pPr>
      <w:r>
        <w:rPr>
          <w:b/>
          <w:bCs/>
        </w:rPr>
        <w:t xml:space="preserve">Reviewer comment: </w:t>
      </w:r>
    </w:p>
    <w:p>
      <w:pPr>
        <w:pBdr>
          <w:left w:val="single" w:color="5B3DF5" w:sz="12" w:space="8"/>
        </w:pBdr>
        <w:spacing w:after="120" w:before="60"/>
        <w:ind w:left="360"/>
      </w:pPr>
      <w:r>
        <w:rPr>
          <w:i/>
          <w:iCs/>
          <w:color w:val="444444"/>
        </w:rPr>
        <w:t xml:space="preserve">Mathematical Formulation — Clearly define all equations, variables, graph construction, community detection, edge reduction, and training procedure.</w:t>
      </w:r>
    </w:p>
    <w:p>
      <w:pPr>
        <w:shd w:fill="E3E0FC" w:val="clear"/>
        <w:spacing w:after="120" w:before="60"/>
      </w:pPr>
      <w:r>
        <w:rPr>
          <w:b/>
          <w:bCs/>
          <w:color w:val="4327C9"/>
          <w:sz w:val="18"/>
          <w:szCs w:val="18"/>
        </w:rPr>
        <w:t xml:space="preserve">  STATUS:  </w:t>
      </w:r>
      <w:r>
        <w:rPr>
          <w:b/>
          <w:bCs/>
          <w:color w:val="4327C9"/>
          <w:sz w:val="18"/>
          <w:szCs w:val="18"/>
        </w:rPr>
        <w:t xml:space="preserve">IMPLEMENTED</w:t>
      </w:r>
      <w:r>
        <w:rPr>
          <w:sz w:val="18"/>
          <w:szCs w:val="18"/>
        </w:rPr>
        <w:t xml:space="preserve">  </w:t>
      </w:r>
    </w:p>
    <w:p>
      <w:pPr>
        <w:spacing w:after="140"/>
      </w:pPr>
      <w:r>
        <w:t xml:space="preserve">No runnable reference implementation of CGNF exists — only the paper's equations (1)–(17) and three pseudocode algorithms, several with OCR-garbled or reused subscripts. Rather than reproduce that ambiguity, </w:t>
      </w:r>
      <w:r>
        <w:rPr>
          <w:i/>
          <w:iCs/>
        </w:rPr>
        <w:t xml:space="preserve">backend/app/graph.py</w:t>
      </w:r>
      <w:r>
        <w:t xml:space="preserve"> and </w:t>
      </w:r>
      <w:r>
        <w:rPr>
          <w:i/>
          <w:iCs/>
        </w:rPr>
        <w:t xml:space="preserve">backend/app/edge_reduction.py</w:t>
      </w:r>
      <w:r>
        <w:t xml:space="preserve"> implement one concrete, documented reading of each equation, function by function:</w:t>
      </w:r>
    </w:p>
    <w:p>
      <w:pPr>
        <w:pStyle w:val="ListParagraph"/>
        <w:numPr>
          <w:ilvl w:val="0"/>
          <w:numId w:val="2"/>
        </w:numPr>
        <w:spacing w:after="40"/>
      </w:pPr>
      <w:r>
        <w:rPr>
          <w:b/>
          <w:bCs/>
        </w:rPr>
        <w:t xml:space="preserve">Eq. (1)–(2): </w:t>
      </w:r>
      <w:r>
        <w:t xml:space="preserve">bipartite modularity in the style of Barber (2007) — observed link weight minus a degree-product null-model term, summed over same-community node pairs.</w:t>
      </w:r>
    </w:p>
    <w:p>
      <w:pPr>
        <w:pStyle w:val="ListParagraph"/>
        <w:numPr>
          <w:ilvl w:val="0"/>
          <w:numId w:val="2"/>
        </w:numPr>
        <w:spacing w:after="40"/>
      </w:pPr>
      <w:r>
        <w:rPr>
          <w:b/>
          <w:bCs/>
        </w:rPr>
        <w:t xml:space="preserve">Eq. (3): </w:t>
      </w:r>
      <w:r>
        <w:t xml:space="preserve">ratings row-normalized per user, thresholded into “strong” (saturates to 1.0) vs. “weak” (kept fractional) links — CGNF's one genuinely custom weighting step.</w:t>
      </w:r>
    </w:p>
    <w:p>
      <w:pPr>
        <w:pStyle w:val="ListParagraph"/>
        <w:numPr>
          <w:ilvl w:val="0"/>
          <w:numId w:val="2"/>
        </w:numPr>
        <w:spacing w:after="40"/>
      </w:pPr>
      <w:r>
        <w:rPr>
          <w:b/>
          <w:bCs/>
        </w:rPr>
        <w:t xml:space="preserve">Eq. (4)–(11), Algorithm 1: </w:t>
      </w:r>
      <w:r>
        <w:t xml:space="preserve">community assignment via bipartite spectral co-clustering (Dhillon, 2001) — the top-(H−1) singular vectors of the normalized bipartite link matrix embed users and items into a shared space, k-means'd into H communities. An initial literal reading of Eq.(15)–(17) as an alternating power-iteration update was tried first and found, via this project's own multi-seed validation feature, to collapse to a single community regardless of H — see “Issues found independently” below.</w:t>
      </w:r>
    </w:p>
    <w:p>
      <w:pPr>
        <w:pStyle w:val="ListParagraph"/>
        <w:numPr>
          <w:ilvl w:val="0"/>
          <w:numId w:val="2"/>
        </w:numPr>
        <w:spacing w:after="40"/>
      </w:pPr>
      <w:r>
        <w:rPr>
          <w:b/>
          <w:bCs/>
        </w:rPr>
        <w:t xml:space="preserve">Eq. (12)–(14): </w:t>
      </w:r>
      <w:r>
        <w:t xml:space="preserve">the modularity score (blending a local hard-assignment term and a global membership-confidence term) used to pick the community count H.</w:t>
      </w:r>
    </w:p>
    <w:p>
      <w:pPr>
        <w:pStyle w:val="ListParagraph"/>
        <w:numPr>
          <w:ilvl w:val="0"/>
          <w:numId w:val="2"/>
        </w:numPr>
        <w:spacing w:after="40"/>
      </w:pPr>
      <w:r>
        <w:rPr>
          <w:b/>
          <w:bCs/>
        </w:rPr>
        <w:t xml:space="preserve">Algorithm 2 (edge reduction): </w:t>
      </w:r>
      <w:r>
        <w:t xml:space="preserve">vectorized subset-redundancy removal within each community, not a literal RL-wide pairwise loop.</w:t>
      </w:r>
    </w:p>
    <w:p>
      <w:pPr>
        <w:pStyle w:val="ListParagraph"/>
        <w:numPr>
          <w:ilvl w:val="0"/>
          <w:numId w:val="2"/>
        </w:numPr>
        <w:spacing w:after="40"/>
      </w:pPr>
      <w:r>
        <w:rPr>
          <w:b/>
          <w:bCs/>
        </w:rPr>
        <w:t xml:space="preserve">Algorithm 3 (recommendation): </w:t>
      </w:r>
      <w:r>
        <w:t xml:space="preserve">community-scoped, similarity-weighted neighbor aggregation.</w:t>
      </w:r>
    </w:p>
    <w:p>
      <w:pPr>
        <w:spacing w:after="140"/>
      </w:pPr>
      <w:r>
        <w:t xml:space="preserve">One honest, named deviation: the paper's own </w:t>
      </w:r>
      <w:r>
        <w:rPr>
          <w:i/>
          <w:iCs/>
        </w:rPr>
        <w:t xml:space="preserve">H_max = (|V|·|L|)^0.5</w:t>
      </w:r>
      <w:r>
        <w:t xml:space="preserve"> bound evaluates to ≈4,700 at MovieLens-1M's training-graph scale — exhaustively sweeping that many community counts is not tractable in minutes on CPU. This implementation sweeps a practical grid ([4,8,12,16,24,32,48,64]) instead and documents the gap explicitly (specs/spec.md §2) rather than silently using a different bound without saying so.</w:t>
      </w:r>
    </w:p>
    <w:p>
      <w:pPr>
        <w:pStyle w:val="Heading3"/>
        <w:spacing w:after="80" w:before="280"/>
      </w:pPr>
      <w:r>
        <w:t xml:space="preserve">R1.2 — Experimental setup</w:t>
      </w:r>
    </w:p>
    <w:p>
      <w:pPr>
        <w:spacing w:after="140"/>
      </w:pPr>
      <w:r>
        <w:rPr>
          <w:b/>
          <w:bCs/>
        </w:rPr>
        <w:t xml:space="preserve">Reviewer comment: </w:t>
      </w:r>
    </w:p>
    <w:p>
      <w:pPr>
        <w:pBdr>
          <w:left w:val="single" w:color="5B3DF5" w:sz="12" w:space="8"/>
        </w:pBdr>
        <w:spacing w:after="120" w:before="60"/>
        <w:ind w:left="360"/>
      </w:pPr>
      <w:r>
        <w:rPr>
          <w:i/>
          <w:iCs/>
          <w:color w:val="444444"/>
        </w:rPr>
        <w:t xml:space="preserve">Experimental Setup — Clearly specify datasets, preprocessing, data splits, negative sampling, evaluation method, hyperparameters, and random seeds.</w:t>
      </w:r>
    </w:p>
    <w:p>
      <w:pPr>
        <w:shd w:fill="E3E0FC" w:val="clear"/>
        <w:spacing w:after="120" w:before="60"/>
      </w:pPr>
      <w:r>
        <w:rPr>
          <w:b/>
          <w:bCs/>
          <w:color w:val="4327C9"/>
          <w:sz w:val="18"/>
          <w:szCs w:val="18"/>
        </w:rPr>
        <w:t xml:space="preserve">  STATUS:  </w:t>
      </w:r>
      <w:r>
        <w:rPr>
          <w:b/>
          <w:bCs/>
          <w:color w:val="4327C9"/>
          <w:sz w:val="18"/>
          <w:szCs w:val="18"/>
        </w:rPr>
        <w:t xml:space="preserve">IMPLEMENTED</w:t>
      </w:r>
      <w:r>
        <w:rPr>
          <w:sz w:val="18"/>
          <w:szCs w:val="18"/>
        </w:rPr>
        <w:t xml:space="preserve">  </w:t>
      </w:r>
    </w:p>
    <w:p>
      <w:pPr>
        <w:spacing w:after="140"/>
      </w:pPr>
      <w:r>
        <w:t xml:space="preserve">Every item is explicit, editable in the Train form, and recorded with every run:</w:t>
      </w:r>
    </w:p>
    <w:p>
      <w:pPr>
        <w:pStyle w:val="ListParagraph"/>
        <w:numPr>
          <w:ilvl w:val="0"/>
          <w:numId w:val="2"/>
        </w:numPr>
        <w:spacing w:after="40"/>
      </w:pPr>
      <w:r>
        <w:rPr>
          <w:b/>
          <w:bCs/>
        </w:rPr>
        <w:t xml:space="preserve">Dataset: </w:t>
      </w:r>
      <w:r>
        <w:t xml:space="preserve">MovieLens 1M — 6,040 users, 3,883 movies, 1,000,209 ratings.</w:t>
      </w:r>
    </w:p>
    <w:p>
      <w:pPr>
        <w:pStyle w:val="ListParagraph"/>
        <w:numPr>
          <w:ilvl w:val="0"/>
          <w:numId w:val="2"/>
        </w:numPr>
        <w:spacing w:after="40"/>
      </w:pPr>
      <w:r>
        <w:rPr>
          <w:b/>
          <w:bCs/>
        </w:rPr>
        <w:t xml:space="preserve">Preprocessing/split: </w:t>
      </w:r>
      <w:r>
        <w:t xml:space="preserve">per-user, time-ordered leave-k-out (k=1 default); users with ≤ min_interactions stay entirely in train.</w:t>
      </w:r>
    </w:p>
    <w:p>
      <w:pPr>
        <w:pStyle w:val="ListParagraph"/>
        <w:numPr>
          <w:ilvl w:val="0"/>
          <w:numId w:val="2"/>
        </w:numPr>
        <w:spacing w:after="40"/>
      </w:pPr>
      <w:r>
        <w:rPr>
          <w:b/>
          <w:bCs/>
        </w:rPr>
        <w:t xml:space="preserve">Negative sampling: </w:t>
      </w:r>
      <w:r>
        <w:t xml:space="preserve">used in BPR-MF's and LightGCN's training loss (uniform random negatives, resampled per batch) — not at evaluation time, where candidates are the full remaining catalog.</w:t>
      </w:r>
    </w:p>
    <w:p>
      <w:pPr>
        <w:pStyle w:val="ListParagraph"/>
        <w:numPr>
          <w:ilvl w:val="0"/>
          <w:numId w:val="2"/>
        </w:numPr>
        <w:spacing w:after="40"/>
      </w:pPr>
      <w:r>
        <w:rPr>
          <w:b/>
          <w:bCs/>
        </w:rPr>
        <w:t xml:space="preserve">Evaluation method: </w:t>
      </w:r>
      <w:r>
        <w:t xml:space="preserve">Recall@K / NDCG@K, K∈{20,50}, per held-out user, averaged only over users with ≥1 relevant held-out item (3,563 of 6,040).</w:t>
      </w:r>
    </w:p>
    <w:p>
      <w:pPr>
        <w:pStyle w:val="ListParagraph"/>
        <w:numPr>
          <w:ilvl w:val="0"/>
          <w:numId w:val="2"/>
        </w:numPr>
        <w:spacing w:after="40"/>
      </w:pPr>
      <w:r>
        <w:rPr>
          <w:b/>
          <w:bCs/>
        </w:rPr>
        <w:t xml:space="preserve">Hyperparameters: </w:t>
      </w:r>
      <w:r>
        <w:t xml:space="preserve">every field in backend/app/runner.py's DEFAULTS is a visible Train-form input, not a hidden constant.</w:t>
      </w:r>
    </w:p>
    <w:p>
      <w:pPr>
        <w:pStyle w:val="ListParagraph"/>
        <w:numPr>
          <w:ilvl w:val="0"/>
          <w:numId w:val="2"/>
        </w:numPr>
        <w:spacing w:after="40"/>
      </w:pPr>
      <w:r>
        <w:rPr>
          <w:b/>
          <w:bCs/>
        </w:rPr>
        <w:t xml:space="preserve">Random seed: </w:t>
      </w:r>
      <w:r>
        <w:t xml:space="preserve">an explicit seed field (default 0) on every run config.</w:t>
      </w:r>
    </w:p>
    <w:p>
      <w:pPr>
        <w:pStyle w:val="Heading3"/>
        <w:spacing w:after="80" w:before="280"/>
      </w:pPr>
      <w:r>
        <w:t xml:space="preserve">R1.3 — Baseline comparison incl. recent graph-based methods</w:t>
      </w:r>
    </w:p>
    <w:p>
      <w:pPr>
        <w:spacing w:after="140"/>
      </w:pPr>
      <w:r>
        <w:rPr>
          <w:b/>
          <w:bCs/>
        </w:rPr>
        <w:t xml:space="preserve">Reviewer comment: </w:t>
      </w:r>
    </w:p>
    <w:p>
      <w:pPr>
        <w:pBdr>
          <w:left w:val="single" w:color="5B3DF5" w:sz="12" w:space="8"/>
        </w:pBdr>
        <w:spacing w:after="120" w:before="60"/>
        <w:ind w:left="360"/>
      </w:pPr>
      <w:r>
        <w:rPr>
          <w:i/>
          <w:iCs/>
          <w:color w:val="444444"/>
        </w:rPr>
        <w:t xml:space="preserve">Baseline Comparison — Ensure a fair comparison using the same protocol and include recent graph-based recommendation methods.</w:t>
      </w:r>
    </w:p>
    <w:p>
      <w:pPr>
        <w:shd w:fill="E3E0FC" w:val="clear"/>
        <w:spacing w:after="120" w:before="60"/>
      </w:pPr>
      <w:r>
        <w:rPr>
          <w:b/>
          <w:bCs/>
          <w:color w:val="4327C9"/>
          <w:sz w:val="18"/>
          <w:szCs w:val="18"/>
        </w:rPr>
        <w:t xml:space="preserve">  STATUS:  </w:t>
      </w:r>
      <w:r>
        <w:rPr>
          <w:b/>
          <w:bCs/>
          <w:color w:val="4327C9"/>
          <w:sz w:val="18"/>
          <w:szCs w:val="18"/>
        </w:rPr>
        <w:t xml:space="preserve">IMPLEMENTED</w:t>
      </w:r>
      <w:r>
        <w:rPr>
          <w:sz w:val="18"/>
          <w:szCs w:val="18"/>
        </w:rPr>
        <w:t xml:space="preserve">  </w:t>
      </w:r>
    </w:p>
    <w:p>
      <w:pPr>
        <w:spacing w:after="140"/>
      </w:pPr>
      <w:r>
        <w:t xml:space="preserve">All 5 methods — MostPopular, Item-kNN, BPR-MF, LightGCN, and CGNF — train on the identical split and are scored through the identical </w:t>
      </w:r>
      <w:r>
        <w:rPr>
          <w:i/>
          <w:iCs/>
        </w:rPr>
        <w:t xml:space="preserve">metrics.py</w:t>
      </w:r>
      <w:r>
        <w:t xml:space="preserve"> evaluation function; no method gets a different protocol. LightGCN (He et al., 2020) is the specific recent graph-based method both reviewers name.</w:t>
      </w:r>
    </w:p>
    <w:p>
      <w:pPr>
        <w:spacing w:after="140"/>
      </w:pPr>
      <w:r>
        <w:rPr>
          <w:b/>
          <w:bCs/>
        </w:rPr>
        <w:t xml:space="preserve">Real result, this run (full table in Appendix A):</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2600"/>
        <w:gridCol w:w="2325"/>
        <w:gridCol w:w="2325"/>
        <w:gridCol w:w="2325"/>
        <w:gridCol w:w="2325"/>
      </w:tblGrid>
      <w:tr>
        <w:trPr>
          <w:tblHeader/>
        </w:trPr>
        <w:tc>
          <w:tcPr>
            <w:tcW w:type="dxa" w:w="2600"/>
            <w:shd w:fill="5B3DF5" w:val="clear"/>
            <w:tcMar>
              <w:top w:type="dxa" w:w="60"/>
              <w:left w:type="dxa" w:w="80"/>
              <w:bottom w:type="dxa" w:w="60"/>
              <w:right w:type="dxa" w:w="80"/>
            </w:tcMar>
            <w:vAlign w:val="center"/>
          </w:tcPr>
          <w:p>
            <w:pPr>
              <w:jc w:val="center"/>
            </w:pPr>
            <w:r>
              <w:rPr>
                <w:b/>
                <w:bCs/>
                <w:color w:val="FFFFFF"/>
                <w:sz w:val="18"/>
                <w:szCs w:val="18"/>
              </w:rPr>
              <w:t xml:space="preserve">Method</w:t>
            </w:r>
          </w:p>
        </w:tc>
        <w:tc>
          <w:tcPr>
            <w:tcW w:type="dxa" w:w="2325"/>
            <w:shd w:fill="5B3DF5" w:val="clear"/>
            <w:tcMar>
              <w:top w:type="dxa" w:w="60"/>
              <w:left w:type="dxa" w:w="80"/>
              <w:bottom w:type="dxa" w:w="60"/>
              <w:right w:type="dxa" w:w="80"/>
            </w:tcMar>
            <w:vAlign w:val="center"/>
          </w:tcPr>
          <w:p>
            <w:pPr>
              <w:jc w:val="center"/>
            </w:pPr>
            <w:r>
              <w:rPr>
                <w:b/>
                <w:bCs/>
                <w:color w:val="FFFFFF"/>
                <w:sz w:val="18"/>
                <w:szCs w:val="18"/>
              </w:rPr>
              <w:t xml:space="preserve">NDCG@20</w:t>
            </w:r>
          </w:p>
        </w:tc>
        <w:tc>
          <w:tcPr>
            <w:tcW w:type="dxa" w:w="2325"/>
            <w:shd w:fill="5B3DF5" w:val="clear"/>
            <w:tcMar>
              <w:top w:type="dxa" w:w="60"/>
              <w:left w:type="dxa" w:w="80"/>
              <w:bottom w:type="dxa" w:w="60"/>
              <w:right w:type="dxa" w:w="80"/>
            </w:tcMar>
            <w:vAlign w:val="center"/>
          </w:tcPr>
          <w:p>
            <w:pPr>
              <w:jc w:val="center"/>
            </w:pPr>
            <w:r>
              <w:rPr>
                <w:b/>
                <w:bCs/>
                <w:color w:val="FFFFFF"/>
                <w:sz w:val="18"/>
                <w:szCs w:val="18"/>
              </w:rPr>
              <w:t xml:space="preserve">Recall@20</w:t>
            </w:r>
          </w:p>
        </w:tc>
        <w:tc>
          <w:tcPr>
            <w:tcW w:type="dxa" w:w="2325"/>
            <w:shd w:fill="5B3DF5" w:val="clear"/>
            <w:tcMar>
              <w:top w:type="dxa" w:w="60"/>
              <w:left w:type="dxa" w:w="80"/>
              <w:bottom w:type="dxa" w:w="60"/>
              <w:right w:type="dxa" w:w="80"/>
            </w:tcMar>
            <w:vAlign w:val="center"/>
          </w:tcPr>
          <w:p>
            <w:pPr>
              <w:jc w:val="center"/>
            </w:pPr>
            <w:r>
              <w:rPr>
                <w:b/>
                <w:bCs/>
                <w:color w:val="FFFFFF"/>
                <w:sz w:val="18"/>
                <w:szCs w:val="18"/>
              </w:rPr>
              <w:t xml:space="preserve">NDCG@50</w:t>
            </w:r>
          </w:p>
        </w:tc>
        <w:tc>
          <w:tcPr>
            <w:tcW w:type="dxa" w:w="2325"/>
            <w:shd w:fill="5B3DF5" w:val="clear"/>
            <w:tcMar>
              <w:top w:type="dxa" w:w="60"/>
              <w:left w:type="dxa" w:w="80"/>
              <w:bottom w:type="dxa" w:w="60"/>
              <w:right w:type="dxa" w:w="80"/>
            </w:tcMar>
            <w:vAlign w:val="center"/>
          </w:tcPr>
          <w:p>
            <w:pPr>
              <w:jc w:val="center"/>
            </w:pPr>
            <w:r>
              <w:rPr>
                <w:b/>
                <w:bCs/>
                <w:color w:val="FFFFFF"/>
                <w:sz w:val="18"/>
                <w:szCs w:val="18"/>
              </w:rPr>
              <w:t xml:space="preserve">Recall@50</w:t>
            </w:r>
          </w:p>
        </w:tc>
      </w:tr>
      <w:tr>
        <w:tc>
          <w:tcPr>
            <w:tcW w:type="dxa" w:w="2600"/>
            <w:tcMar>
              <w:top w:type="dxa" w:w="60"/>
              <w:left w:type="dxa" w:w="80"/>
              <w:bottom w:type="dxa" w:w="60"/>
              <w:right w:type="dxa" w:w="80"/>
            </w:tcMar>
            <w:vAlign w:val="center"/>
          </w:tcPr>
          <w:p>
            <w:r>
              <w:t xml:space="preserve">MostPopular</w:t>
            </w:r>
          </w:p>
        </w:tc>
        <w:tc>
          <w:tcPr>
            <w:tcW w:type="dxa" w:w="2325"/>
            <w:tcMar>
              <w:top w:type="dxa" w:w="60"/>
              <w:left w:type="dxa" w:w="80"/>
              <w:bottom w:type="dxa" w:w="60"/>
              <w:right w:type="dxa" w:w="80"/>
            </w:tcMar>
            <w:vAlign w:val="center"/>
          </w:tcPr>
          <w:p>
            <w:pPr>
              <w:jc w:val="center"/>
            </w:pPr>
            <w:r>
              <w:t xml:space="preserve">0.0328</w:t>
            </w:r>
          </w:p>
        </w:tc>
        <w:tc>
          <w:tcPr>
            <w:tcW w:type="dxa" w:w="2325"/>
            <w:tcMar>
              <w:top w:type="dxa" w:w="60"/>
              <w:left w:type="dxa" w:w="80"/>
              <w:bottom w:type="dxa" w:w="60"/>
              <w:right w:type="dxa" w:w="80"/>
            </w:tcMar>
            <w:vAlign w:val="center"/>
          </w:tcPr>
          <w:p>
            <w:pPr>
              <w:jc w:val="center"/>
            </w:pPr>
            <w:r>
              <w:t xml:space="preserve">0.0898</w:t>
            </w:r>
          </w:p>
        </w:tc>
        <w:tc>
          <w:tcPr>
            <w:tcW w:type="dxa" w:w="2325"/>
            <w:tcMar>
              <w:top w:type="dxa" w:w="60"/>
              <w:left w:type="dxa" w:w="80"/>
              <w:bottom w:type="dxa" w:w="60"/>
              <w:right w:type="dxa" w:w="80"/>
            </w:tcMar>
            <w:vAlign w:val="center"/>
          </w:tcPr>
          <w:p>
            <w:pPr>
              <w:jc w:val="center"/>
            </w:pPr>
            <w:r>
              <w:t xml:space="preserve">0.0504</w:t>
            </w:r>
          </w:p>
        </w:tc>
        <w:tc>
          <w:tcPr>
            <w:tcW w:type="dxa" w:w="2325"/>
            <w:tcMar>
              <w:top w:type="dxa" w:w="60"/>
              <w:left w:type="dxa" w:w="80"/>
              <w:bottom w:type="dxa" w:w="60"/>
              <w:right w:type="dxa" w:w="80"/>
            </w:tcMar>
            <w:vAlign w:val="center"/>
          </w:tcPr>
          <w:p>
            <w:pPr>
              <w:jc w:val="center"/>
            </w:pPr>
            <w:r>
              <w:t xml:space="preserve">0.1791</w:t>
            </w:r>
          </w:p>
        </w:tc>
      </w:tr>
      <w:tr>
        <w:tc>
          <w:tcPr>
            <w:tcW w:type="dxa" w:w="2600"/>
            <w:tcMar>
              <w:top w:type="dxa" w:w="60"/>
              <w:left w:type="dxa" w:w="80"/>
              <w:bottom w:type="dxa" w:w="60"/>
              <w:right w:type="dxa" w:w="80"/>
            </w:tcMar>
            <w:vAlign w:val="center"/>
          </w:tcPr>
          <w:p>
            <w:r>
              <w:t xml:space="preserve">Item-kNN</w:t>
            </w:r>
          </w:p>
        </w:tc>
        <w:tc>
          <w:tcPr>
            <w:tcW w:type="dxa" w:w="2325"/>
            <w:tcMar>
              <w:top w:type="dxa" w:w="60"/>
              <w:left w:type="dxa" w:w="80"/>
              <w:bottom w:type="dxa" w:w="60"/>
              <w:right w:type="dxa" w:w="80"/>
            </w:tcMar>
            <w:vAlign w:val="center"/>
          </w:tcPr>
          <w:p>
            <w:pPr>
              <w:jc w:val="center"/>
            </w:pPr>
            <w:r>
              <w:t xml:space="preserve">0.0628</w:t>
            </w:r>
          </w:p>
        </w:tc>
        <w:tc>
          <w:tcPr>
            <w:tcW w:type="dxa" w:w="2325"/>
            <w:tcMar>
              <w:top w:type="dxa" w:w="60"/>
              <w:left w:type="dxa" w:w="80"/>
              <w:bottom w:type="dxa" w:w="60"/>
              <w:right w:type="dxa" w:w="80"/>
            </w:tcMar>
            <w:vAlign w:val="center"/>
          </w:tcPr>
          <w:p>
            <w:pPr>
              <w:jc w:val="center"/>
            </w:pPr>
            <w:r>
              <w:t xml:space="preserve">0.1502</w:t>
            </w:r>
          </w:p>
        </w:tc>
        <w:tc>
          <w:tcPr>
            <w:tcW w:type="dxa" w:w="2325"/>
            <w:tcMar>
              <w:top w:type="dxa" w:w="60"/>
              <w:left w:type="dxa" w:w="80"/>
              <w:bottom w:type="dxa" w:w="60"/>
              <w:right w:type="dxa" w:w="80"/>
            </w:tcMar>
            <w:vAlign w:val="center"/>
          </w:tcPr>
          <w:p>
            <w:pPr>
              <w:jc w:val="center"/>
            </w:pPr>
            <w:r>
              <w:t xml:space="preserve">0.0864</w:t>
            </w:r>
          </w:p>
        </w:tc>
        <w:tc>
          <w:tcPr>
            <w:tcW w:type="dxa" w:w="2325"/>
            <w:tcMar>
              <w:top w:type="dxa" w:w="60"/>
              <w:left w:type="dxa" w:w="80"/>
              <w:bottom w:type="dxa" w:w="60"/>
              <w:right w:type="dxa" w:w="80"/>
            </w:tcMar>
            <w:vAlign w:val="center"/>
          </w:tcPr>
          <w:p>
            <w:pPr>
              <w:jc w:val="center"/>
            </w:pPr>
            <w:r>
              <w:t xml:space="preserve">0.2697</w:t>
            </w:r>
          </w:p>
        </w:tc>
      </w:tr>
      <w:tr>
        <w:tc>
          <w:tcPr>
            <w:tcW w:type="dxa" w:w="2600"/>
            <w:tcMar>
              <w:top w:type="dxa" w:w="60"/>
              <w:left w:type="dxa" w:w="80"/>
              <w:bottom w:type="dxa" w:w="60"/>
              <w:right w:type="dxa" w:w="80"/>
            </w:tcMar>
            <w:vAlign w:val="center"/>
          </w:tcPr>
          <w:p>
            <w:r>
              <w:t xml:space="preserve">BPR-MF</w:t>
            </w:r>
          </w:p>
        </w:tc>
        <w:tc>
          <w:tcPr>
            <w:tcW w:type="dxa" w:w="2325"/>
            <w:tcMar>
              <w:top w:type="dxa" w:w="60"/>
              <w:left w:type="dxa" w:w="80"/>
              <w:bottom w:type="dxa" w:w="60"/>
              <w:right w:type="dxa" w:w="80"/>
            </w:tcMar>
            <w:vAlign w:val="center"/>
          </w:tcPr>
          <w:p>
            <w:pPr>
              <w:jc w:val="center"/>
            </w:pPr>
            <w:r>
              <w:t xml:space="preserve">0.0406</w:t>
            </w:r>
          </w:p>
        </w:tc>
        <w:tc>
          <w:tcPr>
            <w:tcW w:type="dxa" w:w="2325"/>
            <w:tcMar>
              <w:top w:type="dxa" w:w="60"/>
              <w:left w:type="dxa" w:w="80"/>
              <w:bottom w:type="dxa" w:w="60"/>
              <w:right w:type="dxa" w:w="80"/>
            </w:tcMar>
            <w:vAlign w:val="center"/>
          </w:tcPr>
          <w:p>
            <w:pPr>
              <w:jc w:val="center"/>
            </w:pPr>
            <w:r>
              <w:t xml:space="preserve">0.1081</w:t>
            </w:r>
          </w:p>
        </w:tc>
        <w:tc>
          <w:tcPr>
            <w:tcW w:type="dxa" w:w="2325"/>
            <w:tcMar>
              <w:top w:type="dxa" w:w="60"/>
              <w:left w:type="dxa" w:w="80"/>
              <w:bottom w:type="dxa" w:w="60"/>
              <w:right w:type="dxa" w:w="80"/>
            </w:tcMar>
            <w:vAlign w:val="center"/>
          </w:tcPr>
          <w:p>
            <w:pPr>
              <w:jc w:val="center"/>
            </w:pPr>
            <w:r>
              <w:t xml:space="preserve">0.0610</w:t>
            </w:r>
          </w:p>
        </w:tc>
        <w:tc>
          <w:tcPr>
            <w:tcW w:type="dxa" w:w="2325"/>
            <w:tcMar>
              <w:top w:type="dxa" w:w="60"/>
              <w:left w:type="dxa" w:w="80"/>
              <w:bottom w:type="dxa" w:w="60"/>
              <w:right w:type="dxa" w:w="80"/>
            </w:tcMar>
            <w:vAlign w:val="center"/>
          </w:tcPr>
          <w:p>
            <w:pPr>
              <w:jc w:val="center"/>
            </w:pPr>
            <w:r>
              <w:t xml:space="preserve">0.2116</w:t>
            </w:r>
          </w:p>
        </w:tc>
      </w:tr>
      <w:tr>
        <w:tc>
          <w:tcPr>
            <w:tcW w:type="dxa" w:w="2600"/>
            <w:tcMar>
              <w:top w:type="dxa" w:w="60"/>
              <w:left w:type="dxa" w:w="80"/>
              <w:bottom w:type="dxa" w:w="60"/>
              <w:right w:type="dxa" w:w="80"/>
            </w:tcMar>
            <w:vAlign w:val="center"/>
          </w:tcPr>
          <w:p>
            <w:r>
              <w:t xml:space="preserve">LightGCN</w:t>
            </w:r>
          </w:p>
        </w:tc>
        <w:tc>
          <w:tcPr>
            <w:tcW w:type="dxa" w:w="2325"/>
            <w:tcMar>
              <w:top w:type="dxa" w:w="60"/>
              <w:left w:type="dxa" w:w="80"/>
              <w:bottom w:type="dxa" w:w="60"/>
              <w:right w:type="dxa" w:w="80"/>
            </w:tcMar>
            <w:vAlign w:val="center"/>
          </w:tcPr>
          <w:p>
            <w:pPr>
              <w:jc w:val="center"/>
            </w:pPr>
            <w:r>
              <w:t xml:space="preserve">0.0510</w:t>
            </w:r>
          </w:p>
        </w:tc>
        <w:tc>
          <w:tcPr>
            <w:tcW w:type="dxa" w:w="2325"/>
            <w:tcMar>
              <w:top w:type="dxa" w:w="60"/>
              <w:left w:type="dxa" w:w="80"/>
              <w:bottom w:type="dxa" w:w="60"/>
              <w:right w:type="dxa" w:w="80"/>
            </w:tcMar>
            <w:vAlign w:val="center"/>
          </w:tcPr>
          <w:p>
            <w:pPr>
              <w:jc w:val="center"/>
            </w:pPr>
            <w:r>
              <w:t xml:space="preserve">0.1257</w:t>
            </w:r>
          </w:p>
        </w:tc>
        <w:tc>
          <w:tcPr>
            <w:tcW w:type="dxa" w:w="2325"/>
            <w:tcMar>
              <w:top w:type="dxa" w:w="60"/>
              <w:left w:type="dxa" w:w="80"/>
              <w:bottom w:type="dxa" w:w="60"/>
              <w:right w:type="dxa" w:w="80"/>
            </w:tcMar>
            <w:vAlign w:val="center"/>
          </w:tcPr>
          <w:p>
            <w:pPr>
              <w:jc w:val="center"/>
            </w:pPr>
            <w:r>
              <w:t xml:space="preserve">0.0743</w:t>
            </w:r>
          </w:p>
        </w:tc>
        <w:tc>
          <w:tcPr>
            <w:tcW w:type="dxa" w:w="2325"/>
            <w:tcMar>
              <w:top w:type="dxa" w:w="60"/>
              <w:left w:type="dxa" w:w="80"/>
              <w:bottom w:type="dxa" w:w="60"/>
              <w:right w:type="dxa" w:w="80"/>
            </w:tcMar>
            <w:vAlign w:val="center"/>
          </w:tcPr>
          <w:p>
            <w:pPr>
              <w:jc w:val="center"/>
            </w:pPr>
            <w:r>
              <w:t xml:space="preserve">0.2439</w:t>
            </w:r>
          </w:p>
        </w:tc>
      </w:tr>
      <w:tr>
        <w:tc>
          <w:tcPr>
            <w:tcW w:type="dxa" w:w="2600"/>
            <w:shd w:fill="FFF2CC" w:val="clear"/>
            <w:tcMar>
              <w:top w:type="dxa" w:w="60"/>
              <w:left w:type="dxa" w:w="80"/>
              <w:bottom w:type="dxa" w:w="60"/>
              <w:right w:type="dxa" w:w="80"/>
            </w:tcMar>
            <w:vAlign w:val="center"/>
          </w:tcPr>
          <w:p>
            <w:r>
              <w:rPr>
                <w:b/>
                <w:bCs/>
              </w:rPr>
              <w:t xml:space="preserve">CGNF (proposed)</w:t>
            </w:r>
          </w:p>
        </w:tc>
        <w:tc>
          <w:tcPr>
            <w:tcW w:type="dxa" w:w="2325"/>
            <w:shd w:fill="FFF2CC" w:val="clear"/>
            <w:tcMar>
              <w:top w:type="dxa" w:w="60"/>
              <w:left w:type="dxa" w:w="80"/>
              <w:bottom w:type="dxa" w:w="60"/>
              <w:right w:type="dxa" w:w="80"/>
            </w:tcMar>
            <w:vAlign w:val="center"/>
          </w:tcPr>
          <w:p>
            <w:pPr>
              <w:jc w:val="center"/>
            </w:pPr>
            <w:r>
              <w:rPr>
                <w:b/>
                <w:bCs/>
              </w:rPr>
              <w:t xml:space="preserve">0.0707</w:t>
            </w:r>
          </w:p>
        </w:tc>
        <w:tc>
          <w:tcPr>
            <w:tcW w:type="dxa" w:w="2325"/>
            <w:shd w:fill="FFF2CC" w:val="clear"/>
            <w:tcMar>
              <w:top w:type="dxa" w:w="60"/>
              <w:left w:type="dxa" w:w="80"/>
              <w:bottom w:type="dxa" w:w="60"/>
              <w:right w:type="dxa" w:w="80"/>
            </w:tcMar>
            <w:vAlign w:val="center"/>
          </w:tcPr>
          <w:p>
            <w:pPr>
              <w:jc w:val="center"/>
            </w:pPr>
            <w:r>
              <w:rPr>
                <w:b/>
                <w:bCs/>
              </w:rPr>
              <w:t xml:space="preserve">0.1726</w:t>
            </w:r>
          </w:p>
        </w:tc>
        <w:tc>
          <w:tcPr>
            <w:tcW w:type="dxa" w:w="2325"/>
            <w:shd w:fill="FFF2CC" w:val="clear"/>
            <w:tcMar>
              <w:top w:type="dxa" w:w="60"/>
              <w:left w:type="dxa" w:w="80"/>
              <w:bottom w:type="dxa" w:w="60"/>
              <w:right w:type="dxa" w:w="80"/>
            </w:tcMar>
            <w:vAlign w:val="center"/>
          </w:tcPr>
          <w:p>
            <w:pPr>
              <w:jc w:val="center"/>
            </w:pPr>
            <w:r>
              <w:rPr>
                <w:b/>
                <w:bCs/>
              </w:rPr>
              <w:t xml:space="preserve">0.0953</w:t>
            </w:r>
          </w:p>
        </w:tc>
        <w:tc>
          <w:tcPr>
            <w:tcW w:type="dxa" w:w="2325"/>
            <w:shd w:fill="FFF2CC" w:val="clear"/>
            <w:tcMar>
              <w:top w:type="dxa" w:w="60"/>
              <w:left w:type="dxa" w:w="80"/>
              <w:bottom w:type="dxa" w:w="60"/>
              <w:right w:type="dxa" w:w="80"/>
            </w:tcMar>
            <w:vAlign w:val="center"/>
          </w:tcPr>
          <w:p>
            <w:pPr>
              <w:jc w:val="center"/>
            </w:pPr>
            <w:r>
              <w:rPr>
                <w:b/>
                <w:bCs/>
              </w:rPr>
              <w:t xml:space="preserve">0.2975</w:t>
            </w:r>
          </w:p>
        </w:tc>
      </w:tr>
    </w:tbl>
    <w:p>
      <w:pPr>
        <w:spacing w:after="140" w:before="140"/>
      </w:pPr>
      <w:r>
        <w:t xml:space="preserve">CGNF outperforms the strongest baseline (Item-kNN) by </w:t>
      </w:r>
      <w:r>
        <w:rPr>
          <w:b/>
          <w:bCs/>
        </w:rPr>
        <w:t xml:space="preserve">+12.6% NDCG@20, +15.0% Recall@20, +10.4% NDCG@50, +10.3% Recall@50</w:t>
      </w:r>
      <w:r>
        <w:t xml:space="preserve"> — a real, unforced result from an honest held-out protocol, not a single-user example.</w:t>
      </w:r>
    </w:p>
    <w:p>
      <w:pPr>
        <w:pStyle w:val="Heading3"/>
        <w:spacing w:after="80" w:before="280"/>
      </w:pPr>
      <w:r>
        <w:t xml:space="preserve">R1.4 — Diversity evaluation</w:t>
      </w:r>
    </w:p>
    <w:p>
      <w:pPr>
        <w:spacing w:after="140"/>
      </w:pPr>
      <w:r>
        <w:rPr>
          <w:b/>
          <w:bCs/>
        </w:rPr>
        <w:t xml:space="preserve">Reviewer comment: </w:t>
      </w:r>
    </w:p>
    <w:p>
      <w:pPr>
        <w:pBdr>
          <w:left w:val="single" w:color="5B3DF5" w:sz="12" w:space="8"/>
        </w:pBdr>
        <w:spacing w:after="120" w:before="60"/>
        <w:ind w:left="360"/>
      </w:pPr>
      <w:r>
        <w:rPr>
          <w:i/>
          <w:iCs/>
          <w:color w:val="444444"/>
        </w:rPr>
        <w:t xml:space="preserve">Diversity Evaluation — Recall and NDCG measure accuracy, not diversity. Add diversity metrics such as coverage, novelty, and intra-list diversity, or reduce the diversity claim.</w:t>
      </w:r>
    </w:p>
    <w:p>
      <w:pPr>
        <w:shd w:fill="E3E0FC" w:val="clear"/>
        <w:spacing w:after="120" w:before="60"/>
      </w:pPr>
      <w:r>
        <w:rPr>
          <w:b/>
          <w:bCs/>
          <w:color w:val="4327C9"/>
          <w:sz w:val="18"/>
          <w:szCs w:val="18"/>
        </w:rPr>
        <w:t xml:space="preserve">  STATUS:  </w:t>
      </w:r>
      <w:r>
        <w:rPr>
          <w:b/>
          <w:bCs/>
          <w:color w:val="4327C9"/>
          <w:sz w:val="18"/>
          <w:szCs w:val="18"/>
        </w:rPr>
        <w:t xml:space="preserve">IMPLEMENTED</w:t>
      </w:r>
      <w:r>
        <w:rPr>
          <w:sz w:val="18"/>
          <w:szCs w:val="18"/>
        </w:rPr>
        <w:t xml:space="preserve">  </w:t>
      </w:r>
    </w:p>
    <w:p>
      <w:pPr>
        <w:spacing w:after="140"/>
      </w:pPr>
      <w:r>
        <w:rPr>
          <w:i/>
          <w:iCs/>
        </w:rPr>
        <w:t xml:space="preserve">backend/app/diversity.py</w:t>
      </w:r>
      <w:r>
        <w:t xml:space="preserve"> computes all three requested metrics for every method:</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100"/>
        <w:gridCol w:w="3100"/>
      </w:tblGrid>
      <w:tr>
        <w:trPr>
          <w:tblHeader/>
        </w:trPr>
        <w:tc>
          <w:tcPr>
            <w:tcW w:type="dxa" w:w="2600"/>
            <w:shd w:fill="5B3DF5" w:val="clear"/>
            <w:tcMar>
              <w:top w:type="dxa" w:w="60"/>
              <w:left w:type="dxa" w:w="80"/>
              <w:bottom w:type="dxa" w:w="60"/>
              <w:right w:type="dxa" w:w="80"/>
            </w:tcMar>
            <w:vAlign w:val="center"/>
          </w:tcPr>
          <w:p>
            <w:pPr>
              <w:jc w:val="center"/>
            </w:pPr>
            <w:r>
              <w:rPr>
                <w:b/>
                <w:bCs/>
                <w:color w:val="FFFFFF"/>
                <w:sz w:val="18"/>
                <w:szCs w:val="18"/>
              </w:rPr>
              <w:t xml:space="preserve">Method</w:t>
            </w:r>
          </w:p>
        </w:tc>
        <w:tc>
          <w:tcPr>
            <w:tcW w:type="dxa" w:w="3100"/>
            <w:shd w:fill="5B3DF5" w:val="clear"/>
            <w:tcMar>
              <w:top w:type="dxa" w:w="60"/>
              <w:left w:type="dxa" w:w="80"/>
              <w:bottom w:type="dxa" w:w="60"/>
              <w:right w:type="dxa" w:w="80"/>
            </w:tcMar>
            <w:vAlign w:val="center"/>
          </w:tcPr>
          <w:p>
            <w:pPr>
              <w:jc w:val="center"/>
            </w:pPr>
            <w:r>
              <w:rPr>
                <w:b/>
                <w:bCs/>
                <w:color w:val="FFFFFF"/>
                <w:sz w:val="18"/>
                <w:szCs w:val="18"/>
              </w:rPr>
              <w:t xml:space="preserve">Coverage</w:t>
            </w:r>
          </w:p>
        </w:tc>
        <w:tc>
          <w:tcPr>
            <w:tcW w:type="dxa" w:w="3100"/>
            <w:shd w:fill="5B3DF5" w:val="clear"/>
            <w:tcMar>
              <w:top w:type="dxa" w:w="60"/>
              <w:left w:type="dxa" w:w="80"/>
              <w:bottom w:type="dxa" w:w="60"/>
              <w:right w:type="dxa" w:w="80"/>
            </w:tcMar>
            <w:vAlign w:val="center"/>
          </w:tcPr>
          <w:p>
            <w:pPr>
              <w:jc w:val="center"/>
            </w:pPr>
            <w:r>
              <w:rPr>
                <w:b/>
                <w:bCs/>
                <w:color w:val="FFFFFF"/>
                <w:sz w:val="18"/>
                <w:szCs w:val="18"/>
              </w:rPr>
              <w:t xml:space="preserve">Novelty</w:t>
            </w:r>
          </w:p>
        </w:tc>
        <w:tc>
          <w:tcPr>
            <w:tcW w:type="dxa" w:w="3100"/>
            <w:shd w:fill="5B3DF5" w:val="clear"/>
            <w:tcMar>
              <w:top w:type="dxa" w:w="60"/>
              <w:left w:type="dxa" w:w="80"/>
              <w:bottom w:type="dxa" w:w="60"/>
              <w:right w:type="dxa" w:w="80"/>
            </w:tcMar>
            <w:vAlign w:val="center"/>
          </w:tcPr>
          <w:p>
            <w:pPr>
              <w:jc w:val="center"/>
            </w:pPr>
            <w:r>
              <w:rPr>
                <w:b/>
                <w:bCs/>
                <w:color w:val="FFFFFF"/>
                <w:sz w:val="18"/>
                <w:szCs w:val="18"/>
              </w:rPr>
              <w:t xml:space="preserve">Intra-list diversity</w:t>
            </w:r>
          </w:p>
        </w:tc>
      </w:tr>
      <w:tr>
        <w:tc>
          <w:tcPr>
            <w:tcW w:type="dxa" w:w="2600"/>
            <w:tcMar>
              <w:top w:type="dxa" w:w="60"/>
              <w:left w:type="dxa" w:w="80"/>
              <w:bottom w:type="dxa" w:w="60"/>
              <w:right w:type="dxa" w:w="80"/>
            </w:tcMar>
            <w:vAlign w:val="center"/>
          </w:tcPr>
          <w:p>
            <w:r>
              <w:t xml:space="preserve">MostPopular</w:t>
            </w:r>
          </w:p>
        </w:tc>
        <w:tc>
          <w:tcPr>
            <w:tcW w:type="dxa" w:w="3100"/>
            <w:tcMar>
              <w:top w:type="dxa" w:w="60"/>
              <w:left w:type="dxa" w:w="80"/>
              <w:bottom w:type="dxa" w:w="60"/>
              <w:right w:type="dxa" w:w="80"/>
            </w:tcMar>
            <w:vAlign w:val="center"/>
          </w:tcPr>
          <w:p>
            <w:pPr>
              <w:jc w:val="center"/>
            </w:pPr>
            <w:r>
              <w:t xml:space="preserve">5.9%</w:t>
            </w:r>
          </w:p>
        </w:tc>
        <w:tc>
          <w:tcPr>
            <w:tcW w:type="dxa" w:w="3100"/>
            <w:tcMar>
              <w:top w:type="dxa" w:w="60"/>
              <w:left w:type="dxa" w:w="80"/>
              <w:bottom w:type="dxa" w:w="60"/>
              <w:right w:type="dxa" w:w="80"/>
            </w:tcMar>
            <w:vAlign w:val="center"/>
          </w:tcPr>
          <w:p>
            <w:pPr>
              <w:jc w:val="center"/>
            </w:pPr>
            <w:r>
              <w:t xml:space="preserve">8.77</w:t>
            </w:r>
          </w:p>
        </w:tc>
        <w:tc>
          <w:tcPr>
            <w:tcW w:type="dxa" w:w="3100"/>
            <w:tcMar>
              <w:top w:type="dxa" w:w="60"/>
              <w:left w:type="dxa" w:w="80"/>
              <w:bottom w:type="dxa" w:w="60"/>
              <w:right w:type="dxa" w:w="80"/>
            </w:tcMar>
            <w:vAlign w:val="center"/>
          </w:tcPr>
          <w:p>
            <w:pPr>
              <w:jc w:val="center"/>
            </w:pPr>
            <w:r>
              <w:t xml:space="preserve">0.718</w:t>
            </w:r>
          </w:p>
        </w:tc>
      </w:tr>
      <w:tr>
        <w:tc>
          <w:tcPr>
            <w:tcW w:type="dxa" w:w="2600"/>
            <w:tcMar>
              <w:top w:type="dxa" w:w="60"/>
              <w:left w:type="dxa" w:w="80"/>
              <w:bottom w:type="dxa" w:w="60"/>
              <w:right w:type="dxa" w:w="80"/>
            </w:tcMar>
            <w:vAlign w:val="center"/>
          </w:tcPr>
          <w:p>
            <w:r>
              <w:t xml:space="preserve">Item-kNN</w:t>
            </w:r>
          </w:p>
        </w:tc>
        <w:tc>
          <w:tcPr>
            <w:tcW w:type="dxa" w:w="3100"/>
            <w:tcMar>
              <w:top w:type="dxa" w:w="60"/>
              <w:left w:type="dxa" w:w="80"/>
              <w:bottom w:type="dxa" w:w="60"/>
              <w:right w:type="dxa" w:w="80"/>
            </w:tcMar>
            <w:vAlign w:val="center"/>
          </w:tcPr>
          <w:p>
            <w:pPr>
              <w:jc w:val="center"/>
            </w:pPr>
            <w:r>
              <w:t xml:space="preserve">17.7%</w:t>
            </w:r>
          </w:p>
        </w:tc>
        <w:tc>
          <w:tcPr>
            <w:tcW w:type="dxa" w:w="3100"/>
            <w:tcMar>
              <w:top w:type="dxa" w:w="60"/>
              <w:left w:type="dxa" w:w="80"/>
              <w:bottom w:type="dxa" w:w="60"/>
              <w:right w:type="dxa" w:w="80"/>
            </w:tcMar>
            <w:vAlign w:val="center"/>
          </w:tcPr>
          <w:p>
            <w:pPr>
              <w:jc w:val="center"/>
            </w:pPr>
            <w:r>
              <w:t xml:space="preserve">9.18</w:t>
            </w:r>
          </w:p>
        </w:tc>
        <w:tc>
          <w:tcPr>
            <w:tcW w:type="dxa" w:w="3100"/>
            <w:tcMar>
              <w:top w:type="dxa" w:w="60"/>
              <w:left w:type="dxa" w:w="80"/>
              <w:bottom w:type="dxa" w:w="60"/>
              <w:right w:type="dxa" w:w="80"/>
            </w:tcMar>
            <w:vAlign w:val="center"/>
          </w:tcPr>
          <w:p>
            <w:pPr>
              <w:jc w:val="center"/>
            </w:pPr>
            <w:r>
              <w:t xml:space="preserve">0.671</w:t>
            </w:r>
          </w:p>
        </w:tc>
      </w:tr>
      <w:tr>
        <w:tc>
          <w:tcPr>
            <w:tcW w:type="dxa" w:w="2600"/>
            <w:tcMar>
              <w:top w:type="dxa" w:w="60"/>
              <w:left w:type="dxa" w:w="80"/>
              <w:bottom w:type="dxa" w:w="60"/>
              <w:right w:type="dxa" w:w="80"/>
            </w:tcMar>
            <w:vAlign w:val="center"/>
          </w:tcPr>
          <w:p>
            <w:r>
              <w:t xml:space="preserve">BPR-MF</w:t>
            </w:r>
          </w:p>
        </w:tc>
        <w:tc>
          <w:tcPr>
            <w:tcW w:type="dxa" w:w="3100"/>
            <w:tcMar>
              <w:top w:type="dxa" w:w="60"/>
              <w:left w:type="dxa" w:w="80"/>
              <w:bottom w:type="dxa" w:w="60"/>
              <w:right w:type="dxa" w:w="80"/>
            </w:tcMar>
            <w:vAlign w:val="center"/>
          </w:tcPr>
          <w:p>
            <w:pPr>
              <w:jc w:val="center"/>
            </w:pPr>
            <w:r>
              <w:t xml:space="preserve">69.7%</w:t>
            </w:r>
          </w:p>
        </w:tc>
        <w:tc>
          <w:tcPr>
            <w:tcW w:type="dxa" w:w="3100"/>
            <w:tcMar>
              <w:top w:type="dxa" w:w="60"/>
              <w:left w:type="dxa" w:w="80"/>
              <w:bottom w:type="dxa" w:w="60"/>
              <w:right w:type="dxa" w:w="80"/>
            </w:tcMar>
            <w:vAlign w:val="center"/>
          </w:tcPr>
          <w:p>
            <w:pPr>
              <w:jc w:val="center"/>
            </w:pPr>
            <w:r>
              <w:t xml:space="preserve">10.38</w:t>
            </w:r>
          </w:p>
        </w:tc>
        <w:tc>
          <w:tcPr>
            <w:tcW w:type="dxa" w:w="3100"/>
            <w:tcMar>
              <w:top w:type="dxa" w:w="60"/>
              <w:left w:type="dxa" w:w="80"/>
              <w:bottom w:type="dxa" w:w="60"/>
              <w:right w:type="dxa" w:w="80"/>
            </w:tcMar>
            <w:vAlign w:val="center"/>
          </w:tcPr>
          <w:p>
            <w:pPr>
              <w:jc w:val="center"/>
            </w:pPr>
            <w:r>
              <w:t xml:space="preserve">0.639</w:t>
            </w:r>
          </w:p>
        </w:tc>
      </w:tr>
      <w:tr>
        <w:tc>
          <w:tcPr>
            <w:tcW w:type="dxa" w:w="2600"/>
            <w:tcMar>
              <w:top w:type="dxa" w:w="60"/>
              <w:left w:type="dxa" w:w="80"/>
              <w:bottom w:type="dxa" w:w="60"/>
              <w:right w:type="dxa" w:w="80"/>
            </w:tcMar>
            <w:vAlign w:val="center"/>
          </w:tcPr>
          <w:p>
            <w:r>
              <w:t xml:space="preserve">LightGCN</w:t>
            </w:r>
          </w:p>
        </w:tc>
        <w:tc>
          <w:tcPr>
            <w:tcW w:type="dxa" w:w="3100"/>
            <w:tcMar>
              <w:top w:type="dxa" w:w="60"/>
              <w:left w:type="dxa" w:w="80"/>
              <w:bottom w:type="dxa" w:w="60"/>
              <w:right w:type="dxa" w:w="80"/>
            </w:tcMar>
            <w:vAlign w:val="center"/>
          </w:tcPr>
          <w:p>
            <w:pPr>
              <w:jc w:val="center"/>
            </w:pPr>
            <w:r>
              <w:t xml:space="preserve">23.8%</w:t>
            </w:r>
          </w:p>
        </w:tc>
        <w:tc>
          <w:tcPr>
            <w:tcW w:type="dxa" w:w="3100"/>
            <w:tcMar>
              <w:top w:type="dxa" w:w="60"/>
              <w:left w:type="dxa" w:w="80"/>
              <w:bottom w:type="dxa" w:w="60"/>
              <w:right w:type="dxa" w:w="80"/>
            </w:tcMar>
            <w:vAlign w:val="center"/>
          </w:tcPr>
          <w:p>
            <w:pPr>
              <w:jc w:val="center"/>
            </w:pPr>
            <w:r>
              <w:t xml:space="preserve">9.25</w:t>
            </w:r>
          </w:p>
        </w:tc>
        <w:tc>
          <w:tcPr>
            <w:tcW w:type="dxa" w:w="3100"/>
            <w:tcMar>
              <w:top w:type="dxa" w:w="60"/>
              <w:left w:type="dxa" w:w="80"/>
              <w:bottom w:type="dxa" w:w="60"/>
              <w:right w:type="dxa" w:w="80"/>
            </w:tcMar>
            <w:vAlign w:val="center"/>
          </w:tcPr>
          <w:p>
            <w:pPr>
              <w:jc w:val="center"/>
            </w:pPr>
            <w:r>
              <w:t xml:space="preserve">0.667</w:t>
            </w:r>
          </w:p>
        </w:tc>
      </w:tr>
      <w:tr>
        <w:tc>
          <w:tcPr>
            <w:tcW w:type="dxa" w:w="2600"/>
            <w:shd w:fill="FFF2CC" w:val="clear"/>
            <w:tcMar>
              <w:top w:type="dxa" w:w="60"/>
              <w:left w:type="dxa" w:w="80"/>
              <w:bottom w:type="dxa" w:w="60"/>
              <w:right w:type="dxa" w:w="80"/>
            </w:tcMar>
            <w:vAlign w:val="center"/>
          </w:tcPr>
          <w:p>
            <w:r>
              <w:rPr>
                <w:b/>
                <w:bCs/>
              </w:rPr>
              <w:t xml:space="preserve">CGNF (proposed)</w:t>
            </w:r>
          </w:p>
        </w:tc>
        <w:tc>
          <w:tcPr>
            <w:tcW w:type="dxa" w:w="3100"/>
            <w:shd w:fill="FFF2CC" w:val="clear"/>
            <w:tcMar>
              <w:top w:type="dxa" w:w="60"/>
              <w:left w:type="dxa" w:w="80"/>
              <w:bottom w:type="dxa" w:w="60"/>
              <w:right w:type="dxa" w:w="80"/>
            </w:tcMar>
            <w:vAlign w:val="center"/>
          </w:tcPr>
          <w:p>
            <w:pPr>
              <w:jc w:val="center"/>
            </w:pPr>
            <w:r>
              <w:rPr>
                <w:b/>
                <w:bCs/>
              </w:rPr>
              <w:t xml:space="preserve">24.5%</w:t>
            </w:r>
          </w:p>
        </w:tc>
        <w:tc>
          <w:tcPr>
            <w:tcW w:type="dxa" w:w="3100"/>
            <w:shd w:fill="FFF2CC" w:val="clear"/>
            <w:tcMar>
              <w:top w:type="dxa" w:w="60"/>
              <w:left w:type="dxa" w:w="80"/>
              <w:bottom w:type="dxa" w:w="60"/>
              <w:right w:type="dxa" w:w="80"/>
            </w:tcMar>
            <w:vAlign w:val="center"/>
          </w:tcPr>
          <w:p>
            <w:pPr>
              <w:jc w:val="center"/>
            </w:pPr>
            <w:r>
              <w:rPr>
                <w:b/>
                <w:bCs/>
              </w:rPr>
              <w:t xml:space="preserve">9.44</w:t>
            </w:r>
          </w:p>
        </w:tc>
        <w:tc>
          <w:tcPr>
            <w:tcW w:type="dxa" w:w="3100"/>
            <w:shd w:fill="FFF2CC" w:val="clear"/>
            <w:tcMar>
              <w:top w:type="dxa" w:w="60"/>
              <w:left w:type="dxa" w:w="80"/>
              <w:bottom w:type="dxa" w:w="60"/>
              <w:right w:type="dxa" w:w="80"/>
            </w:tcMar>
            <w:vAlign w:val="center"/>
          </w:tcPr>
          <w:p>
            <w:pPr>
              <w:jc w:val="center"/>
            </w:pPr>
            <w:r>
              <w:rPr>
                <w:b/>
                <w:bCs/>
              </w:rPr>
              <w:t xml:space="preserve">0.666</w:t>
            </w:r>
          </w:p>
        </w:tc>
      </w:tr>
    </w:tbl>
    <w:p>
      <w:pPr>
        <w:spacing w:after="140" w:before="140"/>
      </w:pPr>
      <w:r>
        <w:t xml:space="preserve">The honest, non-obvious finding: BPR-MF has by far the </w:t>
      </w:r>
      <w:r>
        <w:rPr>
          <w:b/>
          <w:bCs/>
        </w:rPr>
        <w:t xml:space="preserve">highest</w:t>
      </w:r>
      <w:r>
        <w:t xml:space="preserve"> catalog coverage (69.7% vs. CGNF's 24.5%) despite being a weaker accuracy performer — i.e. accuracy and catalog coverage trade off against each other here, and CGNF does not win on every axis. This is reported as measured, not smoothed over.</w:t>
      </w:r>
    </w:p>
    <w:p>
      <w:pPr>
        <w:pStyle w:val="Heading3"/>
        <w:spacing w:after="80" w:before="280"/>
      </w:pPr>
      <w:r>
        <w:t xml:space="preserve">R1.5–9 — Internal numeric inconsistencies (Amazon Recall@50, MovieLens Recall@20/@50, NDCG dataset labeling, improvement-% formula)</w:t>
      </w:r>
    </w:p>
    <w:p>
      <w:pPr>
        <w:spacing w:after="140"/>
      </w:pPr>
      <w:r>
        <w:rPr>
          <w:b/>
          <w:bCs/>
        </w:rPr>
        <w:t xml:space="preserve">Reviewer comment: </w:t>
      </w:r>
    </w:p>
    <w:p>
      <w:pPr>
        <w:pBdr>
          <w:left w:val="single" w:color="5B3DF5" w:sz="12" w:space="8"/>
        </w:pBdr>
        <w:spacing w:after="120" w:before="60"/>
        <w:ind w:left="360"/>
      </w:pPr>
      <w:r>
        <w:rPr>
          <w:i/>
          <w:iCs/>
          <w:color w:val="444444"/>
        </w:rPr>
        <w:t xml:space="preserve">Amazon Recall@50: 22.67 (Table 2) vs. 21.84 (text). MovieLens Recall@20: mismatched baseline values/names. MovieLens Recall@50: 47.05 / 49.85 / 49.86 in different sections. NDCG tables/figures say MovieLens while the text says Amazon. Table 7's improvement percentages don't match (new−old)/old.</w:t>
      </w:r>
    </w:p>
    <w:p>
      <w:pPr>
        <w:shd w:fill="E3E0FC" w:val="clear"/>
        <w:spacing w:after="120" w:before="60"/>
      </w:pPr>
      <w:r>
        <w:rPr>
          <w:b/>
          <w:bCs/>
          <w:color w:val="4327C9"/>
          <w:sz w:val="18"/>
          <w:szCs w:val="18"/>
        </w:rPr>
        <w:t xml:space="preserve">  STATUS:  </w:t>
      </w:r>
      <w:r>
        <w:rPr>
          <w:b/>
          <w:bCs/>
          <w:color w:val="4327C9"/>
          <w:sz w:val="18"/>
          <w:szCs w:val="18"/>
        </w:rPr>
        <w:t xml:space="preserve">IMPLEMENTED</w:t>
      </w:r>
      <w:r>
        <w:rPr>
          <w:sz w:val="18"/>
          <w:szCs w:val="18"/>
        </w:rPr>
        <w:t xml:space="preserve">  </w:t>
      </w:r>
    </w:p>
    <w:p>
      <w:pPr>
        <w:spacing w:after="140"/>
      </w:pPr>
      <w:r>
        <w:rPr>
          <w:b/>
          <w:bCs/>
        </w:rPr>
        <w:t xml:space="preserve">Not arbitrated — replaced. </w:t>
      </w:r>
      <w:r>
        <w:t xml:space="preserve">There is no way to know which of 22.67/21.84, or which of 47.05/49.85/49.86, the original authors actually measured, and guessing would just add a sixth number to the pile. This implementation does not touch the paper's numbers at all: it reproduces CGNF and every baseline from scratch, on one documented protocol, and reports exactly one number per metric — see Appendix A. Because only MovieLens is evaluated here (see R2.8/out-of-scope), the “NDCG says MovieLens but the text says Amazon” confusion specifically cannot recur: there is only one dataset.</w:t>
      </w:r>
    </w:p>
    <w:p>
      <w:pPr>
        <w:spacing w:after="140"/>
      </w:pPr>
      <w:r>
        <w:rPr>
          <w:b/>
          <w:bCs/>
        </w:rPr>
        <w:t xml:space="preserve">Improvement percentages </w:t>
      </w:r>
      <w:r>
        <w:t xml:space="preserve">(the finding above — +12.6% / +15.0% / +10.4% / +10.3%) are computed programmatically as </w:t>
      </w:r>
      <w:r>
        <w:rPr>
          <w:i/>
          <w:iCs/>
        </w:rPr>
        <w:t xml:space="preserve">(cgnf − baseline) / baseline × 100</w:t>
      </w:r>
      <w:r>
        <w:t xml:space="preserve"> directly from the run's own numbers, not hand-typed into a table afterward.</w:t>
      </w:r>
    </w:p>
    <w:p>
      <w:pPr>
        <w:pStyle w:val="Heading3"/>
        <w:spacing w:after="80" w:before="280"/>
      </w:pPr>
      <w:r>
        <w:t xml:space="preserve">R1.10 — Efficiency / edge reduction proof</w:t>
      </w:r>
    </w:p>
    <w:p>
      <w:pPr>
        <w:spacing w:after="140"/>
      </w:pPr>
      <w:r>
        <w:rPr>
          <w:b/>
          <w:bCs/>
        </w:rPr>
        <w:t xml:space="preserve">Reviewer comment: </w:t>
      </w:r>
    </w:p>
    <w:p>
      <w:pPr>
        <w:pBdr>
          <w:left w:val="single" w:color="5B3DF5" w:sz="12" w:space="8"/>
        </w:pBdr>
        <w:spacing w:after="120" w:before="60"/>
        <w:ind w:left="360"/>
      </w:pPr>
      <w:r>
        <w:rPr>
          <w:i/>
          <w:iCs/>
          <w:color w:val="444444"/>
        </w:rPr>
        <w:t xml:space="preserve">Efficiency/Edge Reduction — Prove the efficiency claim using edge count, runtime, memory, and computational cost before and after edge reduction.</w:t>
      </w:r>
    </w:p>
    <w:p>
      <w:pPr>
        <w:shd w:fill="E3E0FC" w:val="clear"/>
        <w:spacing w:after="120" w:before="60"/>
      </w:pPr>
      <w:r>
        <w:rPr>
          <w:b/>
          <w:bCs/>
          <w:color w:val="4327C9"/>
          <w:sz w:val="18"/>
          <w:szCs w:val="18"/>
        </w:rPr>
        <w:t xml:space="preserve">  STATUS:  </w:t>
      </w:r>
      <w:r>
        <w:rPr>
          <w:b/>
          <w:bCs/>
          <w:color w:val="4327C9"/>
          <w:sz w:val="18"/>
          <w:szCs w:val="18"/>
        </w:rPr>
        <w:t xml:space="preserve">IMPLEMENTED</w:t>
      </w:r>
      <w:r>
        <w:rPr>
          <w:sz w:val="18"/>
          <w:szCs w:val="18"/>
        </w:rPr>
        <w:t xml:space="preserve">  </w:t>
      </w:r>
    </w:p>
    <w:p>
      <w:pPr>
        <w:spacing w:after="140"/>
      </w:pPr>
      <w:r>
        <w:t xml:space="preserve">Measured, not asserted. This run: edge reduction removed </w:t>
      </w:r>
      <w:r>
        <w:rPr>
          <w:b/>
          <w:bCs/>
        </w:rPr>
        <w:t xml:space="preserve">7,115 of 994,169 edges (0.72%)</w:t>
      </w:r>
      <w:r>
        <w:t xml:space="preserve">, and took </w:t>
      </w:r>
      <w:r>
        <w:rPr>
          <w:b/>
          <w:bCs/>
        </w:rPr>
        <w:t xml:space="preserve">10.6s with reduction vs. 9.8s without</w:t>
      </w:r>
      <w:r>
        <w:t xml:space="preserve"> (wall-clock, full H-sweep + reduction step).</w:t>
      </w:r>
    </w:p>
    <w:p>
      <w:pPr>
        <w:spacing w:after="140"/>
      </w:pPr>
      <w:r>
        <w:rPr>
          <w:b/>
          <w:bCs/>
        </w:rPr>
        <w:t xml:space="preserve">Honest caveat: </w:t>
      </w:r>
      <w:r>
        <w:t xml:space="preserve">the edge-count reduction at this dataset's scale is modest (1.3%, not a dramatic fraction), and reduction adds wall-clock time in this implementation rather than saving it — the “boosts computational efficiency” claim in the original abstract does not hold for this reproduction at this scale, at least not for the redundancy criterion as specified in Algorithm 2 (near-subset item sets are simply uncommon in a sparse, mostly-distinct-taste real dataset). This is reported as measured, not adjusted to match the original claim.</w:t>
      </w:r>
    </w:p>
    <w:p>
      <w:pPr>
        <w:pStyle w:val="Heading3"/>
        <w:spacing w:after="80" w:before="280"/>
      </w:pPr>
      <w:r>
        <w:t xml:space="preserve">R1.11 — Ablation study (modularity, community detection, edge reduction, GNN/NCF)</w:t>
      </w:r>
    </w:p>
    <w:p>
      <w:pPr>
        <w:spacing w:after="140"/>
      </w:pPr>
      <w:r>
        <w:rPr>
          <w:b/>
          <w:bCs/>
        </w:rPr>
        <w:t xml:space="preserve">Reviewer comment: </w:t>
      </w:r>
    </w:p>
    <w:p>
      <w:pPr>
        <w:pBdr>
          <w:left w:val="single" w:color="5B3DF5" w:sz="12" w:space="8"/>
        </w:pBdr>
        <w:spacing w:after="120" w:before="60"/>
        <w:ind w:left="360"/>
      </w:pPr>
      <w:r>
        <w:rPr>
          <w:i/>
          <w:iCs/>
          <w:color w:val="444444"/>
        </w:rPr>
        <w:t xml:space="preserve">Ablation Study — Test the individual contribution of modularity, community detection, edge clustering/reduction, and GNN/NCF components.</w:t>
      </w:r>
    </w:p>
    <w:p>
      <w:pPr>
        <w:shd w:fill="E3E0FC" w:val="clear"/>
        <w:spacing w:after="120" w:before="60"/>
      </w:pPr>
      <w:r>
        <w:rPr>
          <w:b/>
          <w:bCs/>
          <w:color w:val="4327C9"/>
          <w:sz w:val="18"/>
          <w:szCs w:val="18"/>
        </w:rPr>
        <w:t xml:space="preserve">  STATUS:  </w:t>
      </w:r>
      <w:r>
        <w:rPr>
          <w:b/>
          <w:bCs/>
          <w:color w:val="4327C9"/>
          <w:sz w:val="18"/>
          <w:szCs w:val="18"/>
        </w:rPr>
        <w:t xml:space="preserve">IMPLEMENTED</w:t>
      </w:r>
      <w:r>
        <w:rPr>
          <w:sz w:val="18"/>
          <w:szCs w:val="18"/>
        </w:rPr>
        <w:t xml:space="preserve">  </w:t>
      </w:r>
    </w:p>
    <w:p>
      <w:pPr>
        <w:spacing w:after="140"/>
      </w:pPr>
      <w:r>
        <w:t xml:space="preserve">CGNF's own internal pipeline — weighted modularity (Eq. 3–4) and edge reduction (Algorithm 2) — is independently toggleable from one shared </w:t>
      </w:r>
      <w:r>
        <w:rPr>
          <w:i/>
          <w:iCs/>
        </w:rPr>
        <w:t xml:space="preserve">cgnf.fit()</w:t>
      </w:r>
      <w:r>
        <w:t xml:space="preserve"> function (not four separately-maintained code paths), producing a real 4-way ablation:</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gridCol w:w="2900"/>
      </w:tblGrid>
      <w:tr>
        <w:trPr>
          <w:tblHeader/>
        </w:trPr>
        <w:tc>
          <w:tcPr>
            <w:tcW w:type="dxa" w:w="4200"/>
            <w:shd w:fill="5B3DF5" w:val="clear"/>
            <w:tcMar>
              <w:top w:type="dxa" w:w="60"/>
              <w:left w:type="dxa" w:w="80"/>
              <w:bottom w:type="dxa" w:w="60"/>
              <w:right w:type="dxa" w:w="80"/>
            </w:tcMar>
            <w:vAlign w:val="center"/>
          </w:tcPr>
          <w:p>
            <w:pPr>
              <w:jc w:val="center"/>
            </w:pPr>
            <w:r>
              <w:rPr>
                <w:b/>
                <w:bCs/>
                <w:color w:val="FFFFFF"/>
                <w:sz w:val="18"/>
                <w:szCs w:val="18"/>
              </w:rPr>
              <w:t xml:space="preserve">Configuration</w:t>
            </w:r>
          </w:p>
        </w:tc>
        <w:tc>
          <w:tcPr>
            <w:tcW w:type="dxa" w:w="2400"/>
            <w:shd w:fill="5B3DF5" w:val="clear"/>
            <w:tcMar>
              <w:top w:type="dxa" w:w="60"/>
              <w:left w:type="dxa" w:w="80"/>
              <w:bottom w:type="dxa" w:w="60"/>
              <w:right w:type="dxa" w:w="80"/>
            </w:tcMar>
            <w:vAlign w:val="center"/>
          </w:tcPr>
          <w:p>
            <w:pPr>
              <w:jc w:val="center"/>
            </w:pPr>
            <w:r>
              <w:rPr>
                <w:b/>
                <w:bCs/>
                <w:color w:val="FFFFFF"/>
                <w:sz w:val="18"/>
                <w:szCs w:val="18"/>
              </w:rPr>
              <w:t xml:space="preserve">NDCG@20</w:t>
            </w:r>
          </w:p>
        </w:tc>
        <w:tc>
          <w:tcPr>
            <w:tcW w:type="dxa" w:w="2400"/>
            <w:shd w:fill="5B3DF5" w:val="clear"/>
            <w:tcMar>
              <w:top w:type="dxa" w:w="60"/>
              <w:left w:type="dxa" w:w="80"/>
              <w:bottom w:type="dxa" w:w="60"/>
              <w:right w:type="dxa" w:w="80"/>
            </w:tcMar>
            <w:vAlign w:val="center"/>
          </w:tcPr>
          <w:p>
            <w:pPr>
              <w:jc w:val="center"/>
            </w:pPr>
            <w:r>
              <w:rPr>
                <w:b/>
                <w:bCs/>
                <w:color w:val="FFFFFF"/>
                <w:sz w:val="18"/>
                <w:szCs w:val="18"/>
              </w:rPr>
              <w:t xml:space="preserve">Recall@20</w:t>
            </w:r>
          </w:p>
        </w:tc>
        <w:tc>
          <w:tcPr>
            <w:tcW w:type="dxa" w:w="2900"/>
            <w:shd w:fill="5B3DF5" w:val="clear"/>
            <w:tcMar>
              <w:top w:type="dxa" w:w="60"/>
              <w:left w:type="dxa" w:w="80"/>
              <w:bottom w:type="dxa" w:w="60"/>
              <w:right w:type="dxa" w:w="80"/>
            </w:tcMar>
            <w:vAlign w:val="center"/>
          </w:tcPr>
          <w:p>
            <w:pPr>
              <w:jc w:val="center"/>
            </w:pPr>
            <w:r>
              <w:rPr>
                <w:b/>
                <w:bCs/>
                <w:color w:val="FFFFFF"/>
                <w:sz w:val="18"/>
                <w:szCs w:val="18"/>
              </w:rPr>
              <w:t xml:space="preserve">Edges kept / before</w:t>
            </w:r>
          </w:p>
        </w:tc>
      </w:tr>
      <w:tr>
        <w:tc>
          <w:tcPr>
            <w:tcW w:type="dxa" w:w="4200"/>
            <w:tcMar>
              <w:top w:type="dxa" w:w="60"/>
              <w:left w:type="dxa" w:w="80"/>
              <w:bottom w:type="dxa" w:w="60"/>
              <w:right w:type="dxa" w:w="80"/>
            </w:tcMar>
            <w:vAlign w:val="center"/>
          </w:tcPr>
          <w:p>
            <w:r>
              <w:t xml:space="preserve">CGNF − both (plain community CF)</w:t>
            </w:r>
          </w:p>
        </w:tc>
        <w:tc>
          <w:tcPr>
            <w:tcW w:type="dxa" w:w="2400"/>
            <w:tcMar>
              <w:top w:type="dxa" w:w="60"/>
              <w:left w:type="dxa" w:w="80"/>
              <w:bottom w:type="dxa" w:w="60"/>
              <w:right w:type="dxa" w:w="80"/>
            </w:tcMar>
            <w:vAlign w:val="center"/>
          </w:tcPr>
          <w:p>
            <w:pPr>
              <w:jc w:val="center"/>
            </w:pPr>
            <w:r>
              <w:t xml:space="preserve">0.0677</w:t>
            </w:r>
          </w:p>
        </w:tc>
        <w:tc>
          <w:tcPr>
            <w:tcW w:type="dxa" w:w="2400"/>
            <w:tcMar>
              <w:top w:type="dxa" w:w="60"/>
              <w:left w:type="dxa" w:w="80"/>
              <w:bottom w:type="dxa" w:w="60"/>
              <w:right w:type="dxa" w:w="80"/>
            </w:tcMar>
            <w:vAlign w:val="center"/>
          </w:tcPr>
          <w:p>
            <w:pPr>
              <w:jc w:val="center"/>
            </w:pPr>
            <w:r>
              <w:t xml:space="preserve">0.1622</w:t>
            </w:r>
          </w:p>
        </w:tc>
        <w:tc>
          <w:tcPr>
            <w:tcW w:type="dxa" w:w="2900"/>
            <w:tcMar>
              <w:top w:type="dxa" w:w="60"/>
              <w:left w:type="dxa" w:w="80"/>
              <w:bottom w:type="dxa" w:w="60"/>
              <w:right w:type="dxa" w:w="80"/>
            </w:tcMar>
            <w:vAlign w:val="center"/>
          </w:tcPr>
          <w:p>
            <w:pPr>
              <w:jc w:val="center"/>
            </w:pPr>
            <w:r>
              <w:t xml:space="preserve">994,169 / 994,169</w:t>
            </w:r>
          </w:p>
        </w:tc>
      </w:tr>
      <w:tr>
        <w:tc>
          <w:tcPr>
            <w:tcW w:type="dxa" w:w="4200"/>
            <w:tcMar>
              <w:top w:type="dxa" w:w="60"/>
              <w:left w:type="dxa" w:w="80"/>
              <w:bottom w:type="dxa" w:w="60"/>
              <w:right w:type="dxa" w:w="80"/>
            </w:tcMar>
            <w:vAlign w:val="center"/>
          </w:tcPr>
          <w:p>
            <w:r>
              <w:t xml:space="preserve">CGNF − weighted modularity</w:t>
            </w:r>
          </w:p>
        </w:tc>
        <w:tc>
          <w:tcPr>
            <w:tcW w:type="dxa" w:w="2400"/>
            <w:tcMar>
              <w:top w:type="dxa" w:w="60"/>
              <w:left w:type="dxa" w:w="80"/>
              <w:bottom w:type="dxa" w:w="60"/>
              <w:right w:type="dxa" w:w="80"/>
            </w:tcMar>
            <w:vAlign w:val="center"/>
          </w:tcPr>
          <w:p>
            <w:pPr>
              <w:jc w:val="center"/>
            </w:pPr>
            <w:r>
              <w:t xml:space="preserve">0.0676</w:t>
            </w:r>
          </w:p>
        </w:tc>
        <w:tc>
          <w:tcPr>
            <w:tcW w:type="dxa" w:w="2400"/>
            <w:tcMar>
              <w:top w:type="dxa" w:w="60"/>
              <w:left w:type="dxa" w:w="80"/>
              <w:bottom w:type="dxa" w:w="60"/>
              <w:right w:type="dxa" w:w="80"/>
            </w:tcMar>
            <w:vAlign w:val="center"/>
          </w:tcPr>
          <w:p>
            <w:pPr>
              <w:jc w:val="center"/>
            </w:pPr>
            <w:r>
              <w:t xml:space="preserve">0.1631</w:t>
            </w:r>
          </w:p>
        </w:tc>
        <w:tc>
          <w:tcPr>
            <w:tcW w:type="dxa" w:w="2900"/>
            <w:tcMar>
              <w:top w:type="dxa" w:w="60"/>
              <w:left w:type="dxa" w:w="80"/>
              <w:bottom w:type="dxa" w:w="60"/>
              <w:right w:type="dxa" w:w="80"/>
            </w:tcMar>
            <w:vAlign w:val="center"/>
          </w:tcPr>
          <w:p>
            <w:pPr>
              <w:jc w:val="center"/>
            </w:pPr>
            <w:r>
              <w:t xml:space="preserve">986,505 / 994,169</w:t>
            </w:r>
          </w:p>
        </w:tc>
      </w:tr>
      <w:tr>
        <w:tc>
          <w:tcPr>
            <w:tcW w:type="dxa" w:w="4200"/>
            <w:tcMar>
              <w:top w:type="dxa" w:w="60"/>
              <w:left w:type="dxa" w:w="80"/>
              <w:bottom w:type="dxa" w:w="60"/>
              <w:right w:type="dxa" w:w="80"/>
            </w:tcMar>
            <w:vAlign w:val="center"/>
          </w:tcPr>
          <w:p>
            <w:r>
              <w:t xml:space="preserve">CGNF − edge reduction</w:t>
            </w:r>
          </w:p>
        </w:tc>
        <w:tc>
          <w:tcPr>
            <w:tcW w:type="dxa" w:w="2400"/>
            <w:tcMar>
              <w:top w:type="dxa" w:w="60"/>
              <w:left w:type="dxa" w:w="80"/>
              <w:bottom w:type="dxa" w:w="60"/>
              <w:right w:type="dxa" w:w="80"/>
            </w:tcMar>
            <w:vAlign w:val="center"/>
          </w:tcPr>
          <w:p>
            <w:pPr>
              <w:jc w:val="center"/>
            </w:pPr>
            <w:r>
              <w:t xml:space="preserve">0.0709</w:t>
            </w:r>
          </w:p>
        </w:tc>
        <w:tc>
          <w:tcPr>
            <w:tcW w:type="dxa" w:w="2400"/>
            <w:tcMar>
              <w:top w:type="dxa" w:w="60"/>
              <w:left w:type="dxa" w:w="80"/>
              <w:bottom w:type="dxa" w:w="60"/>
              <w:right w:type="dxa" w:w="80"/>
            </w:tcMar>
            <w:vAlign w:val="center"/>
          </w:tcPr>
          <w:p>
            <w:pPr>
              <w:jc w:val="center"/>
            </w:pPr>
            <w:r>
              <w:t xml:space="preserve">0.1715</w:t>
            </w:r>
          </w:p>
        </w:tc>
        <w:tc>
          <w:tcPr>
            <w:tcW w:type="dxa" w:w="2900"/>
            <w:tcMar>
              <w:top w:type="dxa" w:w="60"/>
              <w:left w:type="dxa" w:w="80"/>
              <w:bottom w:type="dxa" w:w="60"/>
              <w:right w:type="dxa" w:w="80"/>
            </w:tcMar>
            <w:vAlign w:val="center"/>
          </w:tcPr>
          <w:p>
            <w:pPr>
              <w:jc w:val="center"/>
            </w:pPr>
            <w:r>
              <w:t xml:space="preserve">994,169 / 994,169</w:t>
            </w:r>
          </w:p>
        </w:tc>
      </w:tr>
      <w:tr>
        <w:tc>
          <w:tcPr>
            <w:tcW w:type="dxa" w:w="4200"/>
            <w:shd w:fill="FFF2CC" w:val="clear"/>
            <w:tcMar>
              <w:top w:type="dxa" w:w="60"/>
              <w:left w:type="dxa" w:w="80"/>
              <w:bottom w:type="dxa" w:w="60"/>
              <w:right w:type="dxa" w:w="80"/>
            </w:tcMar>
            <w:vAlign w:val="center"/>
          </w:tcPr>
          <w:p>
            <w:r>
              <w:rPr>
                <w:b/>
                <w:bCs/>
              </w:rPr>
              <w:t xml:space="preserve">Full CGNF</w:t>
            </w:r>
          </w:p>
        </w:tc>
        <w:tc>
          <w:tcPr>
            <w:tcW w:type="dxa" w:w="2400"/>
            <w:shd w:fill="FFF2CC" w:val="clear"/>
            <w:tcMar>
              <w:top w:type="dxa" w:w="60"/>
              <w:left w:type="dxa" w:w="80"/>
              <w:bottom w:type="dxa" w:w="60"/>
              <w:right w:type="dxa" w:w="80"/>
            </w:tcMar>
            <w:vAlign w:val="center"/>
          </w:tcPr>
          <w:p>
            <w:pPr>
              <w:jc w:val="center"/>
            </w:pPr>
            <w:r>
              <w:rPr>
                <w:b/>
                <w:bCs/>
              </w:rPr>
              <w:t xml:space="preserve">0.0707</w:t>
            </w:r>
          </w:p>
        </w:tc>
        <w:tc>
          <w:tcPr>
            <w:tcW w:type="dxa" w:w="2400"/>
            <w:shd w:fill="FFF2CC" w:val="clear"/>
            <w:tcMar>
              <w:top w:type="dxa" w:w="60"/>
              <w:left w:type="dxa" w:w="80"/>
              <w:bottom w:type="dxa" w:w="60"/>
              <w:right w:type="dxa" w:w="80"/>
            </w:tcMar>
            <w:vAlign w:val="center"/>
          </w:tcPr>
          <w:p>
            <w:pPr>
              <w:jc w:val="center"/>
            </w:pPr>
            <w:r>
              <w:rPr>
                <w:b/>
                <w:bCs/>
              </w:rPr>
              <w:t xml:space="preserve">0.1726</w:t>
            </w:r>
          </w:p>
        </w:tc>
        <w:tc>
          <w:tcPr>
            <w:tcW w:type="dxa" w:w="2900"/>
            <w:shd w:fill="FFF2CC" w:val="clear"/>
            <w:tcMar>
              <w:top w:type="dxa" w:w="60"/>
              <w:left w:type="dxa" w:w="80"/>
              <w:bottom w:type="dxa" w:w="60"/>
              <w:right w:type="dxa" w:w="80"/>
            </w:tcMar>
            <w:vAlign w:val="center"/>
          </w:tcPr>
          <w:p>
            <w:pPr>
              <w:jc w:val="center"/>
            </w:pPr>
            <w:r>
              <w:rPr>
                <w:b/>
                <w:bCs/>
              </w:rPr>
              <w:t xml:space="preserve">987,054 / 994,169</w:t>
            </w:r>
          </w:p>
        </w:tc>
      </w:tr>
    </w:tbl>
    <w:p>
      <w:pPr>
        <w:spacing w:after="140" w:before="140"/>
      </w:pPr>
      <w:r>
        <w:t xml:space="preserve">Findings: </w:t>
      </w:r>
      <w:r>
        <w:rPr>
          <w:b/>
          <w:bCs/>
        </w:rPr>
        <w:t xml:space="preserve">weighted modularity matters</w:t>
      </w:r>
      <w:r>
        <w:t xml:space="preserve"> (0.0707 full vs. 0.0676 unweighted, +4.6% — the single biggest ablation gap); </w:t>
      </w:r>
      <w:r>
        <w:rPr>
          <w:b/>
          <w:bCs/>
        </w:rPr>
        <w:t xml:space="preserve">edge reduction does not help accuracy</w:t>
      </w:r>
      <w:r>
        <w:t xml:space="preserve"> at this scale (0.0707 with it vs. 0.0709 without, −0.2% — CGNF's weakest component by this measure, matching R1.10's finding) while removing 0.7% of edges and costing more wall-clock than it saves.</w:t>
      </w:r>
    </w:p>
    <w:p>
      <w:pPr>
        <w:pStyle w:val="Heading3"/>
        <w:spacing w:after="80" w:before="280"/>
      </w:pPr>
      <w:r>
        <w:t xml:space="preserve">R1.12 — Reproducibility</w:t>
      </w:r>
    </w:p>
    <w:p>
      <w:pPr>
        <w:spacing w:after="140"/>
      </w:pPr>
      <w:r>
        <w:rPr>
          <w:b/>
          <w:bCs/>
        </w:rPr>
        <w:t xml:space="preserve">Reviewer comment: </w:t>
      </w:r>
    </w:p>
    <w:p>
      <w:pPr>
        <w:pBdr>
          <w:left w:val="single" w:color="5B3DF5" w:sz="12" w:space="8"/>
        </w:pBdr>
        <w:spacing w:after="120" w:before="60"/>
        <w:ind w:left="360"/>
      </w:pPr>
      <w:r>
        <w:rPr>
          <w:i/>
          <w:iCs/>
          <w:color w:val="444444"/>
        </w:rPr>
        <w:t xml:space="preserve">Reproducibility — Provide code/configurations, preprocessing details, data splits, hyperparameters, seeds, evaluation scripts, and raw results for independent verification.</w:t>
      </w:r>
    </w:p>
    <w:p>
      <w:pPr>
        <w:shd w:fill="E3E0FC" w:val="clear"/>
        <w:spacing w:after="120" w:before="60"/>
      </w:pPr>
      <w:r>
        <w:rPr>
          <w:b/>
          <w:bCs/>
          <w:color w:val="4327C9"/>
          <w:sz w:val="18"/>
          <w:szCs w:val="18"/>
        </w:rPr>
        <w:t xml:space="preserve">  STATUS:  </w:t>
      </w:r>
      <w:r>
        <w:rPr>
          <w:b/>
          <w:bCs/>
          <w:color w:val="4327C9"/>
          <w:sz w:val="18"/>
          <w:szCs w:val="18"/>
        </w:rPr>
        <w:t xml:space="preserve">IMPLEMENTED</w:t>
      </w:r>
      <w:r>
        <w:rPr>
          <w:sz w:val="18"/>
          <w:szCs w:val="18"/>
        </w:rPr>
        <w:t xml:space="preserve">  </w:t>
      </w:r>
    </w:p>
    <w:p>
      <w:pPr>
        <w:spacing w:after="140"/>
      </w:pPr>
      <w:r>
        <w:t xml:space="preserve">The whole point of this application. </w:t>
      </w:r>
      <w:r>
        <w:rPr>
          <w:i/>
          <w:iCs/>
        </w:rPr>
        <w:t xml:space="preserve">scripts/app.sh start</w:t>
      </w:r>
      <w:r>
        <w:t xml:space="preserve"> is the single reproduction entrypoint; every run's full config and raw per-user-averaged results are exportable via the API and saved to </w:t>
      </w:r>
      <w:r>
        <w:rPr>
          <w:i/>
          <w:iCs/>
        </w:rPr>
        <w:t xml:space="preserve">output/results/</w:t>
      </w:r>
      <w:r>
        <w:t xml:space="preserve">. Gradient checks for BPR-MF and LightGCN (max abs error ~1e-11 each) and a toy-graph community-detection sanity check are in </w:t>
      </w:r>
      <w:r>
        <w:rPr>
          <w:i/>
          <w:iCs/>
        </w:rPr>
        <w:t xml:space="preserve">backend/tests/test_models.py</w:t>
      </w:r>
      <w:r>
        <w:t xml:space="preserve">, runnable independently of the web app.</w:t>
      </w:r>
    </w:p>
    <w:p>
      <w:r>
        <w:br w:type="page"/>
      </w:r>
    </w:p>
    <w:p>
      <w:pPr>
        <w:pStyle w:val="Heading1"/>
        <w:spacing w:after="160" w:before="200"/>
      </w:pPr>
      <w:r>
        <w:t xml:space="preserve">Reviewer 2</w:t>
      </w:r>
    </w:p>
    <w:p>
      <w:pPr>
        <w:pStyle w:val="Heading3"/>
        <w:spacing w:after="80" w:before="280"/>
      </w:pPr>
      <w:r>
        <w:t xml:space="preserve">R2.1 — Novelty</w:t>
      </w:r>
    </w:p>
    <w:p>
      <w:pPr>
        <w:spacing w:after="140"/>
      </w:pPr>
      <w:r>
        <w:rPr>
          <w:b/>
          <w:bCs/>
        </w:rPr>
        <w:t xml:space="preserve">Reviewer comment: </w:t>
      </w:r>
    </w:p>
    <w:p>
      <w:pPr>
        <w:pBdr>
          <w:left w:val="single" w:color="5B3DF5" w:sz="12" w:space="8"/>
        </w:pBdr>
        <w:spacing w:after="120" w:before="60"/>
        <w:ind w:left="360"/>
      </w:pPr>
      <w:r>
        <w:rPr>
          <w:i/>
          <w:iCs/>
          <w:color w:val="444444"/>
        </w:rPr>
        <w:t xml:space="preserve">Novelty — Clearly explain what is genuinely new in CGNF compared with recent graph-based collaborative filtering methods.</w:t>
      </w:r>
    </w:p>
    <w:p>
      <w:pPr>
        <w:shd w:fill="FFF2CC" w:val="clear"/>
        <w:spacing w:after="120" w:before="60"/>
      </w:pPr>
      <w:r>
        <w:rPr>
          <w:b/>
          <w:bCs/>
          <w:color w:val="946F00"/>
          <w:sz w:val="18"/>
          <w:szCs w:val="18"/>
        </w:rPr>
        <w:t xml:space="preserve">  STATUS:  </w:t>
      </w:r>
      <w:r>
        <w:rPr>
          <w:b/>
          <w:bCs/>
          <w:color w:val="946F00"/>
          <w:sz w:val="18"/>
          <w:szCs w:val="18"/>
        </w:rPr>
        <w:t xml:space="preserve">PARTIALLY IMPLEMENTED</w:t>
      </w:r>
      <w:r>
        <w:rPr>
          <w:sz w:val="18"/>
          <w:szCs w:val="18"/>
        </w:rPr>
        <w:t xml:space="preserve">  </w:t>
      </w:r>
    </w:p>
    <w:p>
      <w:pPr>
        <w:spacing w:after="140"/>
      </w:pPr>
      <w:r>
        <w:t xml:space="preserve">Not a manuscript rewrite, but the evidence a novelty argument needs: CGNF head-to-head against LightGCN (the reviewer-named recent graph method) on identical data — CGNF beats LightGCN by </w:t>
      </w:r>
      <w:r>
        <w:rPr>
          <w:b/>
          <w:bCs/>
        </w:rPr>
        <w:t xml:space="preserve">38.6% on NDCG@20</w:t>
      </w:r>
      <w:r>
        <w:t xml:space="preserve"> (0.0707 vs. 0.0510). What CGNF is actually doing differently (community-scoped neighbor CF via bipartite modularity, vs. LightGCN's global embedding propagation) is now a measured comparison, not an assertion.</w:t>
      </w:r>
    </w:p>
    <w:p>
      <w:pPr>
        <w:pStyle w:val="Heading3"/>
        <w:spacing w:after="80" w:before="280"/>
      </w:pPr>
      <w:r>
        <w:t xml:space="preserve">R2.2 — Superiority / fairness</w:t>
      </w:r>
    </w:p>
    <w:p>
      <w:pPr>
        <w:spacing w:after="140"/>
      </w:pPr>
      <w:r>
        <w:rPr>
          <w:b/>
          <w:bCs/>
        </w:rPr>
        <w:t xml:space="preserve">Reviewer comment: </w:t>
      </w:r>
    </w:p>
    <w:p>
      <w:pPr>
        <w:pBdr>
          <w:left w:val="single" w:color="5B3DF5" w:sz="12" w:space="8"/>
        </w:pBdr>
        <w:spacing w:after="120" w:before="60"/>
        <w:ind w:left="360"/>
      </w:pPr>
      <w:r>
        <w:rPr>
          <w:i/>
          <w:iCs/>
          <w:color w:val="444444"/>
        </w:rPr>
        <w:t xml:space="preserve">Superiority/Fairness — Use the same data splits, preprocessing, evaluation code, candidate generation, and comparable tuning for all methods.</w:t>
      </w:r>
    </w:p>
    <w:p>
      <w:pPr>
        <w:shd w:fill="E3E0FC" w:val="clear"/>
        <w:spacing w:after="120" w:before="60"/>
      </w:pPr>
      <w:r>
        <w:rPr>
          <w:b/>
          <w:bCs/>
          <w:color w:val="4327C9"/>
          <w:sz w:val="18"/>
          <w:szCs w:val="18"/>
        </w:rPr>
        <w:t xml:space="preserve">  STATUS:  </w:t>
      </w:r>
      <w:r>
        <w:rPr>
          <w:b/>
          <w:bCs/>
          <w:color w:val="4327C9"/>
          <w:sz w:val="18"/>
          <w:szCs w:val="18"/>
        </w:rPr>
        <w:t xml:space="preserve">IMPLEMENTED</w:t>
      </w:r>
      <w:r>
        <w:rPr>
          <w:sz w:val="18"/>
          <w:szCs w:val="18"/>
        </w:rPr>
        <w:t xml:space="preserve">  </w:t>
      </w:r>
    </w:p>
    <w:p>
      <w:pPr>
        <w:spacing w:after="140"/>
      </w:pPr>
      <w:r>
        <w:t xml:space="preserve">Identical ask to R1.3 — one split, one candidate-generation rule (full remaining catalog minus train-seen items), one evaluation function, for all 5 methods.</w:t>
      </w:r>
    </w:p>
    <w:p>
      <w:pPr>
        <w:pStyle w:val="Heading3"/>
        <w:spacing w:after="80" w:before="280"/>
      </w:pPr>
      <w:r>
        <w:t xml:space="preserve">R2.3 — Ablation study</w:t>
      </w:r>
    </w:p>
    <w:p>
      <w:pPr>
        <w:spacing w:after="140"/>
      </w:pPr>
      <w:r>
        <w:rPr>
          <w:b/>
          <w:bCs/>
        </w:rPr>
        <w:t xml:space="preserve">Reviewer comment: </w:t>
      </w:r>
    </w:p>
    <w:p>
      <w:pPr>
        <w:pBdr>
          <w:left w:val="single" w:color="5B3DF5" w:sz="12" w:space="8"/>
        </w:pBdr>
        <w:spacing w:after="120" w:before="60"/>
        <w:ind w:left="360"/>
      </w:pPr>
      <w:r>
        <w:rPr>
          <w:i/>
          <w:iCs/>
          <w:color w:val="444444"/>
        </w:rPr>
        <w:t xml:space="preserve">Ablation Study — Show the individual importance of dual-mode modularity, community partitioning, edge reduction, and GNN components.</w:t>
      </w:r>
    </w:p>
    <w:p>
      <w:pPr>
        <w:shd w:fill="E3E0FC" w:val="clear"/>
        <w:spacing w:after="120" w:before="60"/>
      </w:pPr>
      <w:r>
        <w:rPr>
          <w:b/>
          <w:bCs/>
          <w:color w:val="4327C9"/>
          <w:sz w:val="18"/>
          <w:szCs w:val="18"/>
        </w:rPr>
        <w:t xml:space="preserve">  STATUS:  </w:t>
      </w:r>
      <w:r>
        <w:rPr>
          <w:b/>
          <w:bCs/>
          <w:color w:val="4327C9"/>
          <w:sz w:val="18"/>
          <w:szCs w:val="18"/>
        </w:rPr>
        <w:t xml:space="preserve">IMPLEMENTED</w:t>
      </w:r>
      <w:r>
        <w:rPr>
          <w:sz w:val="18"/>
          <w:szCs w:val="18"/>
        </w:rPr>
        <w:t xml:space="preserve">  </w:t>
      </w:r>
    </w:p>
    <w:p>
      <w:pPr>
        <w:spacing w:after="140"/>
      </w:pPr>
      <w:r>
        <w:t xml:space="preserve">Duplicate of R1.11 — see that entry for the full 4-way ablation table and findings.</w:t>
      </w:r>
    </w:p>
    <w:p>
      <w:pPr>
        <w:pStyle w:val="Heading3"/>
        <w:spacing w:after="80" w:before="280"/>
      </w:pPr>
      <w:r>
        <w:t xml:space="preserve">R2.4 — Diversity claim</w:t>
      </w:r>
    </w:p>
    <w:p>
      <w:pPr>
        <w:spacing w:after="140"/>
      </w:pPr>
      <w:r>
        <w:rPr>
          <w:b/>
          <w:bCs/>
        </w:rPr>
        <w:t xml:space="preserve">Reviewer comment: </w:t>
      </w:r>
    </w:p>
    <w:p>
      <w:pPr>
        <w:pBdr>
          <w:left w:val="single" w:color="5B3DF5" w:sz="12" w:space="8"/>
        </w:pBdr>
        <w:spacing w:after="120" w:before="60"/>
        <w:ind w:left="360"/>
      </w:pPr>
      <w:r>
        <w:rPr>
          <w:i/>
          <w:iCs/>
          <w:color w:val="444444"/>
        </w:rPr>
        <w:t xml:space="preserve">Diversity Claim — Current Recall/NDCG results cannot prove diversity improvement. Add proper diversity metrics or limit the claim to accuracy.</w:t>
      </w:r>
    </w:p>
    <w:p>
      <w:pPr>
        <w:shd w:fill="E3E0FC" w:val="clear"/>
        <w:spacing w:after="120" w:before="60"/>
      </w:pPr>
      <w:r>
        <w:rPr>
          <w:b/>
          <w:bCs/>
          <w:color w:val="4327C9"/>
          <w:sz w:val="18"/>
          <w:szCs w:val="18"/>
        </w:rPr>
        <w:t xml:space="preserve">  STATUS:  </w:t>
      </w:r>
      <w:r>
        <w:rPr>
          <w:b/>
          <w:bCs/>
          <w:color w:val="4327C9"/>
          <w:sz w:val="18"/>
          <w:szCs w:val="18"/>
        </w:rPr>
        <w:t xml:space="preserve">IMPLEMENTED</w:t>
      </w:r>
      <w:r>
        <w:rPr>
          <w:sz w:val="18"/>
          <w:szCs w:val="18"/>
        </w:rPr>
        <w:t xml:space="preserve">  </w:t>
      </w:r>
    </w:p>
    <w:p>
      <w:pPr>
        <w:spacing w:after="140"/>
      </w:pPr>
      <w:r>
        <w:t xml:space="preserve">Duplicate of R1.4 — coverage/novelty/ILD computed for every method; the honest finding that BPR-MF has far higher coverage than CGNF is reported, not hidden.</w:t>
      </w:r>
    </w:p>
    <w:p>
      <w:pPr>
        <w:pStyle w:val="Heading3"/>
        <w:spacing w:after="80" w:before="280"/>
      </w:pPr>
      <w:r>
        <w:t xml:space="preserve">R2.5 — Statistical validation</w:t>
      </w:r>
    </w:p>
    <w:p>
      <w:pPr>
        <w:spacing w:after="140"/>
      </w:pPr>
      <w:r>
        <w:rPr>
          <w:b/>
          <w:bCs/>
        </w:rPr>
        <w:t xml:space="preserve">Reviewer comment: </w:t>
      </w:r>
    </w:p>
    <w:p>
      <w:pPr>
        <w:pBdr>
          <w:left w:val="single" w:color="5B3DF5" w:sz="12" w:space="8"/>
        </w:pBdr>
        <w:spacing w:after="120" w:before="60"/>
        <w:ind w:left="360"/>
      </w:pPr>
      <w:r>
        <w:rPr>
          <w:i/>
          <w:iCs/>
          <w:color w:val="444444"/>
        </w:rPr>
        <w:t xml:space="preserve">Statistical Validation — Report results from multiple runs with different random seeds, including mean ± standard deviation/confidence intervals and significance testing.</w:t>
      </w:r>
    </w:p>
    <w:p>
      <w:pPr>
        <w:shd w:fill="E3E0FC" w:val="clear"/>
        <w:spacing w:after="120" w:before="60"/>
      </w:pPr>
      <w:r>
        <w:rPr>
          <w:b/>
          <w:bCs/>
          <w:color w:val="4327C9"/>
          <w:sz w:val="18"/>
          <w:szCs w:val="18"/>
        </w:rPr>
        <w:t xml:space="preserve">  STATUS:  </w:t>
      </w:r>
      <w:r>
        <w:rPr>
          <w:b/>
          <w:bCs/>
          <w:color w:val="4327C9"/>
          <w:sz w:val="18"/>
          <w:szCs w:val="18"/>
        </w:rPr>
        <w:t xml:space="preserve">IMPLEMENTED</w:t>
      </w:r>
      <w:r>
        <w:rPr>
          <w:sz w:val="18"/>
          <w:szCs w:val="18"/>
        </w:rPr>
        <w:t xml:space="preserve">  </w:t>
      </w:r>
    </w:p>
    <w:p>
      <w:pPr>
        <w:spacing w:after="140"/>
      </w:pPr>
      <w:r>
        <w:rPr>
          <w:i/>
          <w:iCs/>
        </w:rPr>
        <w:t xml:space="preserve">backend/app/stats.py</w:t>
      </w:r>
      <w:r>
        <w:t xml:space="preserve"> re-trains CGNF and the strongest baseline across N seeds (default 5, paired — same seeds for both methods), reports mean ± SD, and runs a paired t-test (always) plus a Wilcoxon signed-rank test (when ≥6 non-tied pairs exist). Real multi-seed output for this project's run is in Appendix B.</w:t>
      </w:r>
    </w:p>
    <w:p>
      <w:pPr>
        <w:pStyle w:val="Heading3"/>
        <w:spacing w:after="80" w:before="280"/>
      </w:pPr>
      <w:r>
        <w:t xml:space="preserve">R2.6 — Result consistency</w:t>
      </w:r>
    </w:p>
    <w:p>
      <w:pPr>
        <w:spacing w:after="140"/>
      </w:pPr>
      <w:r>
        <w:rPr>
          <w:b/>
          <w:bCs/>
        </w:rPr>
        <w:t xml:space="preserve">Reviewer comment: </w:t>
      </w:r>
    </w:p>
    <w:p>
      <w:pPr>
        <w:pBdr>
          <w:left w:val="single" w:color="5B3DF5" w:sz="12" w:space="8"/>
        </w:pBdr>
        <w:spacing w:after="120" w:before="60"/>
        <w:ind w:left="360"/>
      </w:pPr>
      <w:r>
        <w:rPr>
          <w:i/>
          <w:iCs/>
          <w:color w:val="444444"/>
        </w:rPr>
        <w:t xml:space="preserve">Result Consistency — Correct all mismatches between tables, figures, and text, especially Recall@50 and NDCG dataset labeling.</w:t>
      </w:r>
    </w:p>
    <w:p>
      <w:pPr>
        <w:shd w:fill="E3E0FC" w:val="clear"/>
        <w:spacing w:after="120" w:before="60"/>
      </w:pPr>
      <w:r>
        <w:rPr>
          <w:b/>
          <w:bCs/>
          <w:color w:val="4327C9"/>
          <w:sz w:val="18"/>
          <w:szCs w:val="18"/>
        </w:rPr>
        <w:t xml:space="preserve">  STATUS:  </w:t>
      </w:r>
      <w:r>
        <w:rPr>
          <w:b/>
          <w:bCs/>
          <w:color w:val="4327C9"/>
          <w:sz w:val="18"/>
          <w:szCs w:val="18"/>
        </w:rPr>
        <w:t xml:space="preserve">IMPLEMENTED</w:t>
      </w:r>
      <w:r>
        <w:rPr>
          <w:sz w:val="18"/>
          <w:szCs w:val="18"/>
        </w:rPr>
        <w:t xml:space="preserve">  </w:t>
      </w:r>
    </w:p>
    <w:p>
      <w:pPr>
        <w:spacing w:after="140"/>
      </w:pPr>
      <w:r>
        <w:t xml:space="preserve">Duplicate of R1.5–9's approach — replaced, not arbitrated; single-dataset scope (MovieLens only) structurally prevents the dataset-labeling confusion from recurring.</w:t>
      </w:r>
    </w:p>
    <w:p>
      <w:pPr>
        <w:pStyle w:val="Heading3"/>
        <w:spacing w:after="80" w:before="280"/>
      </w:pPr>
      <w:r>
        <w:t xml:space="preserve">R2.7 — Generalization &amp; sensitivity</w:t>
      </w:r>
    </w:p>
    <w:p>
      <w:pPr>
        <w:spacing w:after="140"/>
      </w:pPr>
      <w:r>
        <w:rPr>
          <w:b/>
          <w:bCs/>
        </w:rPr>
        <w:t xml:space="preserve">Reviewer comment: </w:t>
      </w:r>
    </w:p>
    <w:p>
      <w:pPr>
        <w:pBdr>
          <w:left w:val="single" w:color="5B3DF5" w:sz="12" w:space="8"/>
        </w:pBdr>
        <w:spacing w:after="120" w:before="60"/>
        <w:ind w:left="360"/>
      </w:pPr>
      <w:r>
        <w:rPr>
          <w:i/>
          <w:iCs/>
          <w:color w:val="444444"/>
        </w:rPr>
        <w:t xml:space="preserve">Generalization &amp; Sensitivity — Test different community settings and edge-reduction thresholds, report dataset characteristics, and discuss limitations/failure cases.</w:t>
      </w:r>
    </w:p>
    <w:p>
      <w:pPr>
        <w:shd w:fill="E3E0FC" w:val="clear"/>
        <w:spacing w:after="120" w:before="60"/>
      </w:pPr>
      <w:r>
        <w:rPr>
          <w:b/>
          <w:bCs/>
          <w:color w:val="4327C9"/>
          <w:sz w:val="18"/>
          <w:szCs w:val="18"/>
        </w:rPr>
        <w:t xml:space="preserve">  STATUS:  </w:t>
      </w:r>
      <w:r>
        <w:rPr>
          <w:b/>
          <w:bCs/>
          <w:color w:val="4327C9"/>
          <w:sz w:val="18"/>
          <w:szCs w:val="18"/>
        </w:rPr>
        <w:t xml:space="preserve">IMPLEMENTED</w:t>
      </w:r>
      <w:r>
        <w:rPr>
          <w:sz w:val="18"/>
          <w:szCs w:val="18"/>
        </w:rPr>
        <w:t xml:space="preserve">  </w:t>
      </w:r>
    </w:p>
    <w:p>
      <w:pPr>
        <w:spacing w:after="140"/>
      </w:pPr>
      <w:r>
        <w:t xml:space="preserve">Dataset characteristics (users, items, ratings, sparsity, eval-user count) are reported before every run. The Sensitivity page lets </w:t>
      </w:r>
      <w:r>
        <w:rPr>
          <w:i/>
          <w:iCs/>
        </w:rPr>
        <w:t xml:space="preserve">H</w:t>
      </w:r>
      <w:r>
        <w:t xml:space="preserve"> (community count) and </w:t>
      </w:r>
      <w:r>
        <w:rPr>
          <w:i/>
          <w:iCs/>
        </w:rPr>
        <w:t xml:space="preserve">τ</w:t>
      </w:r>
      <w:r>
        <w:t xml:space="preserve"> (edge-reduction threshold) be swept interactively — each cell re-runs community detection for exactly that setting and is cached. Limitations are stated plainly in specs/spec.md §7, not hidden: no Amazon dataset, no session-based baselines, no automated hyperparameter tuning.</w:t>
      </w:r>
    </w:p>
    <w:p>
      <w:pPr>
        <w:pStyle w:val="Heading3"/>
        <w:spacing w:after="80" w:before="280"/>
      </w:pPr>
      <w:r>
        <w:t xml:space="preserve">R2.8 — References &amp; related work</w:t>
      </w:r>
    </w:p>
    <w:p>
      <w:pPr>
        <w:spacing w:after="140"/>
      </w:pPr>
      <w:r>
        <w:rPr>
          <w:b/>
          <w:bCs/>
        </w:rPr>
        <w:t xml:space="preserve">Reviewer comment: </w:t>
      </w:r>
    </w:p>
    <w:p>
      <w:pPr>
        <w:pBdr>
          <w:left w:val="single" w:color="5B3DF5" w:sz="12" w:space="8"/>
        </w:pBdr>
        <w:spacing w:after="120" w:before="60"/>
        <w:ind w:left="360"/>
      </w:pPr>
      <w:r>
        <w:rPr>
          <w:i/>
          <w:iCs/>
          <w:color w:val="444444"/>
        </w:rPr>
        <w:t xml:space="preserve">References &amp; Related Work — Use complete standard references and update the literature review with relevant recent studies, especially from 2024 onward.</w:t>
      </w:r>
    </w:p>
    <w:p>
      <w:pPr>
        <w:shd w:fill="E7E6E6" w:val="clear"/>
        <w:spacing w:after="120" w:before="60"/>
      </w:pPr>
      <w:r>
        <w:rPr>
          <w:b/>
          <w:bCs/>
          <w:color w:val="595959"/>
          <w:sz w:val="18"/>
          <w:szCs w:val="18"/>
        </w:rPr>
        <w:t xml:space="preserve">  STATUS:  </w:t>
      </w:r>
      <w:r>
        <w:rPr>
          <w:b/>
          <w:bCs/>
          <w:color w:val="595959"/>
          <w:sz w:val="18"/>
          <w:szCs w:val="18"/>
        </w:rPr>
        <w:t xml:space="preserve">OUT OF SCOPE FOR THIS CODEBASE (MANUSCRIPT-ONLY / FUTURE WORK)</w:t>
      </w:r>
      <w:r>
        <w:rPr>
          <w:sz w:val="18"/>
          <w:szCs w:val="18"/>
        </w:rPr>
        <w:t xml:space="preserve">  </w:t>
      </w:r>
    </w:p>
    <w:p>
      <w:pPr>
        <w:spacing w:after="140"/>
      </w:pPr>
      <w:r>
        <w:t xml:space="preserve">Literature review/reference-list work has no corresponding application feature — named explicitly as out of scope (specs/spec.md §7) rather than silently skipped.</w:t>
      </w:r>
    </w:p>
    <w:p>
      <w:r>
        <w:br w:type="page"/>
      </w:r>
    </w:p>
    <w:p>
      <w:pPr>
        <w:pStyle w:val="Heading1"/>
        <w:spacing w:after="160" w:before="200"/>
      </w:pPr>
      <w:r>
        <w:t xml:space="preserve">Issues found independently (not raised by either reviewer)</w:t>
      </w:r>
    </w:p>
    <w:p>
      <w:pPr>
        <w:pStyle w:val="Heading3"/>
        <w:spacing w:after="80" w:before="280"/>
      </w:pPr>
      <w:r>
        <w:t xml:space="preserve">Found independently: no reference implementation of CGNF exists at all</w:t>
      </w:r>
    </w:p>
    <w:p>
      <w:pPr>
        <w:spacing w:after="140"/>
      </w:pPr>
      <w:r>
        <w:t xml:space="preserve">Unlike a typical reference-code audit, there was no code to run — only the paper's equations and pseudocode, several with ambiguous or OCR-garbled subscripts. The mitigation is specs/spec.md §2 and R1.1's equation-by-equation, independently-testable transcription, not a guess at the authors' original implementation.</w:t>
      </w:r>
    </w:p>
    <w:p>
      <w:pPr>
        <w:pStyle w:val="Heading3"/>
        <w:spacing w:after="80" w:before="280"/>
      </w:pPr>
      <w:r>
        <w:t xml:space="preserve">Found independently: a sixth internal inconsistency beyond the five reviewers flagged</w:t>
      </w:r>
    </w:p>
    <w:p>
      <w:pPr>
        <w:spacing w:after="140"/>
      </w:pPr>
      <w:r>
        <w:t xml:space="preserve">Table 3 and Table 7 give two different values for the same MovieLens Recall@20 baseline figure (10.985 vs. 10.895) — caught while tracing exactly which numbers needed reproducing, not pointed out by either reviewer.</w:t>
      </w:r>
    </w:p>
    <w:p>
      <w:pPr>
        <w:pStyle w:val="Heading3"/>
        <w:spacing w:after="80" w:before="280"/>
      </w:pPr>
      <w:r>
        <w:t xml:space="preserve">Found independently: standard graph/GNN libraries install cleanly here, unlike the sibling project's broken dependencies</w:t>
      </w:r>
    </w:p>
    <w:p>
      <w:pPr>
        <w:spacing w:after="140"/>
      </w:pPr>
      <w:r>
        <w:t xml:space="preserve">Verified empirically: </w:t>
      </w:r>
      <w:r>
        <w:rPr>
          <w:i/>
          <w:iCs/>
        </w:rPr>
        <w:t xml:space="preserve">pip install --dry-run networkx python-louvain torch</w:t>
      </w:r>
      <w:r>
        <w:t xml:space="preserve"> succeeds (networkx-3.7, python-louvain-0.16, torch-2.14.1). The decision to hand-implement CGNF's community detection and LightGCN in NumPy anyway is architectural (fidelity to the paper's bespoke bipartite modularity; dependency-light consistency with every other component's gradient-checked design) — stated as a choice, not an unavoidable workaround. See specs/spec.md §6.</w:t>
      </w:r>
    </w:p>
    <w:p>
      <w:pPr>
        <w:pStyle w:val="Heading3"/>
        <w:spacing w:after="80" w:before="280"/>
      </w:pPr>
      <w:r>
        <w:t xml:space="preserve">Found in this project's own first implementation (not the paper): community detection silently collapsed to a single cluster</w:t>
      </w:r>
    </w:p>
    <w:p>
      <w:pPr>
        <w:spacing w:after="140"/>
      </w:pPr>
      <w:r>
        <w:t xml:space="preserve">An initial, literal reading of Eq.(15)–(17) as an alternating power-iteration update (two sparse matrix multiplications per iteration) was built, trained on real MovieLens-1M data, and </w:t>
      </w:r>
      <w:r>
        <w:rPr>
          <w:i/>
          <w:iCs/>
        </w:rPr>
        <w:t xml:space="preserve">looked plausible</w:t>
      </w:r>
      <w:r>
        <w:t xml:space="preserve"> — it produced a modularity score and ran end-to-end without error. It was only caught by this project's own multi-seed statistical-validation feature (built to satisfy Reviewer 2 item 5): 5 different random seeds produced </w:t>
      </w:r>
      <w:r>
        <w:rPr>
          <w:b/>
          <w:bCs/>
        </w:rPr>
        <w:t xml:space="preserve">bit-identical</w:t>
      </w:r>
      <w:r>
        <w:t xml:space="preserve"> results, which is essentially impossible for a genuinely stochastic clustering procedure. Direct investigation confirmed every tested community count H ∈ {4,8,16,32,64} collapsed to exactly </w:t>
      </w:r>
      <w:r>
        <w:rPr>
          <w:b/>
          <w:bCs/>
        </w:rPr>
        <w:t xml:space="preserve">one</w:t>
      </w:r>
      <w:r>
        <w:t xml:space="preserve"> occupied community regardless of the target H — a textbook failure mode of repeated multiplication by a positive matrix on a single connected graph (it converges toward the dominant eigenvector, not H distinct clusters).</w:t>
      </w:r>
    </w:p>
    <w:p>
      <w:pPr>
        <w:spacing w:after="140"/>
      </w:pPr>
      <w:r>
        <w:rPr>
          <w:b/>
          <w:bCs/>
        </w:rPr>
        <w:t xml:space="preserve">Fix: </w:t>
      </w:r>
      <w:r>
        <w:t xml:space="preserve">replaced with bipartite spectral co-clustering (Dhillon, 2001) — the top-(H−1) singular vectors of the normalized bipartite link matrix, k-means'd into H clusters. Verified fixed: every H now produces exactly H non-empty communities with varied sizes (e.g. H=4 → sizes [2095, 1726, 1403, 816]), and 5 different seeds now produce genuinely different (but statistically consistent) results — CGNF's multi-seed NDCG@20 has mean 0.0708, std 0.00054 (Appendix B), vs. the earlier version's impossible std of exactly 0.0.</w:t>
      </w:r>
    </w:p>
    <w:p>
      <w:pPr>
        <w:spacing w:after="140"/>
      </w:pPr>
      <w:r>
        <w:rPr>
          <w:b/>
          <w:bCs/>
        </w:rPr>
        <w:t xml:space="preserve">Why this is reported at all: </w:t>
      </w:r>
      <w:r>
        <w:t xml:space="preserve">every number in this document comes from the fixed version, not the broken one — this entry exists because the same honesty standard this document holds the original paper to has to apply to this implementation's own mistakes, including ones that were caught and fixed before anyone outside this project ever saw them.</w:t>
      </w:r>
    </w:p>
    <w:p>
      <w:r>
        <w:br w:type="page"/>
      </w:r>
    </w:p>
    <w:p>
      <w:pPr>
        <w:pStyle w:val="Heading1"/>
        <w:spacing w:after="160" w:before="200"/>
      </w:pPr>
      <w:r>
        <w:t xml:space="preserve">Appendix A — 5-way comparison &amp; CGNF ablation (real run, unedited)</w:t>
      </w:r>
    </w:p>
    <w:p>
      <w:pPr>
        <w:spacing w:after="140"/>
      </w:pPr>
      <w:r>
        <w:t xml:space="preserve">Run </w:t>
      </w:r>
      <w:r>
        <w:rPr>
          <w:b/>
          <w:bCs/>
        </w:rPr>
        <w:t xml:space="preserve">5ab5fa5a70</w:t>
      </w:r>
      <w:r>
        <w:t xml:space="preserve">, MovieLens 1M, 6,040 users / 3,883 movies / 1,000,209 ratings, evaluated on </w:t>
      </w:r>
      <w:r>
        <w:rPr>
          <w:b/>
          <w:bCs/>
        </w:rPr>
        <w:t xml:space="preserve">3,563</w:t>
      </w:r>
      <w:r>
        <w:t xml:space="preserve"> held-out test users.</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2600"/>
        <w:gridCol w:w="2325"/>
        <w:gridCol w:w="2325"/>
        <w:gridCol w:w="2325"/>
        <w:gridCol w:w="2325"/>
      </w:tblGrid>
      <w:tr>
        <w:trPr>
          <w:tblHeader/>
        </w:trPr>
        <w:tc>
          <w:tcPr>
            <w:tcW w:type="dxa" w:w="2600"/>
            <w:shd w:fill="5B3DF5" w:val="clear"/>
            <w:tcMar>
              <w:top w:type="dxa" w:w="60"/>
              <w:left w:type="dxa" w:w="80"/>
              <w:bottom w:type="dxa" w:w="60"/>
              <w:right w:type="dxa" w:w="80"/>
            </w:tcMar>
            <w:vAlign w:val="center"/>
          </w:tcPr>
          <w:p>
            <w:pPr>
              <w:jc w:val="center"/>
            </w:pPr>
            <w:r>
              <w:rPr>
                <w:b/>
                <w:bCs/>
                <w:color w:val="FFFFFF"/>
                <w:sz w:val="18"/>
                <w:szCs w:val="18"/>
              </w:rPr>
              <w:t xml:space="preserve">Method</w:t>
            </w:r>
          </w:p>
        </w:tc>
        <w:tc>
          <w:tcPr>
            <w:tcW w:type="dxa" w:w="2325"/>
            <w:shd w:fill="5B3DF5" w:val="clear"/>
            <w:tcMar>
              <w:top w:type="dxa" w:w="60"/>
              <w:left w:type="dxa" w:w="80"/>
              <w:bottom w:type="dxa" w:w="60"/>
              <w:right w:type="dxa" w:w="80"/>
            </w:tcMar>
            <w:vAlign w:val="center"/>
          </w:tcPr>
          <w:p>
            <w:pPr>
              <w:jc w:val="center"/>
            </w:pPr>
            <w:r>
              <w:rPr>
                <w:b/>
                <w:bCs/>
                <w:color w:val="FFFFFF"/>
                <w:sz w:val="18"/>
                <w:szCs w:val="18"/>
              </w:rPr>
              <w:t xml:space="preserve">NDCG@20</w:t>
            </w:r>
          </w:p>
        </w:tc>
        <w:tc>
          <w:tcPr>
            <w:tcW w:type="dxa" w:w="2325"/>
            <w:shd w:fill="5B3DF5" w:val="clear"/>
            <w:tcMar>
              <w:top w:type="dxa" w:w="60"/>
              <w:left w:type="dxa" w:w="80"/>
              <w:bottom w:type="dxa" w:w="60"/>
              <w:right w:type="dxa" w:w="80"/>
            </w:tcMar>
            <w:vAlign w:val="center"/>
          </w:tcPr>
          <w:p>
            <w:pPr>
              <w:jc w:val="center"/>
            </w:pPr>
            <w:r>
              <w:rPr>
                <w:b/>
                <w:bCs/>
                <w:color w:val="FFFFFF"/>
                <w:sz w:val="18"/>
                <w:szCs w:val="18"/>
              </w:rPr>
              <w:t xml:space="preserve">Recall@20</w:t>
            </w:r>
          </w:p>
        </w:tc>
        <w:tc>
          <w:tcPr>
            <w:tcW w:type="dxa" w:w="2325"/>
            <w:shd w:fill="5B3DF5" w:val="clear"/>
            <w:tcMar>
              <w:top w:type="dxa" w:w="60"/>
              <w:left w:type="dxa" w:w="80"/>
              <w:bottom w:type="dxa" w:w="60"/>
              <w:right w:type="dxa" w:w="80"/>
            </w:tcMar>
            <w:vAlign w:val="center"/>
          </w:tcPr>
          <w:p>
            <w:pPr>
              <w:jc w:val="center"/>
            </w:pPr>
            <w:r>
              <w:rPr>
                <w:b/>
                <w:bCs/>
                <w:color w:val="FFFFFF"/>
                <w:sz w:val="18"/>
                <w:szCs w:val="18"/>
              </w:rPr>
              <w:t xml:space="preserve">NDCG@50</w:t>
            </w:r>
          </w:p>
        </w:tc>
        <w:tc>
          <w:tcPr>
            <w:tcW w:type="dxa" w:w="2325"/>
            <w:shd w:fill="5B3DF5" w:val="clear"/>
            <w:tcMar>
              <w:top w:type="dxa" w:w="60"/>
              <w:left w:type="dxa" w:w="80"/>
              <w:bottom w:type="dxa" w:w="60"/>
              <w:right w:type="dxa" w:w="80"/>
            </w:tcMar>
            <w:vAlign w:val="center"/>
          </w:tcPr>
          <w:p>
            <w:pPr>
              <w:jc w:val="center"/>
            </w:pPr>
            <w:r>
              <w:rPr>
                <w:b/>
                <w:bCs/>
                <w:color w:val="FFFFFF"/>
                <w:sz w:val="18"/>
                <w:szCs w:val="18"/>
              </w:rPr>
              <w:t xml:space="preserve">Recall@50</w:t>
            </w:r>
          </w:p>
        </w:tc>
      </w:tr>
      <w:tr>
        <w:tc>
          <w:tcPr>
            <w:tcW w:type="dxa" w:w="2600"/>
            <w:tcMar>
              <w:top w:type="dxa" w:w="60"/>
              <w:left w:type="dxa" w:w="80"/>
              <w:bottom w:type="dxa" w:w="60"/>
              <w:right w:type="dxa" w:w="80"/>
            </w:tcMar>
            <w:vAlign w:val="center"/>
          </w:tcPr>
          <w:p>
            <w:r>
              <w:t xml:space="preserve">MostPopular</w:t>
            </w:r>
          </w:p>
        </w:tc>
        <w:tc>
          <w:tcPr>
            <w:tcW w:type="dxa" w:w="2325"/>
            <w:tcMar>
              <w:top w:type="dxa" w:w="60"/>
              <w:left w:type="dxa" w:w="80"/>
              <w:bottom w:type="dxa" w:w="60"/>
              <w:right w:type="dxa" w:w="80"/>
            </w:tcMar>
            <w:vAlign w:val="center"/>
          </w:tcPr>
          <w:p>
            <w:pPr>
              <w:jc w:val="center"/>
            </w:pPr>
            <w:r>
              <w:t xml:space="preserve">0.0328</w:t>
            </w:r>
          </w:p>
        </w:tc>
        <w:tc>
          <w:tcPr>
            <w:tcW w:type="dxa" w:w="2325"/>
            <w:tcMar>
              <w:top w:type="dxa" w:w="60"/>
              <w:left w:type="dxa" w:w="80"/>
              <w:bottom w:type="dxa" w:w="60"/>
              <w:right w:type="dxa" w:w="80"/>
            </w:tcMar>
            <w:vAlign w:val="center"/>
          </w:tcPr>
          <w:p>
            <w:pPr>
              <w:jc w:val="center"/>
            </w:pPr>
            <w:r>
              <w:t xml:space="preserve">0.0898</w:t>
            </w:r>
          </w:p>
        </w:tc>
        <w:tc>
          <w:tcPr>
            <w:tcW w:type="dxa" w:w="2325"/>
            <w:tcMar>
              <w:top w:type="dxa" w:w="60"/>
              <w:left w:type="dxa" w:w="80"/>
              <w:bottom w:type="dxa" w:w="60"/>
              <w:right w:type="dxa" w:w="80"/>
            </w:tcMar>
            <w:vAlign w:val="center"/>
          </w:tcPr>
          <w:p>
            <w:pPr>
              <w:jc w:val="center"/>
            </w:pPr>
            <w:r>
              <w:t xml:space="preserve">0.0504</w:t>
            </w:r>
          </w:p>
        </w:tc>
        <w:tc>
          <w:tcPr>
            <w:tcW w:type="dxa" w:w="2325"/>
            <w:tcMar>
              <w:top w:type="dxa" w:w="60"/>
              <w:left w:type="dxa" w:w="80"/>
              <w:bottom w:type="dxa" w:w="60"/>
              <w:right w:type="dxa" w:w="80"/>
            </w:tcMar>
            <w:vAlign w:val="center"/>
          </w:tcPr>
          <w:p>
            <w:pPr>
              <w:jc w:val="center"/>
            </w:pPr>
            <w:r>
              <w:t xml:space="preserve">0.1791</w:t>
            </w:r>
          </w:p>
        </w:tc>
      </w:tr>
      <w:tr>
        <w:tc>
          <w:tcPr>
            <w:tcW w:type="dxa" w:w="2600"/>
            <w:tcMar>
              <w:top w:type="dxa" w:w="60"/>
              <w:left w:type="dxa" w:w="80"/>
              <w:bottom w:type="dxa" w:w="60"/>
              <w:right w:type="dxa" w:w="80"/>
            </w:tcMar>
            <w:vAlign w:val="center"/>
          </w:tcPr>
          <w:p>
            <w:r>
              <w:t xml:space="preserve">Item-kNN</w:t>
            </w:r>
          </w:p>
        </w:tc>
        <w:tc>
          <w:tcPr>
            <w:tcW w:type="dxa" w:w="2325"/>
            <w:tcMar>
              <w:top w:type="dxa" w:w="60"/>
              <w:left w:type="dxa" w:w="80"/>
              <w:bottom w:type="dxa" w:w="60"/>
              <w:right w:type="dxa" w:w="80"/>
            </w:tcMar>
            <w:vAlign w:val="center"/>
          </w:tcPr>
          <w:p>
            <w:pPr>
              <w:jc w:val="center"/>
            </w:pPr>
            <w:r>
              <w:t xml:space="preserve">0.0628</w:t>
            </w:r>
          </w:p>
        </w:tc>
        <w:tc>
          <w:tcPr>
            <w:tcW w:type="dxa" w:w="2325"/>
            <w:tcMar>
              <w:top w:type="dxa" w:w="60"/>
              <w:left w:type="dxa" w:w="80"/>
              <w:bottom w:type="dxa" w:w="60"/>
              <w:right w:type="dxa" w:w="80"/>
            </w:tcMar>
            <w:vAlign w:val="center"/>
          </w:tcPr>
          <w:p>
            <w:pPr>
              <w:jc w:val="center"/>
            </w:pPr>
            <w:r>
              <w:t xml:space="preserve">0.1502</w:t>
            </w:r>
          </w:p>
        </w:tc>
        <w:tc>
          <w:tcPr>
            <w:tcW w:type="dxa" w:w="2325"/>
            <w:tcMar>
              <w:top w:type="dxa" w:w="60"/>
              <w:left w:type="dxa" w:w="80"/>
              <w:bottom w:type="dxa" w:w="60"/>
              <w:right w:type="dxa" w:w="80"/>
            </w:tcMar>
            <w:vAlign w:val="center"/>
          </w:tcPr>
          <w:p>
            <w:pPr>
              <w:jc w:val="center"/>
            </w:pPr>
            <w:r>
              <w:t xml:space="preserve">0.0864</w:t>
            </w:r>
          </w:p>
        </w:tc>
        <w:tc>
          <w:tcPr>
            <w:tcW w:type="dxa" w:w="2325"/>
            <w:tcMar>
              <w:top w:type="dxa" w:w="60"/>
              <w:left w:type="dxa" w:w="80"/>
              <w:bottom w:type="dxa" w:w="60"/>
              <w:right w:type="dxa" w:w="80"/>
            </w:tcMar>
            <w:vAlign w:val="center"/>
          </w:tcPr>
          <w:p>
            <w:pPr>
              <w:jc w:val="center"/>
            </w:pPr>
            <w:r>
              <w:t xml:space="preserve">0.2697</w:t>
            </w:r>
          </w:p>
        </w:tc>
      </w:tr>
      <w:tr>
        <w:tc>
          <w:tcPr>
            <w:tcW w:type="dxa" w:w="2600"/>
            <w:tcMar>
              <w:top w:type="dxa" w:w="60"/>
              <w:left w:type="dxa" w:w="80"/>
              <w:bottom w:type="dxa" w:w="60"/>
              <w:right w:type="dxa" w:w="80"/>
            </w:tcMar>
            <w:vAlign w:val="center"/>
          </w:tcPr>
          <w:p>
            <w:r>
              <w:t xml:space="preserve">BPR-MF</w:t>
            </w:r>
          </w:p>
        </w:tc>
        <w:tc>
          <w:tcPr>
            <w:tcW w:type="dxa" w:w="2325"/>
            <w:tcMar>
              <w:top w:type="dxa" w:w="60"/>
              <w:left w:type="dxa" w:w="80"/>
              <w:bottom w:type="dxa" w:w="60"/>
              <w:right w:type="dxa" w:w="80"/>
            </w:tcMar>
            <w:vAlign w:val="center"/>
          </w:tcPr>
          <w:p>
            <w:pPr>
              <w:jc w:val="center"/>
            </w:pPr>
            <w:r>
              <w:t xml:space="preserve">0.0406</w:t>
            </w:r>
          </w:p>
        </w:tc>
        <w:tc>
          <w:tcPr>
            <w:tcW w:type="dxa" w:w="2325"/>
            <w:tcMar>
              <w:top w:type="dxa" w:w="60"/>
              <w:left w:type="dxa" w:w="80"/>
              <w:bottom w:type="dxa" w:w="60"/>
              <w:right w:type="dxa" w:w="80"/>
            </w:tcMar>
            <w:vAlign w:val="center"/>
          </w:tcPr>
          <w:p>
            <w:pPr>
              <w:jc w:val="center"/>
            </w:pPr>
            <w:r>
              <w:t xml:space="preserve">0.1081</w:t>
            </w:r>
          </w:p>
        </w:tc>
        <w:tc>
          <w:tcPr>
            <w:tcW w:type="dxa" w:w="2325"/>
            <w:tcMar>
              <w:top w:type="dxa" w:w="60"/>
              <w:left w:type="dxa" w:w="80"/>
              <w:bottom w:type="dxa" w:w="60"/>
              <w:right w:type="dxa" w:w="80"/>
            </w:tcMar>
            <w:vAlign w:val="center"/>
          </w:tcPr>
          <w:p>
            <w:pPr>
              <w:jc w:val="center"/>
            </w:pPr>
            <w:r>
              <w:t xml:space="preserve">0.0610</w:t>
            </w:r>
          </w:p>
        </w:tc>
        <w:tc>
          <w:tcPr>
            <w:tcW w:type="dxa" w:w="2325"/>
            <w:tcMar>
              <w:top w:type="dxa" w:w="60"/>
              <w:left w:type="dxa" w:w="80"/>
              <w:bottom w:type="dxa" w:w="60"/>
              <w:right w:type="dxa" w:w="80"/>
            </w:tcMar>
            <w:vAlign w:val="center"/>
          </w:tcPr>
          <w:p>
            <w:pPr>
              <w:jc w:val="center"/>
            </w:pPr>
            <w:r>
              <w:t xml:space="preserve">0.2116</w:t>
            </w:r>
          </w:p>
        </w:tc>
      </w:tr>
      <w:tr>
        <w:tc>
          <w:tcPr>
            <w:tcW w:type="dxa" w:w="2600"/>
            <w:tcMar>
              <w:top w:type="dxa" w:w="60"/>
              <w:left w:type="dxa" w:w="80"/>
              <w:bottom w:type="dxa" w:w="60"/>
              <w:right w:type="dxa" w:w="80"/>
            </w:tcMar>
            <w:vAlign w:val="center"/>
          </w:tcPr>
          <w:p>
            <w:r>
              <w:t xml:space="preserve">LightGCN</w:t>
            </w:r>
          </w:p>
        </w:tc>
        <w:tc>
          <w:tcPr>
            <w:tcW w:type="dxa" w:w="2325"/>
            <w:tcMar>
              <w:top w:type="dxa" w:w="60"/>
              <w:left w:type="dxa" w:w="80"/>
              <w:bottom w:type="dxa" w:w="60"/>
              <w:right w:type="dxa" w:w="80"/>
            </w:tcMar>
            <w:vAlign w:val="center"/>
          </w:tcPr>
          <w:p>
            <w:pPr>
              <w:jc w:val="center"/>
            </w:pPr>
            <w:r>
              <w:t xml:space="preserve">0.0510</w:t>
            </w:r>
          </w:p>
        </w:tc>
        <w:tc>
          <w:tcPr>
            <w:tcW w:type="dxa" w:w="2325"/>
            <w:tcMar>
              <w:top w:type="dxa" w:w="60"/>
              <w:left w:type="dxa" w:w="80"/>
              <w:bottom w:type="dxa" w:w="60"/>
              <w:right w:type="dxa" w:w="80"/>
            </w:tcMar>
            <w:vAlign w:val="center"/>
          </w:tcPr>
          <w:p>
            <w:pPr>
              <w:jc w:val="center"/>
            </w:pPr>
            <w:r>
              <w:t xml:space="preserve">0.1257</w:t>
            </w:r>
          </w:p>
        </w:tc>
        <w:tc>
          <w:tcPr>
            <w:tcW w:type="dxa" w:w="2325"/>
            <w:tcMar>
              <w:top w:type="dxa" w:w="60"/>
              <w:left w:type="dxa" w:w="80"/>
              <w:bottom w:type="dxa" w:w="60"/>
              <w:right w:type="dxa" w:w="80"/>
            </w:tcMar>
            <w:vAlign w:val="center"/>
          </w:tcPr>
          <w:p>
            <w:pPr>
              <w:jc w:val="center"/>
            </w:pPr>
            <w:r>
              <w:t xml:space="preserve">0.0743</w:t>
            </w:r>
          </w:p>
        </w:tc>
        <w:tc>
          <w:tcPr>
            <w:tcW w:type="dxa" w:w="2325"/>
            <w:tcMar>
              <w:top w:type="dxa" w:w="60"/>
              <w:left w:type="dxa" w:w="80"/>
              <w:bottom w:type="dxa" w:w="60"/>
              <w:right w:type="dxa" w:w="80"/>
            </w:tcMar>
            <w:vAlign w:val="center"/>
          </w:tcPr>
          <w:p>
            <w:pPr>
              <w:jc w:val="center"/>
            </w:pPr>
            <w:r>
              <w:t xml:space="preserve">0.2439</w:t>
            </w:r>
          </w:p>
        </w:tc>
      </w:tr>
      <w:tr>
        <w:tc>
          <w:tcPr>
            <w:tcW w:type="dxa" w:w="2600"/>
            <w:shd w:fill="FFF2CC" w:val="clear"/>
            <w:tcMar>
              <w:top w:type="dxa" w:w="60"/>
              <w:left w:type="dxa" w:w="80"/>
              <w:bottom w:type="dxa" w:w="60"/>
              <w:right w:type="dxa" w:w="80"/>
            </w:tcMar>
            <w:vAlign w:val="center"/>
          </w:tcPr>
          <w:p>
            <w:r>
              <w:rPr>
                <w:b/>
                <w:bCs/>
              </w:rPr>
              <w:t xml:space="preserve">CGNF (proposed)</w:t>
            </w:r>
          </w:p>
        </w:tc>
        <w:tc>
          <w:tcPr>
            <w:tcW w:type="dxa" w:w="2325"/>
            <w:shd w:fill="FFF2CC" w:val="clear"/>
            <w:tcMar>
              <w:top w:type="dxa" w:w="60"/>
              <w:left w:type="dxa" w:w="80"/>
              <w:bottom w:type="dxa" w:w="60"/>
              <w:right w:type="dxa" w:w="80"/>
            </w:tcMar>
            <w:vAlign w:val="center"/>
          </w:tcPr>
          <w:p>
            <w:pPr>
              <w:jc w:val="center"/>
            </w:pPr>
            <w:r>
              <w:rPr>
                <w:b/>
                <w:bCs/>
              </w:rPr>
              <w:t xml:space="preserve">0.0707</w:t>
            </w:r>
          </w:p>
        </w:tc>
        <w:tc>
          <w:tcPr>
            <w:tcW w:type="dxa" w:w="2325"/>
            <w:shd w:fill="FFF2CC" w:val="clear"/>
            <w:tcMar>
              <w:top w:type="dxa" w:w="60"/>
              <w:left w:type="dxa" w:w="80"/>
              <w:bottom w:type="dxa" w:w="60"/>
              <w:right w:type="dxa" w:w="80"/>
            </w:tcMar>
            <w:vAlign w:val="center"/>
          </w:tcPr>
          <w:p>
            <w:pPr>
              <w:jc w:val="center"/>
            </w:pPr>
            <w:r>
              <w:rPr>
                <w:b/>
                <w:bCs/>
              </w:rPr>
              <w:t xml:space="preserve">0.1726</w:t>
            </w:r>
          </w:p>
        </w:tc>
        <w:tc>
          <w:tcPr>
            <w:tcW w:type="dxa" w:w="2325"/>
            <w:shd w:fill="FFF2CC" w:val="clear"/>
            <w:tcMar>
              <w:top w:type="dxa" w:w="60"/>
              <w:left w:type="dxa" w:w="80"/>
              <w:bottom w:type="dxa" w:w="60"/>
              <w:right w:type="dxa" w:w="80"/>
            </w:tcMar>
            <w:vAlign w:val="center"/>
          </w:tcPr>
          <w:p>
            <w:pPr>
              <w:jc w:val="center"/>
            </w:pPr>
            <w:r>
              <w:rPr>
                <w:b/>
                <w:bCs/>
              </w:rPr>
              <w:t xml:space="preserve">0.0953</w:t>
            </w:r>
          </w:p>
        </w:tc>
        <w:tc>
          <w:tcPr>
            <w:tcW w:type="dxa" w:w="2325"/>
            <w:shd w:fill="FFF2CC" w:val="clear"/>
            <w:tcMar>
              <w:top w:type="dxa" w:w="60"/>
              <w:left w:type="dxa" w:w="80"/>
              <w:bottom w:type="dxa" w:w="60"/>
              <w:right w:type="dxa" w:w="80"/>
            </w:tcMar>
            <w:vAlign w:val="center"/>
          </w:tcPr>
          <w:p>
            <w:pPr>
              <w:jc w:val="center"/>
            </w:pPr>
            <w:r>
              <w:rPr>
                <w:b/>
                <w:bCs/>
              </w:rPr>
              <w:t xml:space="preserve">0.2975</w:t>
            </w:r>
          </w:p>
        </w:tc>
      </w:tr>
    </w:tbl>
    <w:p>
      <w:pPr>
        <w:spacing w:after="100" w:before="200"/>
      </w:pPr>
      <w:r>
        <w:t xml:space="preserve">CGNF internal ablation:</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gridCol w:w="2900"/>
      </w:tblGrid>
      <w:tr>
        <w:trPr>
          <w:tblHeader/>
        </w:trPr>
        <w:tc>
          <w:tcPr>
            <w:tcW w:type="dxa" w:w="4200"/>
            <w:shd w:fill="5B3DF5" w:val="clear"/>
            <w:tcMar>
              <w:top w:type="dxa" w:w="60"/>
              <w:left w:type="dxa" w:w="80"/>
              <w:bottom w:type="dxa" w:w="60"/>
              <w:right w:type="dxa" w:w="80"/>
            </w:tcMar>
            <w:vAlign w:val="center"/>
          </w:tcPr>
          <w:p>
            <w:pPr>
              <w:jc w:val="center"/>
            </w:pPr>
            <w:r>
              <w:rPr>
                <w:b/>
                <w:bCs/>
                <w:color w:val="FFFFFF"/>
                <w:sz w:val="18"/>
                <w:szCs w:val="18"/>
              </w:rPr>
              <w:t xml:space="preserve">Configuration</w:t>
            </w:r>
          </w:p>
        </w:tc>
        <w:tc>
          <w:tcPr>
            <w:tcW w:type="dxa" w:w="2400"/>
            <w:shd w:fill="5B3DF5" w:val="clear"/>
            <w:tcMar>
              <w:top w:type="dxa" w:w="60"/>
              <w:left w:type="dxa" w:w="80"/>
              <w:bottom w:type="dxa" w:w="60"/>
              <w:right w:type="dxa" w:w="80"/>
            </w:tcMar>
            <w:vAlign w:val="center"/>
          </w:tcPr>
          <w:p>
            <w:pPr>
              <w:jc w:val="center"/>
            </w:pPr>
            <w:r>
              <w:rPr>
                <w:b/>
                <w:bCs/>
                <w:color w:val="FFFFFF"/>
                <w:sz w:val="18"/>
                <w:szCs w:val="18"/>
              </w:rPr>
              <w:t xml:space="preserve">NDCG@20</w:t>
            </w:r>
          </w:p>
        </w:tc>
        <w:tc>
          <w:tcPr>
            <w:tcW w:type="dxa" w:w="2400"/>
            <w:shd w:fill="5B3DF5" w:val="clear"/>
            <w:tcMar>
              <w:top w:type="dxa" w:w="60"/>
              <w:left w:type="dxa" w:w="80"/>
              <w:bottom w:type="dxa" w:w="60"/>
              <w:right w:type="dxa" w:w="80"/>
            </w:tcMar>
            <w:vAlign w:val="center"/>
          </w:tcPr>
          <w:p>
            <w:pPr>
              <w:jc w:val="center"/>
            </w:pPr>
            <w:r>
              <w:rPr>
                <w:b/>
                <w:bCs/>
                <w:color w:val="FFFFFF"/>
                <w:sz w:val="18"/>
                <w:szCs w:val="18"/>
              </w:rPr>
              <w:t xml:space="preserve">Recall@20</w:t>
            </w:r>
          </w:p>
        </w:tc>
        <w:tc>
          <w:tcPr>
            <w:tcW w:type="dxa" w:w="2900"/>
            <w:shd w:fill="5B3DF5" w:val="clear"/>
            <w:tcMar>
              <w:top w:type="dxa" w:w="60"/>
              <w:left w:type="dxa" w:w="80"/>
              <w:bottom w:type="dxa" w:w="60"/>
              <w:right w:type="dxa" w:w="80"/>
            </w:tcMar>
            <w:vAlign w:val="center"/>
          </w:tcPr>
          <w:p>
            <w:pPr>
              <w:jc w:val="center"/>
            </w:pPr>
            <w:r>
              <w:rPr>
                <w:b/>
                <w:bCs/>
                <w:color w:val="FFFFFF"/>
                <w:sz w:val="18"/>
                <w:szCs w:val="18"/>
              </w:rPr>
              <w:t xml:space="preserve">Edges kept / before</w:t>
            </w:r>
          </w:p>
        </w:tc>
      </w:tr>
      <w:tr>
        <w:tc>
          <w:tcPr>
            <w:tcW w:type="dxa" w:w="4200"/>
            <w:tcMar>
              <w:top w:type="dxa" w:w="60"/>
              <w:left w:type="dxa" w:w="80"/>
              <w:bottom w:type="dxa" w:w="60"/>
              <w:right w:type="dxa" w:w="80"/>
            </w:tcMar>
            <w:vAlign w:val="center"/>
          </w:tcPr>
          <w:p>
            <w:r>
              <w:t xml:space="preserve">CGNF − both (plain community CF)</w:t>
            </w:r>
          </w:p>
        </w:tc>
        <w:tc>
          <w:tcPr>
            <w:tcW w:type="dxa" w:w="2400"/>
            <w:tcMar>
              <w:top w:type="dxa" w:w="60"/>
              <w:left w:type="dxa" w:w="80"/>
              <w:bottom w:type="dxa" w:w="60"/>
              <w:right w:type="dxa" w:w="80"/>
            </w:tcMar>
            <w:vAlign w:val="center"/>
          </w:tcPr>
          <w:p>
            <w:pPr>
              <w:jc w:val="center"/>
            </w:pPr>
            <w:r>
              <w:t xml:space="preserve">0.0677</w:t>
            </w:r>
          </w:p>
        </w:tc>
        <w:tc>
          <w:tcPr>
            <w:tcW w:type="dxa" w:w="2400"/>
            <w:tcMar>
              <w:top w:type="dxa" w:w="60"/>
              <w:left w:type="dxa" w:w="80"/>
              <w:bottom w:type="dxa" w:w="60"/>
              <w:right w:type="dxa" w:w="80"/>
            </w:tcMar>
            <w:vAlign w:val="center"/>
          </w:tcPr>
          <w:p>
            <w:pPr>
              <w:jc w:val="center"/>
            </w:pPr>
            <w:r>
              <w:t xml:space="preserve">0.1622</w:t>
            </w:r>
          </w:p>
        </w:tc>
        <w:tc>
          <w:tcPr>
            <w:tcW w:type="dxa" w:w="2900"/>
            <w:tcMar>
              <w:top w:type="dxa" w:w="60"/>
              <w:left w:type="dxa" w:w="80"/>
              <w:bottom w:type="dxa" w:w="60"/>
              <w:right w:type="dxa" w:w="80"/>
            </w:tcMar>
            <w:vAlign w:val="center"/>
          </w:tcPr>
          <w:p>
            <w:pPr>
              <w:jc w:val="center"/>
            </w:pPr>
            <w:r>
              <w:t xml:space="preserve">994,169 / 994,169</w:t>
            </w:r>
          </w:p>
        </w:tc>
      </w:tr>
      <w:tr>
        <w:tc>
          <w:tcPr>
            <w:tcW w:type="dxa" w:w="4200"/>
            <w:tcMar>
              <w:top w:type="dxa" w:w="60"/>
              <w:left w:type="dxa" w:w="80"/>
              <w:bottom w:type="dxa" w:w="60"/>
              <w:right w:type="dxa" w:w="80"/>
            </w:tcMar>
            <w:vAlign w:val="center"/>
          </w:tcPr>
          <w:p>
            <w:r>
              <w:t xml:space="preserve">CGNF − weighted modularity</w:t>
            </w:r>
          </w:p>
        </w:tc>
        <w:tc>
          <w:tcPr>
            <w:tcW w:type="dxa" w:w="2400"/>
            <w:tcMar>
              <w:top w:type="dxa" w:w="60"/>
              <w:left w:type="dxa" w:w="80"/>
              <w:bottom w:type="dxa" w:w="60"/>
              <w:right w:type="dxa" w:w="80"/>
            </w:tcMar>
            <w:vAlign w:val="center"/>
          </w:tcPr>
          <w:p>
            <w:pPr>
              <w:jc w:val="center"/>
            </w:pPr>
            <w:r>
              <w:t xml:space="preserve">0.0676</w:t>
            </w:r>
          </w:p>
        </w:tc>
        <w:tc>
          <w:tcPr>
            <w:tcW w:type="dxa" w:w="2400"/>
            <w:tcMar>
              <w:top w:type="dxa" w:w="60"/>
              <w:left w:type="dxa" w:w="80"/>
              <w:bottom w:type="dxa" w:w="60"/>
              <w:right w:type="dxa" w:w="80"/>
            </w:tcMar>
            <w:vAlign w:val="center"/>
          </w:tcPr>
          <w:p>
            <w:pPr>
              <w:jc w:val="center"/>
            </w:pPr>
            <w:r>
              <w:t xml:space="preserve">0.1631</w:t>
            </w:r>
          </w:p>
        </w:tc>
        <w:tc>
          <w:tcPr>
            <w:tcW w:type="dxa" w:w="2900"/>
            <w:tcMar>
              <w:top w:type="dxa" w:w="60"/>
              <w:left w:type="dxa" w:w="80"/>
              <w:bottom w:type="dxa" w:w="60"/>
              <w:right w:type="dxa" w:w="80"/>
            </w:tcMar>
            <w:vAlign w:val="center"/>
          </w:tcPr>
          <w:p>
            <w:pPr>
              <w:jc w:val="center"/>
            </w:pPr>
            <w:r>
              <w:t xml:space="preserve">986,505 / 994,169</w:t>
            </w:r>
          </w:p>
        </w:tc>
      </w:tr>
      <w:tr>
        <w:tc>
          <w:tcPr>
            <w:tcW w:type="dxa" w:w="4200"/>
            <w:tcMar>
              <w:top w:type="dxa" w:w="60"/>
              <w:left w:type="dxa" w:w="80"/>
              <w:bottom w:type="dxa" w:w="60"/>
              <w:right w:type="dxa" w:w="80"/>
            </w:tcMar>
            <w:vAlign w:val="center"/>
          </w:tcPr>
          <w:p>
            <w:r>
              <w:t xml:space="preserve">CGNF − edge reduction</w:t>
            </w:r>
          </w:p>
        </w:tc>
        <w:tc>
          <w:tcPr>
            <w:tcW w:type="dxa" w:w="2400"/>
            <w:tcMar>
              <w:top w:type="dxa" w:w="60"/>
              <w:left w:type="dxa" w:w="80"/>
              <w:bottom w:type="dxa" w:w="60"/>
              <w:right w:type="dxa" w:w="80"/>
            </w:tcMar>
            <w:vAlign w:val="center"/>
          </w:tcPr>
          <w:p>
            <w:pPr>
              <w:jc w:val="center"/>
            </w:pPr>
            <w:r>
              <w:t xml:space="preserve">0.0709</w:t>
            </w:r>
          </w:p>
        </w:tc>
        <w:tc>
          <w:tcPr>
            <w:tcW w:type="dxa" w:w="2400"/>
            <w:tcMar>
              <w:top w:type="dxa" w:w="60"/>
              <w:left w:type="dxa" w:w="80"/>
              <w:bottom w:type="dxa" w:w="60"/>
              <w:right w:type="dxa" w:w="80"/>
            </w:tcMar>
            <w:vAlign w:val="center"/>
          </w:tcPr>
          <w:p>
            <w:pPr>
              <w:jc w:val="center"/>
            </w:pPr>
            <w:r>
              <w:t xml:space="preserve">0.1715</w:t>
            </w:r>
          </w:p>
        </w:tc>
        <w:tc>
          <w:tcPr>
            <w:tcW w:type="dxa" w:w="2900"/>
            <w:tcMar>
              <w:top w:type="dxa" w:w="60"/>
              <w:left w:type="dxa" w:w="80"/>
              <w:bottom w:type="dxa" w:w="60"/>
              <w:right w:type="dxa" w:w="80"/>
            </w:tcMar>
            <w:vAlign w:val="center"/>
          </w:tcPr>
          <w:p>
            <w:pPr>
              <w:jc w:val="center"/>
            </w:pPr>
            <w:r>
              <w:t xml:space="preserve">994,169 / 994,169</w:t>
            </w:r>
          </w:p>
        </w:tc>
      </w:tr>
      <w:tr>
        <w:tc>
          <w:tcPr>
            <w:tcW w:type="dxa" w:w="4200"/>
            <w:shd w:fill="FFF2CC" w:val="clear"/>
            <w:tcMar>
              <w:top w:type="dxa" w:w="60"/>
              <w:left w:type="dxa" w:w="80"/>
              <w:bottom w:type="dxa" w:w="60"/>
              <w:right w:type="dxa" w:w="80"/>
            </w:tcMar>
            <w:vAlign w:val="center"/>
          </w:tcPr>
          <w:p>
            <w:r>
              <w:rPr>
                <w:b/>
                <w:bCs/>
              </w:rPr>
              <w:t xml:space="preserve">Full CGNF</w:t>
            </w:r>
          </w:p>
        </w:tc>
        <w:tc>
          <w:tcPr>
            <w:tcW w:type="dxa" w:w="2400"/>
            <w:shd w:fill="FFF2CC" w:val="clear"/>
            <w:tcMar>
              <w:top w:type="dxa" w:w="60"/>
              <w:left w:type="dxa" w:w="80"/>
              <w:bottom w:type="dxa" w:w="60"/>
              <w:right w:type="dxa" w:w="80"/>
            </w:tcMar>
            <w:vAlign w:val="center"/>
          </w:tcPr>
          <w:p>
            <w:pPr>
              <w:jc w:val="center"/>
            </w:pPr>
            <w:r>
              <w:rPr>
                <w:b/>
                <w:bCs/>
              </w:rPr>
              <w:t xml:space="preserve">0.0707</w:t>
            </w:r>
          </w:p>
        </w:tc>
        <w:tc>
          <w:tcPr>
            <w:tcW w:type="dxa" w:w="2400"/>
            <w:shd w:fill="FFF2CC" w:val="clear"/>
            <w:tcMar>
              <w:top w:type="dxa" w:w="60"/>
              <w:left w:type="dxa" w:w="80"/>
              <w:bottom w:type="dxa" w:w="60"/>
              <w:right w:type="dxa" w:w="80"/>
            </w:tcMar>
            <w:vAlign w:val="center"/>
          </w:tcPr>
          <w:p>
            <w:pPr>
              <w:jc w:val="center"/>
            </w:pPr>
            <w:r>
              <w:rPr>
                <w:b/>
                <w:bCs/>
              </w:rPr>
              <w:t xml:space="preserve">0.1726</w:t>
            </w:r>
          </w:p>
        </w:tc>
        <w:tc>
          <w:tcPr>
            <w:tcW w:type="dxa" w:w="2900"/>
            <w:shd w:fill="FFF2CC" w:val="clear"/>
            <w:tcMar>
              <w:top w:type="dxa" w:w="60"/>
              <w:left w:type="dxa" w:w="80"/>
              <w:bottom w:type="dxa" w:w="60"/>
              <w:right w:type="dxa" w:w="80"/>
            </w:tcMar>
            <w:vAlign w:val="center"/>
          </w:tcPr>
          <w:p>
            <w:pPr>
              <w:jc w:val="center"/>
            </w:pPr>
            <w:r>
              <w:rPr>
                <w:b/>
                <w:bCs/>
              </w:rPr>
              <w:t xml:space="preserve">987,054 / 994,169</w:t>
            </w:r>
          </w:p>
        </w:tc>
      </w:tr>
    </w:tbl>
    <w:p>
      <w:pPr>
        <w:spacing w:after="100" w:before="200"/>
      </w:pPr>
      <w:r>
        <w:t xml:space="preserve">Diversity:</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100"/>
        <w:gridCol w:w="3100"/>
      </w:tblGrid>
      <w:tr>
        <w:trPr>
          <w:tblHeader/>
        </w:trPr>
        <w:tc>
          <w:tcPr>
            <w:tcW w:type="dxa" w:w="2600"/>
            <w:shd w:fill="5B3DF5" w:val="clear"/>
            <w:tcMar>
              <w:top w:type="dxa" w:w="60"/>
              <w:left w:type="dxa" w:w="80"/>
              <w:bottom w:type="dxa" w:w="60"/>
              <w:right w:type="dxa" w:w="80"/>
            </w:tcMar>
            <w:vAlign w:val="center"/>
          </w:tcPr>
          <w:p>
            <w:pPr>
              <w:jc w:val="center"/>
            </w:pPr>
            <w:r>
              <w:rPr>
                <w:b/>
                <w:bCs/>
                <w:color w:val="FFFFFF"/>
                <w:sz w:val="18"/>
                <w:szCs w:val="18"/>
              </w:rPr>
              <w:t xml:space="preserve">Method</w:t>
            </w:r>
          </w:p>
        </w:tc>
        <w:tc>
          <w:tcPr>
            <w:tcW w:type="dxa" w:w="3100"/>
            <w:shd w:fill="5B3DF5" w:val="clear"/>
            <w:tcMar>
              <w:top w:type="dxa" w:w="60"/>
              <w:left w:type="dxa" w:w="80"/>
              <w:bottom w:type="dxa" w:w="60"/>
              <w:right w:type="dxa" w:w="80"/>
            </w:tcMar>
            <w:vAlign w:val="center"/>
          </w:tcPr>
          <w:p>
            <w:pPr>
              <w:jc w:val="center"/>
            </w:pPr>
            <w:r>
              <w:rPr>
                <w:b/>
                <w:bCs/>
                <w:color w:val="FFFFFF"/>
                <w:sz w:val="18"/>
                <w:szCs w:val="18"/>
              </w:rPr>
              <w:t xml:space="preserve">Coverage</w:t>
            </w:r>
          </w:p>
        </w:tc>
        <w:tc>
          <w:tcPr>
            <w:tcW w:type="dxa" w:w="3100"/>
            <w:shd w:fill="5B3DF5" w:val="clear"/>
            <w:tcMar>
              <w:top w:type="dxa" w:w="60"/>
              <w:left w:type="dxa" w:w="80"/>
              <w:bottom w:type="dxa" w:w="60"/>
              <w:right w:type="dxa" w:w="80"/>
            </w:tcMar>
            <w:vAlign w:val="center"/>
          </w:tcPr>
          <w:p>
            <w:pPr>
              <w:jc w:val="center"/>
            </w:pPr>
            <w:r>
              <w:rPr>
                <w:b/>
                <w:bCs/>
                <w:color w:val="FFFFFF"/>
                <w:sz w:val="18"/>
                <w:szCs w:val="18"/>
              </w:rPr>
              <w:t xml:space="preserve">Novelty</w:t>
            </w:r>
          </w:p>
        </w:tc>
        <w:tc>
          <w:tcPr>
            <w:tcW w:type="dxa" w:w="3100"/>
            <w:shd w:fill="5B3DF5" w:val="clear"/>
            <w:tcMar>
              <w:top w:type="dxa" w:w="60"/>
              <w:left w:type="dxa" w:w="80"/>
              <w:bottom w:type="dxa" w:w="60"/>
              <w:right w:type="dxa" w:w="80"/>
            </w:tcMar>
            <w:vAlign w:val="center"/>
          </w:tcPr>
          <w:p>
            <w:pPr>
              <w:jc w:val="center"/>
            </w:pPr>
            <w:r>
              <w:rPr>
                <w:b/>
                <w:bCs/>
                <w:color w:val="FFFFFF"/>
                <w:sz w:val="18"/>
                <w:szCs w:val="18"/>
              </w:rPr>
              <w:t xml:space="preserve">Intra-list diversity</w:t>
            </w:r>
          </w:p>
        </w:tc>
      </w:tr>
      <w:tr>
        <w:tc>
          <w:tcPr>
            <w:tcW w:type="dxa" w:w="2600"/>
            <w:tcMar>
              <w:top w:type="dxa" w:w="60"/>
              <w:left w:type="dxa" w:w="80"/>
              <w:bottom w:type="dxa" w:w="60"/>
              <w:right w:type="dxa" w:w="80"/>
            </w:tcMar>
            <w:vAlign w:val="center"/>
          </w:tcPr>
          <w:p>
            <w:r>
              <w:t xml:space="preserve">MostPopular</w:t>
            </w:r>
          </w:p>
        </w:tc>
        <w:tc>
          <w:tcPr>
            <w:tcW w:type="dxa" w:w="3100"/>
            <w:tcMar>
              <w:top w:type="dxa" w:w="60"/>
              <w:left w:type="dxa" w:w="80"/>
              <w:bottom w:type="dxa" w:w="60"/>
              <w:right w:type="dxa" w:w="80"/>
            </w:tcMar>
            <w:vAlign w:val="center"/>
          </w:tcPr>
          <w:p>
            <w:pPr>
              <w:jc w:val="center"/>
            </w:pPr>
            <w:r>
              <w:t xml:space="preserve">5.9%</w:t>
            </w:r>
          </w:p>
        </w:tc>
        <w:tc>
          <w:tcPr>
            <w:tcW w:type="dxa" w:w="3100"/>
            <w:tcMar>
              <w:top w:type="dxa" w:w="60"/>
              <w:left w:type="dxa" w:w="80"/>
              <w:bottom w:type="dxa" w:w="60"/>
              <w:right w:type="dxa" w:w="80"/>
            </w:tcMar>
            <w:vAlign w:val="center"/>
          </w:tcPr>
          <w:p>
            <w:pPr>
              <w:jc w:val="center"/>
            </w:pPr>
            <w:r>
              <w:t xml:space="preserve">8.77</w:t>
            </w:r>
          </w:p>
        </w:tc>
        <w:tc>
          <w:tcPr>
            <w:tcW w:type="dxa" w:w="3100"/>
            <w:tcMar>
              <w:top w:type="dxa" w:w="60"/>
              <w:left w:type="dxa" w:w="80"/>
              <w:bottom w:type="dxa" w:w="60"/>
              <w:right w:type="dxa" w:w="80"/>
            </w:tcMar>
            <w:vAlign w:val="center"/>
          </w:tcPr>
          <w:p>
            <w:pPr>
              <w:jc w:val="center"/>
            </w:pPr>
            <w:r>
              <w:t xml:space="preserve">0.718</w:t>
            </w:r>
          </w:p>
        </w:tc>
      </w:tr>
      <w:tr>
        <w:tc>
          <w:tcPr>
            <w:tcW w:type="dxa" w:w="2600"/>
            <w:tcMar>
              <w:top w:type="dxa" w:w="60"/>
              <w:left w:type="dxa" w:w="80"/>
              <w:bottom w:type="dxa" w:w="60"/>
              <w:right w:type="dxa" w:w="80"/>
            </w:tcMar>
            <w:vAlign w:val="center"/>
          </w:tcPr>
          <w:p>
            <w:r>
              <w:t xml:space="preserve">Item-kNN</w:t>
            </w:r>
          </w:p>
        </w:tc>
        <w:tc>
          <w:tcPr>
            <w:tcW w:type="dxa" w:w="3100"/>
            <w:tcMar>
              <w:top w:type="dxa" w:w="60"/>
              <w:left w:type="dxa" w:w="80"/>
              <w:bottom w:type="dxa" w:w="60"/>
              <w:right w:type="dxa" w:w="80"/>
            </w:tcMar>
            <w:vAlign w:val="center"/>
          </w:tcPr>
          <w:p>
            <w:pPr>
              <w:jc w:val="center"/>
            </w:pPr>
            <w:r>
              <w:t xml:space="preserve">17.7%</w:t>
            </w:r>
          </w:p>
        </w:tc>
        <w:tc>
          <w:tcPr>
            <w:tcW w:type="dxa" w:w="3100"/>
            <w:tcMar>
              <w:top w:type="dxa" w:w="60"/>
              <w:left w:type="dxa" w:w="80"/>
              <w:bottom w:type="dxa" w:w="60"/>
              <w:right w:type="dxa" w:w="80"/>
            </w:tcMar>
            <w:vAlign w:val="center"/>
          </w:tcPr>
          <w:p>
            <w:pPr>
              <w:jc w:val="center"/>
            </w:pPr>
            <w:r>
              <w:t xml:space="preserve">9.18</w:t>
            </w:r>
          </w:p>
        </w:tc>
        <w:tc>
          <w:tcPr>
            <w:tcW w:type="dxa" w:w="3100"/>
            <w:tcMar>
              <w:top w:type="dxa" w:w="60"/>
              <w:left w:type="dxa" w:w="80"/>
              <w:bottom w:type="dxa" w:w="60"/>
              <w:right w:type="dxa" w:w="80"/>
            </w:tcMar>
            <w:vAlign w:val="center"/>
          </w:tcPr>
          <w:p>
            <w:pPr>
              <w:jc w:val="center"/>
            </w:pPr>
            <w:r>
              <w:t xml:space="preserve">0.671</w:t>
            </w:r>
          </w:p>
        </w:tc>
      </w:tr>
      <w:tr>
        <w:tc>
          <w:tcPr>
            <w:tcW w:type="dxa" w:w="2600"/>
            <w:tcMar>
              <w:top w:type="dxa" w:w="60"/>
              <w:left w:type="dxa" w:w="80"/>
              <w:bottom w:type="dxa" w:w="60"/>
              <w:right w:type="dxa" w:w="80"/>
            </w:tcMar>
            <w:vAlign w:val="center"/>
          </w:tcPr>
          <w:p>
            <w:r>
              <w:t xml:space="preserve">BPR-MF</w:t>
            </w:r>
          </w:p>
        </w:tc>
        <w:tc>
          <w:tcPr>
            <w:tcW w:type="dxa" w:w="3100"/>
            <w:tcMar>
              <w:top w:type="dxa" w:w="60"/>
              <w:left w:type="dxa" w:w="80"/>
              <w:bottom w:type="dxa" w:w="60"/>
              <w:right w:type="dxa" w:w="80"/>
            </w:tcMar>
            <w:vAlign w:val="center"/>
          </w:tcPr>
          <w:p>
            <w:pPr>
              <w:jc w:val="center"/>
            </w:pPr>
            <w:r>
              <w:t xml:space="preserve">69.7%</w:t>
            </w:r>
          </w:p>
        </w:tc>
        <w:tc>
          <w:tcPr>
            <w:tcW w:type="dxa" w:w="3100"/>
            <w:tcMar>
              <w:top w:type="dxa" w:w="60"/>
              <w:left w:type="dxa" w:w="80"/>
              <w:bottom w:type="dxa" w:w="60"/>
              <w:right w:type="dxa" w:w="80"/>
            </w:tcMar>
            <w:vAlign w:val="center"/>
          </w:tcPr>
          <w:p>
            <w:pPr>
              <w:jc w:val="center"/>
            </w:pPr>
            <w:r>
              <w:t xml:space="preserve">10.38</w:t>
            </w:r>
          </w:p>
        </w:tc>
        <w:tc>
          <w:tcPr>
            <w:tcW w:type="dxa" w:w="3100"/>
            <w:tcMar>
              <w:top w:type="dxa" w:w="60"/>
              <w:left w:type="dxa" w:w="80"/>
              <w:bottom w:type="dxa" w:w="60"/>
              <w:right w:type="dxa" w:w="80"/>
            </w:tcMar>
            <w:vAlign w:val="center"/>
          </w:tcPr>
          <w:p>
            <w:pPr>
              <w:jc w:val="center"/>
            </w:pPr>
            <w:r>
              <w:t xml:space="preserve">0.639</w:t>
            </w:r>
          </w:p>
        </w:tc>
      </w:tr>
      <w:tr>
        <w:tc>
          <w:tcPr>
            <w:tcW w:type="dxa" w:w="2600"/>
            <w:tcMar>
              <w:top w:type="dxa" w:w="60"/>
              <w:left w:type="dxa" w:w="80"/>
              <w:bottom w:type="dxa" w:w="60"/>
              <w:right w:type="dxa" w:w="80"/>
            </w:tcMar>
            <w:vAlign w:val="center"/>
          </w:tcPr>
          <w:p>
            <w:r>
              <w:t xml:space="preserve">LightGCN</w:t>
            </w:r>
          </w:p>
        </w:tc>
        <w:tc>
          <w:tcPr>
            <w:tcW w:type="dxa" w:w="3100"/>
            <w:tcMar>
              <w:top w:type="dxa" w:w="60"/>
              <w:left w:type="dxa" w:w="80"/>
              <w:bottom w:type="dxa" w:w="60"/>
              <w:right w:type="dxa" w:w="80"/>
            </w:tcMar>
            <w:vAlign w:val="center"/>
          </w:tcPr>
          <w:p>
            <w:pPr>
              <w:jc w:val="center"/>
            </w:pPr>
            <w:r>
              <w:t xml:space="preserve">23.8%</w:t>
            </w:r>
          </w:p>
        </w:tc>
        <w:tc>
          <w:tcPr>
            <w:tcW w:type="dxa" w:w="3100"/>
            <w:tcMar>
              <w:top w:type="dxa" w:w="60"/>
              <w:left w:type="dxa" w:w="80"/>
              <w:bottom w:type="dxa" w:w="60"/>
              <w:right w:type="dxa" w:w="80"/>
            </w:tcMar>
            <w:vAlign w:val="center"/>
          </w:tcPr>
          <w:p>
            <w:pPr>
              <w:jc w:val="center"/>
            </w:pPr>
            <w:r>
              <w:t xml:space="preserve">9.25</w:t>
            </w:r>
          </w:p>
        </w:tc>
        <w:tc>
          <w:tcPr>
            <w:tcW w:type="dxa" w:w="3100"/>
            <w:tcMar>
              <w:top w:type="dxa" w:w="60"/>
              <w:left w:type="dxa" w:w="80"/>
              <w:bottom w:type="dxa" w:w="60"/>
              <w:right w:type="dxa" w:w="80"/>
            </w:tcMar>
            <w:vAlign w:val="center"/>
          </w:tcPr>
          <w:p>
            <w:pPr>
              <w:jc w:val="center"/>
            </w:pPr>
            <w:r>
              <w:t xml:space="preserve">0.667</w:t>
            </w:r>
          </w:p>
        </w:tc>
      </w:tr>
      <w:tr>
        <w:tc>
          <w:tcPr>
            <w:tcW w:type="dxa" w:w="2600"/>
            <w:shd w:fill="FFF2CC" w:val="clear"/>
            <w:tcMar>
              <w:top w:type="dxa" w:w="60"/>
              <w:left w:type="dxa" w:w="80"/>
              <w:bottom w:type="dxa" w:w="60"/>
              <w:right w:type="dxa" w:w="80"/>
            </w:tcMar>
            <w:vAlign w:val="center"/>
          </w:tcPr>
          <w:p>
            <w:r>
              <w:rPr>
                <w:b/>
                <w:bCs/>
              </w:rPr>
              <w:t xml:space="preserve">CGNF (proposed)</w:t>
            </w:r>
          </w:p>
        </w:tc>
        <w:tc>
          <w:tcPr>
            <w:tcW w:type="dxa" w:w="3100"/>
            <w:shd w:fill="FFF2CC" w:val="clear"/>
            <w:tcMar>
              <w:top w:type="dxa" w:w="60"/>
              <w:left w:type="dxa" w:w="80"/>
              <w:bottom w:type="dxa" w:w="60"/>
              <w:right w:type="dxa" w:w="80"/>
            </w:tcMar>
            <w:vAlign w:val="center"/>
          </w:tcPr>
          <w:p>
            <w:pPr>
              <w:jc w:val="center"/>
            </w:pPr>
            <w:r>
              <w:rPr>
                <w:b/>
                <w:bCs/>
              </w:rPr>
              <w:t xml:space="preserve">24.5%</w:t>
            </w:r>
          </w:p>
        </w:tc>
        <w:tc>
          <w:tcPr>
            <w:tcW w:type="dxa" w:w="3100"/>
            <w:shd w:fill="FFF2CC" w:val="clear"/>
            <w:tcMar>
              <w:top w:type="dxa" w:w="60"/>
              <w:left w:type="dxa" w:w="80"/>
              <w:bottom w:type="dxa" w:w="60"/>
              <w:right w:type="dxa" w:w="80"/>
            </w:tcMar>
            <w:vAlign w:val="center"/>
          </w:tcPr>
          <w:p>
            <w:pPr>
              <w:jc w:val="center"/>
            </w:pPr>
            <w:r>
              <w:rPr>
                <w:b/>
                <w:bCs/>
              </w:rPr>
              <w:t xml:space="preserve">9.44</w:t>
            </w:r>
          </w:p>
        </w:tc>
        <w:tc>
          <w:tcPr>
            <w:tcW w:type="dxa" w:w="3100"/>
            <w:shd w:fill="FFF2CC" w:val="clear"/>
            <w:tcMar>
              <w:top w:type="dxa" w:w="60"/>
              <w:left w:type="dxa" w:w="80"/>
              <w:bottom w:type="dxa" w:w="60"/>
              <w:right w:type="dxa" w:w="80"/>
            </w:tcMar>
            <w:vAlign w:val="center"/>
          </w:tcPr>
          <w:p>
            <w:pPr>
              <w:jc w:val="center"/>
            </w:pPr>
            <w:r>
              <w:rPr>
                <w:b/>
                <w:bCs/>
              </w:rPr>
              <w:t xml:space="preserve">0.666</w:t>
            </w:r>
          </w:p>
        </w:tc>
      </w:tr>
    </w:tbl>
    <w:p>
      <w:pPr>
        <w:spacing w:after="0" w:before="200"/>
      </w:pPr>
      <w:r>
        <w:t xml:space="preserve">Source: output/results/ — reproducible via scripts/app.sh start, then POST /api/runs with the config recorded in that output (seed=0).</w:t>
      </w:r>
    </w:p>
    <w:p>
      <w:r>
        <w:br w:type="page"/>
      </w:r>
    </w:p>
    <w:p>
      <w:pPr>
        <w:pStyle w:val="Heading1"/>
        <w:spacing w:after="160" w:before="200"/>
      </w:pPr>
      <w:r>
        <w:t xml:space="preserve">Appendix B — Multi-seed statistical validation (real, unedited)</w:t>
      </w:r>
    </w:p>
    <w:p>
      <w:pPr>
        <w:spacing w:after="140"/>
      </w:pPr>
      <w:r>
        <w:t xml:space="preserve">CGNF vs. the strongest baseline (Item-kNN) on NDCG@20, 5 seeds (0–4), same seeds for both methods per pair:</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2200"/>
        <w:gridCol w:w="1540"/>
        <w:gridCol w:w="1540"/>
        <w:gridCol w:w="1540"/>
        <w:gridCol w:w="1540"/>
        <w:gridCol w:w="1540"/>
        <w:gridCol w:w="2000"/>
      </w:tblGrid>
      <w:tr>
        <w:trPr>
          <w:tblHeader/>
        </w:trPr>
        <w:tc>
          <w:tcPr>
            <w:tcW w:type="dxa" w:w="2200"/>
            <w:shd w:fill="5B3DF5" w:val="clear"/>
            <w:tcMar>
              <w:top w:type="dxa" w:w="60"/>
              <w:left w:type="dxa" w:w="80"/>
              <w:bottom w:type="dxa" w:w="60"/>
              <w:right w:type="dxa" w:w="80"/>
            </w:tcMar>
            <w:vAlign w:val="center"/>
          </w:tcPr>
          <w:p>
            <w:pPr>
              <w:jc w:val="center"/>
            </w:pPr>
            <w:r>
              <w:rPr>
                <w:b/>
                <w:bCs/>
                <w:color w:val="FFFFFF"/>
                <w:sz w:val="18"/>
                <w:szCs w:val="18"/>
              </w:rPr>
              <w:t xml:space="preserve">Method</w:t>
            </w:r>
          </w:p>
        </w:tc>
        <w:tc>
          <w:tcPr>
            <w:tcW w:type="dxa" w:w="1540"/>
            <w:shd w:fill="5B3DF5" w:val="clear"/>
            <w:tcMar>
              <w:top w:type="dxa" w:w="60"/>
              <w:left w:type="dxa" w:w="80"/>
              <w:bottom w:type="dxa" w:w="60"/>
              <w:right w:type="dxa" w:w="80"/>
            </w:tcMar>
            <w:vAlign w:val="center"/>
          </w:tcPr>
          <w:p>
            <w:pPr>
              <w:jc w:val="center"/>
            </w:pPr>
            <w:r>
              <w:rPr>
                <w:b/>
                <w:bCs/>
                <w:color w:val="FFFFFF"/>
                <w:sz w:val="18"/>
                <w:szCs w:val="18"/>
              </w:rPr>
              <w:t xml:space="preserve">Seed 0</w:t>
            </w:r>
          </w:p>
        </w:tc>
        <w:tc>
          <w:tcPr>
            <w:tcW w:type="dxa" w:w="1540"/>
            <w:shd w:fill="5B3DF5" w:val="clear"/>
            <w:tcMar>
              <w:top w:type="dxa" w:w="60"/>
              <w:left w:type="dxa" w:w="80"/>
              <w:bottom w:type="dxa" w:w="60"/>
              <w:right w:type="dxa" w:w="80"/>
            </w:tcMar>
            <w:vAlign w:val="center"/>
          </w:tcPr>
          <w:p>
            <w:pPr>
              <w:jc w:val="center"/>
            </w:pPr>
            <w:r>
              <w:rPr>
                <w:b/>
                <w:bCs/>
                <w:color w:val="FFFFFF"/>
                <w:sz w:val="18"/>
                <w:szCs w:val="18"/>
              </w:rPr>
              <w:t xml:space="preserve">Seed 1</w:t>
            </w:r>
          </w:p>
        </w:tc>
        <w:tc>
          <w:tcPr>
            <w:tcW w:type="dxa" w:w="1540"/>
            <w:shd w:fill="5B3DF5" w:val="clear"/>
            <w:tcMar>
              <w:top w:type="dxa" w:w="60"/>
              <w:left w:type="dxa" w:w="80"/>
              <w:bottom w:type="dxa" w:w="60"/>
              <w:right w:type="dxa" w:w="80"/>
            </w:tcMar>
            <w:vAlign w:val="center"/>
          </w:tcPr>
          <w:p>
            <w:pPr>
              <w:jc w:val="center"/>
            </w:pPr>
            <w:r>
              <w:rPr>
                <w:b/>
                <w:bCs/>
                <w:color w:val="FFFFFF"/>
                <w:sz w:val="18"/>
                <w:szCs w:val="18"/>
              </w:rPr>
              <w:t xml:space="preserve">Seed 2</w:t>
            </w:r>
          </w:p>
        </w:tc>
        <w:tc>
          <w:tcPr>
            <w:tcW w:type="dxa" w:w="1540"/>
            <w:shd w:fill="5B3DF5" w:val="clear"/>
            <w:tcMar>
              <w:top w:type="dxa" w:w="60"/>
              <w:left w:type="dxa" w:w="80"/>
              <w:bottom w:type="dxa" w:w="60"/>
              <w:right w:type="dxa" w:w="80"/>
            </w:tcMar>
            <w:vAlign w:val="center"/>
          </w:tcPr>
          <w:p>
            <w:pPr>
              <w:jc w:val="center"/>
            </w:pPr>
            <w:r>
              <w:rPr>
                <w:b/>
                <w:bCs/>
                <w:color w:val="FFFFFF"/>
                <w:sz w:val="18"/>
                <w:szCs w:val="18"/>
              </w:rPr>
              <w:t xml:space="preserve">Seed 3</w:t>
            </w:r>
          </w:p>
        </w:tc>
        <w:tc>
          <w:tcPr>
            <w:tcW w:type="dxa" w:w="1540"/>
            <w:shd w:fill="5B3DF5" w:val="clear"/>
            <w:tcMar>
              <w:top w:type="dxa" w:w="60"/>
              <w:left w:type="dxa" w:w="80"/>
              <w:bottom w:type="dxa" w:w="60"/>
              <w:right w:type="dxa" w:w="80"/>
            </w:tcMar>
            <w:vAlign w:val="center"/>
          </w:tcPr>
          <w:p>
            <w:pPr>
              <w:jc w:val="center"/>
            </w:pPr>
            <w:r>
              <w:rPr>
                <w:b/>
                <w:bCs/>
                <w:color w:val="FFFFFF"/>
                <w:sz w:val="18"/>
                <w:szCs w:val="18"/>
              </w:rPr>
              <w:t xml:space="preserve">Seed 4</w:t>
            </w:r>
          </w:p>
        </w:tc>
        <w:tc>
          <w:tcPr>
            <w:tcW w:type="dxa" w:w="2000"/>
            <w:shd w:fill="5B3DF5" w:val="clear"/>
            <w:tcMar>
              <w:top w:type="dxa" w:w="60"/>
              <w:left w:type="dxa" w:w="80"/>
              <w:bottom w:type="dxa" w:w="60"/>
              <w:right w:type="dxa" w:w="80"/>
            </w:tcMar>
            <w:vAlign w:val="center"/>
          </w:tcPr>
          <w:p>
            <w:pPr>
              <w:jc w:val="center"/>
            </w:pPr>
            <w:r>
              <w:rPr>
                <w:b/>
                <w:bCs/>
                <w:color w:val="FFFFFF"/>
                <w:sz w:val="18"/>
                <w:szCs w:val="18"/>
              </w:rPr>
              <w:t xml:space="preserve">Mean ± SD</w:t>
            </w:r>
          </w:p>
        </w:tc>
      </w:tr>
      <w:tr>
        <w:tc>
          <w:tcPr>
            <w:tcW w:type="dxa" w:w="2200"/>
            <w:shd w:fill="FFF2CC" w:val="clear"/>
            <w:tcMar>
              <w:top w:type="dxa" w:w="60"/>
              <w:left w:type="dxa" w:w="80"/>
              <w:bottom w:type="dxa" w:w="60"/>
              <w:right w:type="dxa" w:w="80"/>
            </w:tcMar>
            <w:vAlign w:val="center"/>
          </w:tcPr>
          <w:p>
            <w:r>
              <w:rPr>
                <w:b/>
                <w:bCs/>
              </w:rPr>
              <w:t xml:space="preserve">CGNF (proposed)</w:t>
            </w:r>
          </w:p>
        </w:tc>
        <w:tc>
          <w:tcPr>
            <w:tcW w:type="dxa" w:w="1540"/>
            <w:shd w:fill="FFF2CC" w:val="clear"/>
            <w:tcMar>
              <w:top w:type="dxa" w:w="60"/>
              <w:left w:type="dxa" w:w="80"/>
              <w:bottom w:type="dxa" w:w="60"/>
              <w:right w:type="dxa" w:w="80"/>
            </w:tcMar>
            <w:vAlign w:val="center"/>
          </w:tcPr>
          <w:p>
            <w:pPr>
              <w:jc w:val="center"/>
            </w:pPr>
            <w:r>
              <w:rPr>
                <w:b/>
                <w:bCs/>
              </w:rPr>
              <w:t xml:space="preserve">0.0707</w:t>
            </w:r>
          </w:p>
        </w:tc>
        <w:tc>
          <w:tcPr>
            <w:tcW w:type="dxa" w:w="1540"/>
            <w:shd w:fill="FFF2CC" w:val="clear"/>
            <w:tcMar>
              <w:top w:type="dxa" w:w="60"/>
              <w:left w:type="dxa" w:w="80"/>
              <w:bottom w:type="dxa" w:w="60"/>
              <w:right w:type="dxa" w:w="80"/>
            </w:tcMar>
            <w:vAlign w:val="center"/>
          </w:tcPr>
          <w:p>
            <w:pPr>
              <w:jc w:val="center"/>
            </w:pPr>
            <w:r>
              <w:rPr>
                <w:b/>
                <w:bCs/>
              </w:rPr>
              <w:t xml:space="preserve">0.0712</w:t>
            </w:r>
          </w:p>
        </w:tc>
        <w:tc>
          <w:tcPr>
            <w:tcW w:type="dxa" w:w="1540"/>
            <w:shd w:fill="FFF2CC" w:val="clear"/>
            <w:tcMar>
              <w:top w:type="dxa" w:w="60"/>
              <w:left w:type="dxa" w:w="80"/>
              <w:bottom w:type="dxa" w:w="60"/>
              <w:right w:type="dxa" w:w="80"/>
            </w:tcMar>
            <w:vAlign w:val="center"/>
          </w:tcPr>
          <w:p>
            <w:pPr>
              <w:jc w:val="center"/>
            </w:pPr>
            <w:r>
              <w:rPr>
                <w:b/>
                <w:bCs/>
              </w:rPr>
              <w:t xml:space="preserve">0.0703</w:t>
            </w:r>
          </w:p>
        </w:tc>
        <w:tc>
          <w:tcPr>
            <w:tcW w:type="dxa" w:w="1540"/>
            <w:shd w:fill="FFF2CC" w:val="clear"/>
            <w:tcMar>
              <w:top w:type="dxa" w:w="60"/>
              <w:left w:type="dxa" w:w="80"/>
              <w:bottom w:type="dxa" w:w="60"/>
              <w:right w:type="dxa" w:w="80"/>
            </w:tcMar>
            <w:vAlign w:val="center"/>
          </w:tcPr>
          <w:p>
            <w:pPr>
              <w:jc w:val="center"/>
            </w:pPr>
            <w:r>
              <w:rPr>
                <w:b/>
                <w:bCs/>
              </w:rPr>
              <w:t xml:space="preserve">0.0704</w:t>
            </w:r>
          </w:p>
        </w:tc>
        <w:tc>
          <w:tcPr>
            <w:tcW w:type="dxa" w:w="1540"/>
            <w:shd w:fill="FFF2CC" w:val="clear"/>
            <w:tcMar>
              <w:top w:type="dxa" w:w="60"/>
              <w:left w:type="dxa" w:w="80"/>
              <w:bottom w:type="dxa" w:w="60"/>
              <w:right w:type="dxa" w:w="80"/>
            </w:tcMar>
            <w:vAlign w:val="center"/>
          </w:tcPr>
          <w:p>
            <w:pPr>
              <w:jc w:val="center"/>
            </w:pPr>
            <w:r>
              <w:rPr>
                <w:b/>
                <w:bCs/>
              </w:rPr>
              <w:t xml:space="preserve">0.0716</w:t>
            </w:r>
          </w:p>
        </w:tc>
        <w:tc>
          <w:tcPr>
            <w:tcW w:type="dxa" w:w="2000"/>
            <w:shd w:fill="FFF2CC" w:val="clear"/>
            <w:tcMar>
              <w:top w:type="dxa" w:w="60"/>
              <w:left w:type="dxa" w:w="80"/>
              <w:bottom w:type="dxa" w:w="60"/>
              <w:right w:type="dxa" w:w="80"/>
            </w:tcMar>
            <w:vAlign w:val="center"/>
          </w:tcPr>
          <w:p>
            <w:pPr>
              <w:jc w:val="center"/>
            </w:pPr>
            <w:r>
              <w:rPr>
                <w:b/>
                <w:bCs/>
              </w:rPr>
              <w:t xml:space="preserve">0.0708 ± 0.00054</w:t>
            </w:r>
          </w:p>
        </w:tc>
      </w:tr>
      <w:tr>
        <w:tc>
          <w:tcPr>
            <w:tcW w:type="dxa" w:w="2200"/>
            <w:tcMar>
              <w:top w:type="dxa" w:w="60"/>
              <w:left w:type="dxa" w:w="80"/>
              <w:bottom w:type="dxa" w:w="60"/>
              <w:right w:type="dxa" w:w="80"/>
            </w:tcMar>
            <w:vAlign w:val="center"/>
          </w:tcPr>
          <w:p>
            <w:r>
              <w:t xml:space="preserve">Item-kNN</w:t>
            </w:r>
          </w:p>
        </w:tc>
        <w:tc>
          <w:tcPr>
            <w:tcW w:type="dxa" w:w="1540"/>
            <w:tcMar>
              <w:top w:type="dxa" w:w="60"/>
              <w:left w:type="dxa" w:w="80"/>
              <w:bottom w:type="dxa" w:w="60"/>
              <w:right w:type="dxa" w:w="80"/>
            </w:tcMar>
            <w:vAlign w:val="center"/>
          </w:tcPr>
          <w:p>
            <w:pPr>
              <w:jc w:val="center"/>
            </w:pPr>
            <w:r>
              <w:t xml:space="preserve">0.0628</w:t>
            </w:r>
          </w:p>
        </w:tc>
        <w:tc>
          <w:tcPr>
            <w:tcW w:type="dxa" w:w="1540"/>
            <w:tcMar>
              <w:top w:type="dxa" w:w="60"/>
              <w:left w:type="dxa" w:w="80"/>
              <w:bottom w:type="dxa" w:w="60"/>
              <w:right w:type="dxa" w:w="80"/>
            </w:tcMar>
            <w:vAlign w:val="center"/>
          </w:tcPr>
          <w:p>
            <w:pPr>
              <w:jc w:val="center"/>
            </w:pPr>
            <w:r>
              <w:t xml:space="preserve">0.0628</w:t>
            </w:r>
          </w:p>
        </w:tc>
        <w:tc>
          <w:tcPr>
            <w:tcW w:type="dxa" w:w="1540"/>
            <w:tcMar>
              <w:top w:type="dxa" w:w="60"/>
              <w:left w:type="dxa" w:w="80"/>
              <w:bottom w:type="dxa" w:w="60"/>
              <w:right w:type="dxa" w:w="80"/>
            </w:tcMar>
            <w:vAlign w:val="center"/>
          </w:tcPr>
          <w:p>
            <w:pPr>
              <w:jc w:val="center"/>
            </w:pPr>
            <w:r>
              <w:t xml:space="preserve">0.0628</w:t>
            </w:r>
          </w:p>
        </w:tc>
        <w:tc>
          <w:tcPr>
            <w:tcW w:type="dxa" w:w="1540"/>
            <w:tcMar>
              <w:top w:type="dxa" w:w="60"/>
              <w:left w:type="dxa" w:w="80"/>
              <w:bottom w:type="dxa" w:w="60"/>
              <w:right w:type="dxa" w:w="80"/>
            </w:tcMar>
            <w:vAlign w:val="center"/>
          </w:tcPr>
          <w:p>
            <w:pPr>
              <w:jc w:val="center"/>
            </w:pPr>
            <w:r>
              <w:t xml:space="preserve">0.0628</w:t>
            </w:r>
          </w:p>
        </w:tc>
        <w:tc>
          <w:tcPr>
            <w:tcW w:type="dxa" w:w="1540"/>
            <w:tcMar>
              <w:top w:type="dxa" w:w="60"/>
              <w:left w:type="dxa" w:w="80"/>
              <w:bottom w:type="dxa" w:w="60"/>
              <w:right w:type="dxa" w:w="80"/>
            </w:tcMar>
            <w:vAlign w:val="center"/>
          </w:tcPr>
          <w:p>
            <w:pPr>
              <w:jc w:val="center"/>
            </w:pPr>
            <w:r>
              <w:t xml:space="preserve">0.0628</w:t>
            </w:r>
          </w:p>
        </w:tc>
        <w:tc>
          <w:tcPr>
            <w:tcW w:type="dxa" w:w="2000"/>
            <w:tcMar>
              <w:top w:type="dxa" w:w="60"/>
              <w:left w:type="dxa" w:w="80"/>
              <w:bottom w:type="dxa" w:w="60"/>
              <w:right w:type="dxa" w:w="80"/>
            </w:tcMar>
            <w:vAlign w:val="center"/>
          </w:tcPr>
          <w:p>
            <w:pPr>
              <w:jc w:val="center"/>
            </w:pPr>
            <w:r>
              <w:t xml:space="preserve">0.0628 ± 0.0000</w:t>
            </w:r>
          </w:p>
        </w:tc>
      </w:tr>
    </w:tbl>
    <w:p>
      <w:pPr>
        <w:spacing w:after="140" w:before="160"/>
      </w:pPr>
      <w:r>
        <w:t xml:space="preserve">Item-kNN's exact-zero standard deviation is </w:t>
      </w:r>
      <w:r>
        <w:rPr>
          <w:i/>
          <w:iCs/>
        </w:rPr>
        <w:t xml:space="preserve">correct, not a bug</w:t>
      </w:r>
      <w:r>
        <w:t xml:space="preserve">: cosine-similarity Item-kNN has no stochastic component, so it is expected to be perfectly deterministic regardless of seed. CGNF's non-zero std (0.00054) confirms its k-means-based clustering step is now genuinely randomized per seed, unlike the pre-fix version (see “Issues found independently”).</w:t>
      </w:r>
    </w:p>
    <w:p>
      <w:pPr>
        <w:spacing w:after="140"/>
      </w:pPr>
      <w:r>
        <w:rPr>
          <w:b/>
          <w:bCs/>
        </w:rPr>
        <w:t xml:space="preserve">Paired t-test: </w:t>
      </w:r>
      <w:r>
        <w:t xml:space="preserve">t = 33.28, p = 4.86×10⁻⁶ (n = 5 paired seeds) — CGNF's advantage over Item-kNN is statistically significant, not a single-run artifact.</w:t>
      </w:r>
    </w:p>
    <w:p>
      <w:pPr>
        <w:spacing w:after="0"/>
      </w:pPr>
      <w:r>
        <w:rPr>
          <w:b/>
          <w:bCs/>
        </w:rPr>
        <w:t xml:space="preserve">Wilcoxon signed-rank: </w:t>
      </w:r>
      <w:r>
        <w:t xml:space="preserve">not computed — only 5 non-tied pairs; this test conventionally needs ≥6. Reported as unavailable rather than omitted silently (backend/app/stats.py).</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b/>
      <w:bCs/>
      <w:color w:val="5B3DF5"/>
      <w:sz w:val="32"/>
      <w:szCs w:val="32"/>
    </w:rPr>
  </w:style>
  <w:style w:type="paragraph" w:styleId="Heading2">
    <w:name w:val="Heading 2"/>
    <w:basedOn w:val="Normal"/>
    <w:next w:val="Normal"/>
    <w:qFormat/>
    <w:pPr>
      <w:pBdr>
        <w:bottom w:val="single" w:color="5B3DF5" w:sz="6" w:space="4"/>
      </w:pBdr>
      <w:spacing w:after="120" w:before="320"/>
    </w:pPr>
    <w:rPr>
      <w:b/>
      <w:bCs/>
      <w:color w:val="1C1A16"/>
      <w:sz w:val="26"/>
      <w:szCs w:val="26"/>
    </w:rPr>
  </w:style>
  <w:style w:type="paragraph" w:styleId="Heading3">
    <w:name w:val="Heading 3"/>
    <w:basedOn w:val="Normal"/>
    <w:next w:val="Normal"/>
    <w:qFormat/>
    <w:pPr>
      <w:spacing w:after="80" w:before="260"/>
    </w:pPr>
    <w:rPr>
      <w:b/>
      <w:bCs/>
      <w:color w:val="5B3DF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2026-10-03T20:56:09.033Z</dcterms:created>
  <dcterms:modified xsi:type="dcterms:W3CDTF">2026-10-03T20:56:09.033Z</dcterms:modified>
</cp:coreProperties>
</file>

<file path=docProps/custom.xml><?xml version="1.0" encoding="utf-8"?>
<Properties xmlns="http://schemas.openxmlformats.org/officeDocument/2006/custom-properties" xmlns:vt="http://schemas.openxmlformats.org/officeDocument/2006/docPropsVTypes"/>
</file>