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C1D35"/>
          <w:sz w:val="44"/>
          <w:szCs w:val="44"/>
        </w:rPr>
        <w:t xml:space="preserve">Generic Spec Template</w:t>
      </w:r>
    </w:p>
    <w:p>
      <w:pPr>
        <w:spacing w:after="220"/>
      </w:pPr>
      <w:r>
        <w:rPr>
          <w:b/>
          <w:bCs/>
          <w:sz w:val="28"/>
          <w:szCs w:val="28"/>
        </w:rPr>
        <w:t xml:space="preserve">Research Artifact → Reproducible Full-Stack Web App</w:t>
      </w:r>
    </w:p>
    <w:p>
      <w:pPr>
        <w:spacing w:after="140"/>
      </w:pPr>
      <w:r>
        <w:rPr>
          <w:b/>
          <w:bCs/>
        </w:rPr>
        <w:t xml:space="preserve">What this is: </w:t>
      </w:r>
      <w:r>
        <w:t xml:space="preserve">a reusable </w:t>
      </w:r>
      <w:r>
        <w:rPr>
          <w:rFonts w:ascii="Consolas" w:cs="Consolas" w:eastAsia="Consolas" w:hAnsi="Consolas"/>
          <w:sz w:val="19"/>
          <w:szCs w:val="19"/>
        </w:rPr>
        <w:t xml:space="preserve">spec.md</w:t>
      </w:r>
      <w:r>
        <w:t xml:space="preserve"> template, extracted from the Hybrid Movie Recommender project's own spec (and cross-checked against its sibling project in the same workspace), for the recurring pattern: </w:t>
      </w:r>
      <w:r>
        <w:rPr>
          <w:i/>
          <w:iCs/>
        </w:rPr>
        <w:t xml:space="preserve">you have a research paper / technical writeup and some reference code (possibly broken, possibly evaluated dishonestly), and you want a spec-driven, runnable, inspectable full-stack web app built from it, with real data and an honest results story.</w:t>
      </w:r>
    </w:p>
    <w:p>
      <w:pPr>
        <w:spacing w:after="140"/>
      </w:pPr>
      <w:r>
        <w:t xml:space="preserve">Copy </w:t>
      </w:r>
      <w:r>
        <w:rPr>
          <w:b/>
          <w:bCs/>
        </w:rPr>
        <w:t xml:space="preserve">§2's template body</w:t>
      </w:r>
      <w:r>
        <w:t xml:space="preserve"> into a new project as </w:t>
      </w:r>
      <w:r>
        <w:rPr>
          <w:rFonts w:ascii="Consolas" w:cs="Consolas" w:eastAsia="Consolas" w:hAnsi="Consolas"/>
          <w:sz w:val="19"/>
          <w:szCs w:val="19"/>
        </w:rPr>
        <w:t xml:space="preserve">specs/spec.md</w:t>
      </w:r>
      <w:r>
        <w:t xml:space="preserve">, then work through it using </w:t>
      </w:r>
      <w:r>
        <w:rPr>
          <w:b/>
          <w:bCs/>
        </w:rPr>
        <w:t xml:space="preserve">§1 (the variability toolkit)</w:t>
      </w:r>
      <w:r>
        <w:t xml:space="preserve"> so the result doesn't read like a form letter.</w:t>
      </w:r>
    </w:p>
    <w:p>
      <w:pPr>
        <w:pStyle w:val="Heading2"/>
        <w:spacing w:after="120" w:before="320"/>
      </w:pPr>
      <w:r>
        <w:t xml:space="preserve">0. When this template fits</w:t>
      </w:r>
    </w:p>
    <w:p>Use it when a project has all three of: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 material</w:t>
      </w:r>
      <w:r>
        <w:t xml:space="preserve"> — a paper, thesis chapter, technical report, or detailed writeup, optionally with external feedback (reviewer comments, advisor notes, stakeholder requests).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Reference code</w:t>
      </w:r>
      <w:r>
        <w:t xml:space="preserve"> — a script or notebook that implements the idea, which may have bugs, evaluation shortcuts, or dependencies that no longer install cleanly.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target deliverable</w:t>
      </w:r>
      <w:r>
        <w:t xml:space="preserve"> — a runnable web application (backend + frontend) that makes the method inspectable and its results reproducible, not just a cleaned-up script.</w:t>
      </w:r>
    </w:p>
    <w:p>
      <w:pPr>
        <w:spacing w:after="140"/>
      </w:pPr>
      <w:r>
        <w:t xml:space="preserve">If any of the three is missing (no reference code at all, or the deliverable is a library/CLI rather than a web app), adapt §4's subsections but keep §1, §2 (framing), §6, §7, and §8 — they generalize past the web-app case.</w:t>
      </w:r>
    </w:p>
    <w:p>
      <w:pPr>
        <w:pStyle w:val="Heading2"/>
        <w:spacing w:after="120" w:before="320"/>
      </w:pPr>
      <w:r>
        <w:t xml:space="preserve">1. Variability toolkit — read this before filling in §2</w:t>
      </w:r>
    </w:p>
    <w:p>
      <w:pPr>
        <w:spacing w:after="140"/>
      </w:pPr>
      <w:r>
        <w:t xml:space="preserve">Templates that get filled in the same way every time produce specs that read as boilerplate, which is a credibility problem when the spec is meant to demonstrate real thinking about a specific project. This section gives a concrete, repeatable way to vary the voice and structure of the output without touching its substance (the substance should always be derived fresh from the actual source material — never copied from a previous instantiation).</w:t>
      </w:r>
    </w:p>
    <w:p>
      <w:pPr>
        <w:pStyle w:val="Heading3"/>
        <w:spacing w:after="80" w:before="240"/>
      </w:pPr>
      <w:r>
        <w:t xml:space="preserve">1.1 Deterministic variant selection</w:t>
      </w:r>
    </w:p>
    <w:p>Pick a  from the new project's own identity, not from randomness you'd have to remember — e.g.: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seed = int(sha256(project_name + target_domain + iso_date).hexdigest(), 16)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variant_index(section_key) = (seed + salt[section_key]) % len(variants[section_key])</w:t>
      </w:r>
    </w:p>
    <w:p>
      <w:pPr>
        <w:spacing w:after="140" w:before="140"/>
      </w:pPr>
      <w:r>
        <w:t xml:space="preserve">Two different projects (different project_name/target_domain) deterministically land on different phrasing and structure choices below; the same project regenerated later (same inputs) reproduces the same choices — varied across projects, stable within one. If you're filling this in by hand rather than scripting it, just eyeball-pick a different numbered variant than the last project you wrote, and note which one you picked.</w:t>
      </w:r>
    </w:p>
    <w:p>
      <w:pPr>
        <w:pStyle w:val="Heading3"/>
        <w:spacing w:after="80" w:before="240"/>
      </w:pPr>
      <w:r>
        <w:t xml:space="preserve">1.2 Phrasing variant banks</w:t>
      </w:r>
    </w:p>
    <w:p>
      <w:pPr>
        <w:spacing w:after="140"/>
      </w:pPr>
      <w:r>
        <w:t xml:space="preserve">Pick one variant per row (don't default to “Variant 1” every time):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200"/>
        <w:gridCol w:w="3200"/>
      </w:tblGrid>
      <w:tr>
        <w:trPr>
          <w:tblHeader/>
        </w:trPr>
        <w:tc>
          <w:tcPr>
            <w:tcW w:type="dxa" w:w="2300"/>
            <w:shd w:fill="9C1D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200"/>
            <w:shd w:fill="9C1D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Variant 1</w:t>
            </w:r>
          </w:p>
        </w:tc>
        <w:tc>
          <w:tcPr>
            <w:tcW w:type="dxa" w:w="3200"/>
            <w:shd w:fill="9C1D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Variant 2</w:t>
            </w:r>
          </w:p>
        </w:tc>
        <w:tc>
          <w:tcPr>
            <w:tcW w:type="dxa" w:w="3200"/>
            <w:shd w:fill="9C1D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Variant 3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Opening of §0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“This spec translates [N] input documents into a buildable application.”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“The following requirements were derived from [source material]; [N] and [N] cite the specific claims this spec responds to.”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“Source material for this spec: [list]. Nothing below is reproduced verbatim — see §[x] and §[y] for the specific claims it answers.”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Opening of §1 (Purpose)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“Turn [the method] into a runnable, inspectable web application: [core verb phrase].”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“The goal of this application is to make [the method] reproducible end-to-end: [core verb phrase].”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“This application exists to close the gap between [the paper's claims] and [what can actually be verified]: [core verb phrase].”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Opening of §2 (ref-code issues)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“Read closely, the reference implementation has [N] issues that affect whether its reported numbers mean anything, independent of [stakeholder]'s comments.”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“Before addressing any external feedback, the reference code itself was audited and found to have [N] problems worth fixing on their own merits.”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“Two kinds of gaps exist in the reference material: what [stakeholder] asked to fix, and what close reading of the code itself revealed.”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FR numbering style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FR-1, FR-2, …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REQ-1, REQ-2, …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F1, F2, … (no hyphen)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Opening of §7 (out of scope)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“Documented here rather than silently skipped:”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“Explicitly deferred, with reasons, rather than silently dropped from the implementation:”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“The following are real gaps, named rather than hidden:”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Acceptance-criteria framing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 flat checklist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“A fresh checkout must, with no manual steps:” + checklist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Table with columns [Criterion | How verified]</w:t>
            </w:r>
          </w:p>
        </w:tc>
      </w:tr>
    </w:tbl>
    <w:p>
      <w:pPr>
        <w:pStyle w:val="Heading3"/>
        <w:spacing w:after="80" w:before="240"/>
      </w:pPr>
      <w:r>
        <w:t xml:space="preserve">1.3 Structural levers (vary these per project, not just the wording)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Section order within §4 </w:t>
      </w:r>
      <w:r>
        <w:t xml:space="preserve">(Functional Requirements) — group by pipeline stage (data → model → fusion → eval → app) for one project, by user-facing feature for another. Both are valid; pick the one that matches how a reader of this project would think about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Number of components </w:t>
      </w:r>
      <w:r>
        <w:t xml:space="preserve">— this template assumes a multi-component system. A single-model project collapses §4.2/§4.3 into one subsection; say so explicitly rather than leaving empty headers.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Evaluation metric family </w:t>
      </w:r>
      <w:r>
        <w:t xml:space="preserve">— Precision/Recall/NDCG@K fits ranking/recommendation; swap for the metric family that actually matches the new project's task (RMSE/MAE for regression, F1/AUC for classification, BLEU/ROUGE for generation, etc.). Don't keep ranking metrics out of habit if the task isn't a ranking task.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“Why not use library X” trigger </w:t>
      </w:r>
      <w:r>
        <w:t xml:space="preserve">— only include §6 if a dependency was actually checked and found broken/unstable/unsuitable. If every dependency installed cleanly, delete §6 rather than inventing a reason.</w:t>
      </w:r>
    </w:p>
    <w:p>
      <w:r>
        <w:br w:type="page"/>
      </w:r>
    </w:p>
    <w:p>
      <w:pPr>
        <w:pStyle w:val="Heading2"/>
        <w:spacing w:after="120" w:before="320"/>
      </w:pPr>
      <w:r>
        <w:t xml:space="preserve">2. Template body</w:t>
      </w:r>
    </w:p>
    <w:p>Everything in  is a placeholder. Everything outside brackets is boilerplate that has held up across more than one real project and can be reused as-is.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[Project Name] — Specification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**Status:** Draft v1 · **Owner:** [who/what generated this] · **Last updated:** [date]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 0. Source material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[Opening per §1.2 variant.]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1. **[source doc 1 filename/title]** — [what it is: paper / notebook / design doc], [plus any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external feedback attached: reviewer rounds, stakeholder comments, a revision-cost quote].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2. **[source doc 2 filename/title]** — [reference implementation: list the specific techniques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it implements, e.g. "TF-IDF + cosine similarity, a graph-propagation model, a fusion step,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and an evaluation routine"].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 1. Purpose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[Opening per §1.2 variant.] [One or two sentences on what "inspectable" and "reproducible"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concretely mean for this project — e.g. "train the real model against real data, expose every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hyperparameter in the UI, make the evaluation protocol an interactive, first-class feature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rather than a one-off offline script."]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 2. What the reference code actually does (and [N] problems worth fixing)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[Opening per §1.2 variant.]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1. **[Problem 1 — usually an evaluation-honesty issue].** [Description with a specific code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reference: function name, line behavior.] [Why this matters for the numbers' validity.]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2. **[Problem 2, if any — usually a scale/representativeness issue].** [Same structure.]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This application fixes [these / this] by [the concrete architectural fix — e.g. "a per-entity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held-out split, evaluated and averaged across every held-out case, not a single example"].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 3. Users and use cases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**[Primary user type]**: [what they do with the app — load data, train, explore, decide what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to report].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**[Secondary user type, if any]**: [e.g. a reviewer/collaborator verifying a specific claimed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number without reading code].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 4. Functional requirements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[Group however §1.3's structural lever decided. Example grouping below — relabel as needed.]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### 4.1 Data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[FR-id]: Ship a default, real dataset in `input/` — [name, size, format].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[FR-id]: Accept a custom data upload, parsed into the same internal representation.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[FR-id]: Report dataset statistics before any training/inference runs.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### 4.2 Core model(s)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[FR-id] per component: name, the technique it implements, and the paper equation/section it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corresponds to (if any) — this traceability matters for anyone checking the implementation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against the source material.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[FR-id]: Each component independently trainable/queryable (needed if §4.3 exists).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### 4.3 Combination / fusion (only if multi-component)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[FR-id]: How component outputs are combined (formula, normalization method).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[FR-id]: **Ablation as a first-class feature** — if the source material asks "is every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component necessary," make every subset combination a one-click comparison, not a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footnote. Reuse the *same* combination function for the full system and every ablation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variant (different weights into one function, not N separately-maintained code paths).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[FR-id]: **Interactive sensitivity analysis**, if applicable — recompute downstream metrics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from cached per-case component outputs when a weight/hyperparameter changes, without a full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retrain, so exploring the space is fast enough to actually be explored.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### 4.4 Evaluation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[FR-id]: [metric family] computed per held-out case and averaged across **every** held-out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case (not one example) — matches §2's fix.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[FR-id]: Report the full evaluation protocol alongside every result: split method, any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threshold, random seed, candidate set definition, how already-seen items are excluded.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### 4.5 Interactive query (if the app answers "what would this system do for input X")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[FR-id]: Given a specific input, return the top results with a per-component score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breakdown, retained as a **qualitative illustration** — not as the evaluation itself (that's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§4.4's job).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### 4.6 Application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[FR-id]: Web UI covering data selection/upload, run configuration, live progress, a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results/comparison dashboard, and any interactive query panel.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[FR-id]: REST (+ streaming, if runs are long) API backing the UI, usable headlessly for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scripted/reproducible experiments.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[FR-id]: **Single script to set up, start, and stop the whole application.**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 5. Non-functional requirements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[NFR-id]: Runs on stock local tooling — name the real constraint (no GPU required, no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framework X dependency) and *why* (see §6 if a specific library was the trigger).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[NFR-id]: A full run completes in [realistic time bound] on the target hardware.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[NFR-id]: Every number shown in the UI is traceable to a specific run configuration — no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hard-coded or placeholder metrics anywhere in the app.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 6. Why not [library/dependency X], as the source material uses — *(delete if unneeded; see §1.3)*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Checked empirically against [this environment] before writing any code — state the actual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command run and the actual error/limitation found, not a general reputation claim: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`[pip install / npm install / etc.] [package]` → **[actual error text or behavior]** —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[root cause: unmaintained, incompatible with current toolchain, only available as an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unstable/nightly build, etc.].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[State the substitute approach and how it was validated — e.g. "reimplemented from scratch in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[language/library], validated against [gradient checking / known closed-form cases / a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reference output] before being trusted on real data."]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 7. [Source material]-requested items explicitly out of scope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[Opening per §1.2 variant.]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**[Item 1 — usually: comparison against an external baseline].** [Why it's out of scope: a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substantial independent project, a separate research question, etc.] [If the architecture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was deliberately left open to add it later, say so and point at the specific extension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point.]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**[Item 2 — usually: formal statistical validation across multiple seeds/runs].** [What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partial support exists, e.g. "the API accepts a seed and can be re-run, but there is no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built-in multi-run aggregation or significance test."]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**[Item 3 — usually: narrative/manuscript-writing asks].** [State plainly these aren't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application features: "out of scope for an application spec; belongs in the manuscript, not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the codebase."]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## 8. Acceptance criteria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[Framing per §1.2 variant.]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A fresh checkout runs end-to-end via the single setup/start script with no manual steps.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Training/running on the default dataset produces [the metric family] for [every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configuration §4.3 promises], computed on a held-out split, over **every** held-out case.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[If §4.3 sensitivity exists] Changing a weight/hyperparameter in the UI updates results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without a full retrain.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- [If §4.5 exists] The interactive query panel reproduces the qualitative pattern from the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source material, using real scores from a real run — not a hard-coded example.</w:t>
      </w:r>
    </w:p>
    <w:p>
      <w:pPr>
        <w:shd w:fill="F4F4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2"/>
        <w:spacing w:after="120" w:before="320"/>
      </w:pPr>
      <w:r>
        <w:t xml:space="preserve">3. Companion files checklist</w:t>
      </w:r>
    </w:p>
    <w:p>
      <w:pPr>
        <w:spacing w:after="140"/>
      </w:pPr>
      <w:r>
        <w:t xml:space="preserve">A spec on its own under-delivers on “spec-driven development.” Pair it with: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700"/>
      </w:tblGrid>
      <w:tr>
        <w:trPr>
          <w:tblHeader/>
        </w:trPr>
        <w:tc>
          <w:tcPr>
            <w:tcW w:type="dxa" w:w="3200"/>
            <w:shd w:fill="9C1D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8700"/>
            <w:shd w:fill="9C1D3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specs/plan.md</w:t>
            </w:r>
          </w:p>
        </w:tc>
        <w:tc>
          <w:tcPr>
            <w:tcW w:type="dxa" w:w="8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Technical architecture: directory tree, data flow, the math/algorithm detail that didn't fit in the spec's requirement bullets, the API surface, the frontend page list.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specs/tasks.md</w:t>
            </w:r>
          </w:p>
        </w:tc>
        <w:tc>
          <w:tcPr>
            <w:tcW w:type="dxa" w:w="8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 checklist mirroring the plan, checked off as work actually completes — not written once and left stale.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specs/[stakeholder]-requirements.md</w:t>
            </w:r>
          </w:p>
        </w:tc>
        <w:tc>
          <w:tcPr>
            <w:tcW w:type="dxa" w:w="8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(only if there's external feedback to track) A point-by-point table: comment → status (Implemented / Partially / Out of scope) → where. If extensive enough to need a formal written response, generate a separate .docx response letter from this table rather than cramming prose into the spec itself.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input/</w:t>
            </w:r>
          </w:p>
        </w:tc>
        <w:tc>
          <w:tcPr>
            <w:tcW w:type="dxa" w:w="8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Real sample data, not synthetic placeholders — committed or fetched by the setup script.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output/</w:t>
            </w:r>
          </w:p>
        </w:tc>
        <w:tc>
          <w:tcPr>
            <w:tcW w:type="dxa" w:w="8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Evidence from one real run: screenshots walking through the app, exported result files, a short README explaining what each one shows.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scripts/app.sh (or equivalent)</w:t>
            </w:r>
          </w:p>
        </w:tc>
        <w:tc>
          <w:tcPr>
            <w:tcW w:type="dxa" w:w="8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setup | start | stop | restart | status | logs — idempotent setup (checks actual installed state, not a marker file), port-based process management (not PID-based).</w:t>
            </w:r>
          </w:p>
        </w:tc>
      </w:tr>
    </w:tbl>
    <w:p>
      <w:pPr>
        <w:pStyle w:val="Heading2"/>
        <w:spacing w:after="120" w:before="320"/>
      </w:pPr>
      <w:r>
        <w:t xml:space="preserve">4. Instantiation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Gather source material; read it closely enough to find real problems in the reference code, not just the stakeholder-flagged ones (§2's two-problem pattern recurs often — look for evaluation leakage and small-sample reporting specifically).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 a seed (§1.1) and resolve every variant bank in §1.2 before writing prose.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every planned dependency actually installs/works in the target environment before committing to it in §4 — write §6 from real command output, never from memory of “that package is usually fine.”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 in §2 of this template, section by section, citing real file/line/equation references wherever the bracketed text asks for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the companion files from §3.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Build, then verify by actually running the app (not just reading the code) — capture real screenshots and real output files for output/, not mocked 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tasks.md checkboxes to match reality, not aspiration.</w:t>
      </w:r>
    </w:p>
    <w:p>
      <w:pPr>
        <w:pStyle w:val="Heading2"/>
        <w:spacing w:after="120" w:before="320"/>
      </w:pPr>
      <w:r>
        <w:t xml:space="preserve">5. Anti-patterns to avoid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Silently dropping a stakeholder ask. </w:t>
      </w:r>
      <w:r>
        <w:t xml:space="preserve">If it's out of scope, say so in §7 — don't just omit it and hope no one checks.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Claiming “implemented” for something only documented. </w:t>
      </w:r>
      <w:r>
        <w:t xml:space="preserve">A requirements-mapping table (§3) needs a real status value per row, not an optimistic default.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Trusting a library by reputation instead of by running the install. </w:t>
      </w:r>
      <w:r>
        <w:t xml:space="preserve">§6 exists because “this should work” and “this works in this environment, today” are different claims.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Fabricating or rounding results to look better. </w:t>
      </w:r>
      <w:r>
        <w:t xml:space="preserve">Report the real number, including when it's an uncomfortable one (e.g., the full system tying or losing to a simpler ablation at some operating point) — that's what an honest ablation study is for.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Copying a previous project's specific numbers, equations, or examples into a new spec. </w:t>
      </w:r>
      <w:r>
        <w:t xml:space="preserve">Everything outside this file's brackets and tables is reusable; everything inside them must be re-derived from the new project's own source material every time.</w:t>
      </w:r>
    </w:p>
    <w:p>
      <w:pPr>
        <w:spacing w:before="300"/>
      </w:pPr>
      <w:r>
        <w:t xml:space="preserve">Source project: hybrid-movie-recommender (specs/spec.md, specs/generic-spec-template.md).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b/>
      <w:bCs/>
      <w:color w:val="9C1D3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9C1D35" w:sz="6" w:space="4"/>
      </w:pBdr>
      <w:spacing w:after="120" w:before="320"/>
    </w:pPr>
    <w:rPr>
      <w:b/>
      <w:bCs/>
      <w:color w:val="1C1A1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60"/>
    </w:pPr>
    <w:rPr>
      <w:b/>
      <w:bCs/>
      <w:color w:val="9C1D3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2026-10-03T19:58:59.727Z</dcterms:created>
  <dcterms:modified xsi:type="dcterms:W3CDTF">2026-10-03T19:58:59.727Z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