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D6B"/>
        </w:rPr>
        <w:t>AskInc42 Knowledge Set — Index</w:t>
      </w:r>
    </w:p>
    <w:p>
      <w:r>
        <w:rPr>
          <w:b/>
        </w:rPr>
        <w:t>v1 · 14 Aug 2026 · Product owner: Ranjith · Knowledge layer owner: Ashish · Build: Ritvik Sethi</w:t>
      </w:r>
    </w:p>
    <w:p>
      <w:r>
        <w:t>One document per topic. Each is self-contained and can sit in its own tab. Nothing is duplicated across files — if a fact belongs in two places, it lives in one and is cross-referenced.</w:t>
      </w:r>
    </w:p>
    <w:p>
      <w:r>
        <w:rPr>
          <w:b/>
        </w:rPr>
        <w:t>No pricing appears in any document in this set.</w:t>
      </w:r>
      <w:r>
        <w:t xml:space="preserve"> No amounts, pass tiers, discounts, or seat counts. This is deliberate — see </w:t>
      </w:r>
      <w:r>
        <w:rPr>
          <w:rFonts w:ascii="Menlo" w:hAnsi="Menlo"/>
          <w:sz w:val="19"/>
        </w:rPr>
        <w:t>06_Response_Rules.md</w:t>
      </w:r>
      <w:r>
        <w:t>.</w:t>
      </w:r>
    </w:p>
    <w:p>
      <w:r>
        <w:rPr>
          <w:b/>
        </w:rPr>
        <w:t>This set covers knowledge scope only</w:t>
      </w:r>
      <w:r>
        <w:t xml:space="preserve"> — what AskInc42 knows and how it responds. The AskInc42 build workstream — design and placements, streaming and lane architecture, the frontend release contract, v2 flow work, analytics — is tracked separately and does not belong in any document here, including the internal ones.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The documents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1656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1656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1656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Ingested into AskInc42?</w:t>
            </w:r>
          </w:p>
        </w:tc>
        <w:tc>
          <w:tcPr>
            <w:tcW w:type="dxa" w:w="1656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1656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Review</w:t>
            </w:r>
          </w:p>
        </w:tc>
      </w:tr>
      <w:tr>
        <w:tc>
          <w:tcPr>
            <w:tcW w:type="dxa" w:w="1656"/>
          </w:tcPr>
          <w:p>
            <w:r/>
            <w:r>
              <w:t>01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01_App_Knowledge.md</w:t>
            </w:r>
          </w:p>
        </w:tc>
        <w:tc>
          <w:tcPr>
            <w:tcW w:type="dxa" w:w="1656"/>
          </w:tcPr>
          <w:p>
            <w:r/>
            <w:r>
              <w:t>How the Inc42 app works, in user-facing language</w:t>
            </w:r>
          </w:p>
        </w:tc>
        <w:tc>
          <w:tcPr>
            <w:tcW w:type="dxa" w:w="1656"/>
          </w:tcPr>
          <w:p>
            <w:r/>
            <w:r>
              <w:t xml:space="preserve">✅ Yes — </w:t>
            </w:r>
            <w:r>
              <w:rPr>
                <w:b/>
              </w:rPr>
              <w:t>Source S4</w:t>
            </w:r>
          </w:p>
        </w:tc>
        <w:tc>
          <w:tcPr>
            <w:tcW w:type="dxa" w:w="1656"/>
          </w:tcPr>
          <w:p>
            <w:r/>
            <w:r>
              <w:t>Ranjith</w:t>
            </w:r>
          </w:p>
        </w:tc>
        <w:tc>
          <w:tcPr>
            <w:tcW w:type="dxa" w:w="1656"/>
          </w:tcPr>
          <w:p>
            <w:r/>
            <w:r>
              <w:t>Per app release</w:t>
            </w:r>
          </w:p>
        </w:tc>
      </w:tr>
      <w:tr>
        <w:tc>
          <w:tcPr>
            <w:tcW w:type="dxa" w:w="1656"/>
          </w:tcPr>
          <w:p>
            <w:r/>
            <w:r>
              <w:t>02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02_Inc42_Company.md</w:t>
            </w:r>
          </w:p>
        </w:tc>
        <w:tc>
          <w:tcPr>
            <w:tcW w:type="dxa" w:w="1656"/>
          </w:tcPr>
          <w:p>
            <w:r/>
            <w:r>
              <w:t>What Inc42 is, what it runs, how to reach it</w:t>
            </w:r>
          </w:p>
        </w:tc>
        <w:tc>
          <w:tcPr>
            <w:tcW w:type="dxa" w:w="1656"/>
          </w:tcPr>
          <w:p>
            <w:r/>
            <w:r>
              <w:t xml:space="preserve">✅ Yes — </w:t>
            </w:r>
            <w:r>
              <w:rPr>
                <w:b/>
              </w:rPr>
              <w:t>Source S3</w:t>
            </w:r>
          </w:p>
        </w:tc>
        <w:tc>
          <w:tcPr>
            <w:tcW w:type="dxa" w:w="1656"/>
          </w:tcPr>
          <w:p>
            <w:r/>
            <w:r>
              <w:t>Ashish</w:t>
            </w:r>
          </w:p>
        </w:tc>
        <w:tc>
          <w:tcPr>
            <w:tcW w:type="dxa" w:w="1656"/>
          </w:tcPr>
          <w:p>
            <w:r/>
            <w:r>
              <w:t>Monthly</w:t>
            </w:r>
          </w:p>
        </w:tc>
      </w:tr>
      <w:tr>
        <w:tc>
          <w:tcPr>
            <w:tcW w:type="dxa" w:w="1656"/>
          </w:tcPr>
          <w:p>
            <w:r/>
            <w:r>
              <w:t>03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03_Policies_TnC_Privacy.md</w:t>
            </w:r>
          </w:p>
        </w:tc>
        <w:tc>
          <w:tcPr>
            <w:tcW w:type="dxa" w:w="1656"/>
          </w:tcPr>
          <w:p>
            <w:r/>
            <w:r>
              <w:t>Approved high-level summaries of T&amp;C + Privacy Policy</w:t>
            </w:r>
          </w:p>
        </w:tc>
        <w:tc>
          <w:tcPr>
            <w:tcW w:type="dxa" w:w="1656"/>
          </w:tcPr>
          <w:p>
            <w:r/>
            <w:r>
              <w:t xml:space="preserve">✅ Yes — </w:t>
            </w:r>
            <w:r>
              <w:rPr>
                <w:b/>
              </w:rPr>
              <w:t>Source S5</w:t>
            </w:r>
          </w:p>
        </w:tc>
        <w:tc>
          <w:tcPr>
            <w:tcW w:type="dxa" w:w="1656"/>
          </w:tcPr>
          <w:p>
            <w:r/>
            <w:r>
              <w:t>Ashish, signed off by Utkarsh</w:t>
            </w:r>
          </w:p>
        </w:tc>
        <w:tc>
          <w:tcPr>
            <w:tcW w:type="dxa" w:w="1656"/>
          </w:tcPr>
          <w:p>
            <w:r/>
            <w:r>
              <w:t>On policy version change</w:t>
            </w:r>
          </w:p>
        </w:tc>
      </w:tr>
      <w:tr>
        <w:tc>
          <w:tcPr>
            <w:tcW w:type="dxa" w:w="1656"/>
          </w:tcPr>
          <w:p>
            <w:r/>
            <w:r>
              <w:t>04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04_IPs_Overview.md</w:t>
            </w:r>
          </w:p>
        </w:tc>
        <w:tc>
          <w:tcPr>
            <w:tcW w:type="dxa" w:w="1656"/>
          </w:tcPr>
          <w:p>
            <w:r/>
            <w:r>
              <w:t>The eight approved Inc42 IPs, high level</w:t>
            </w:r>
          </w:p>
        </w:tc>
        <w:tc>
          <w:tcPr>
            <w:tcW w:type="dxa" w:w="1656"/>
          </w:tcPr>
          <w:p>
            <w:r/>
            <w:r>
              <w:t xml:space="preserve">✅ Yes — </w:t>
            </w:r>
            <w:r>
              <w:rPr>
                <w:b/>
              </w:rPr>
              <w:t>Source S3</w:t>
            </w:r>
          </w:p>
        </w:tc>
        <w:tc>
          <w:tcPr>
            <w:tcW w:type="dxa" w:w="1656"/>
          </w:tcPr>
          <w:p>
            <w:r/>
            <w:r>
              <w:t>Ashish</w:t>
            </w:r>
          </w:p>
        </w:tc>
        <w:tc>
          <w:tcPr>
            <w:tcW w:type="dxa" w:w="1656"/>
          </w:tcPr>
          <w:p>
            <w:r/>
            <w:r>
              <w:rPr>
                <w:b/>
              </w:rPr>
              <w:t>Weekly</w:t>
            </w:r>
          </w:p>
        </w:tc>
      </w:tr>
      <w:tr>
        <w:tc>
          <w:tcPr>
            <w:tcW w:type="dxa" w:w="1656"/>
          </w:tcPr>
          <w:p>
            <w:r/>
            <w:r>
              <w:t>05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05_Utkarsh_Call_Notes.md</w:t>
            </w:r>
          </w:p>
        </w:tc>
        <w:tc>
          <w:tcPr>
            <w:tcW w:type="dxa" w:w="1656"/>
          </w:tcPr>
          <w:p>
            <w:r/>
            <w:r>
              <w:t>Utkarsh's input that set this knowledge scope — nothing else from those calls</w:t>
            </w:r>
          </w:p>
        </w:tc>
        <w:tc>
          <w:tcPr>
            <w:tcW w:type="dxa" w:w="1656"/>
          </w:tcPr>
          <w:p>
            <w:r/>
            <w:r>
              <w:t xml:space="preserve">❌ </w:t>
            </w:r>
            <w:r>
              <w:rPr>
                <w:b/>
              </w:rPr>
              <w:t>NO — internal only</w:t>
            </w:r>
          </w:p>
        </w:tc>
        <w:tc>
          <w:tcPr>
            <w:tcW w:type="dxa" w:w="1656"/>
          </w:tcPr>
          <w:p>
            <w:r/>
            <w:r>
              <w:t>Ranjith</w:t>
            </w:r>
          </w:p>
        </w:tc>
        <w:tc>
          <w:tcPr>
            <w:tcW w:type="dxa" w:w="1656"/>
          </w:tcPr>
          <w:p>
            <w:r/>
            <w:r>
              <w:t>As calls happen</w:t>
            </w:r>
          </w:p>
        </w:tc>
      </w:tr>
      <w:tr>
        <w:tc>
          <w:tcPr>
            <w:tcW w:type="dxa" w:w="1656"/>
          </w:tcPr>
          <w:p>
            <w:r/>
            <w:r>
              <w:t>06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06_Response_Rules.md</w:t>
            </w:r>
          </w:p>
        </w:tc>
        <w:tc>
          <w:tcPr>
            <w:tcW w:type="dxa" w:w="1656"/>
          </w:tcPr>
          <w:p>
            <w:r/>
            <w:r>
              <w:t>How AskInc42 must behave: deflections, boundaries, refusals</w:t>
            </w:r>
          </w:p>
        </w:tc>
        <w:tc>
          <w:tcPr>
            <w:tcW w:type="dxa" w:w="1656"/>
          </w:tcPr>
          <w:p>
            <w:r/>
            <w:r>
              <w:t>⚙️ System behaviour, not knowledge</w:t>
            </w:r>
          </w:p>
        </w:tc>
        <w:tc>
          <w:tcPr>
            <w:tcW w:type="dxa" w:w="1656"/>
          </w:tcPr>
          <w:p>
            <w:r/>
            <w:r>
              <w:t>Ranjith</w:t>
            </w:r>
          </w:p>
        </w:tc>
        <w:tc>
          <w:tcPr>
            <w:tcW w:type="dxa" w:w="1656"/>
          </w:tcPr>
          <w:p>
            <w:r/>
            <w:r>
              <w:t>On rule change</w:t>
            </w:r>
          </w:p>
        </w:tc>
      </w:tr>
      <w:tr>
        <w:tc>
          <w:tcPr>
            <w:tcW w:type="dxa" w:w="1656"/>
          </w:tcPr>
          <w:p>
            <w:r/>
            <w:r>
              <w:t>07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07_Decision_Log.md</w:t>
            </w:r>
          </w:p>
        </w:tc>
        <w:tc>
          <w:tcPr>
            <w:tcW w:type="dxa" w:w="1656"/>
          </w:tcPr>
          <w:p>
            <w:r/>
            <w:r>
              <w:t>Every locked decision behind this set</w:t>
            </w:r>
          </w:p>
        </w:tc>
        <w:tc>
          <w:tcPr>
            <w:tcW w:type="dxa" w:w="1656"/>
          </w:tcPr>
          <w:p>
            <w:r/>
            <w:r>
              <w:t xml:space="preserve">❌ </w:t>
            </w:r>
            <w:r>
              <w:rPr>
                <w:b/>
              </w:rPr>
              <w:t>NO — internal only</w:t>
            </w:r>
          </w:p>
        </w:tc>
        <w:tc>
          <w:tcPr>
            <w:tcW w:type="dxa" w:w="1656"/>
          </w:tcPr>
          <w:p>
            <w:r/>
            <w:r>
              <w:t>Ranjith</w:t>
            </w:r>
          </w:p>
        </w:tc>
        <w:tc>
          <w:tcPr>
            <w:tcW w:type="dxa" w:w="1656"/>
          </w:tcPr>
          <w:p>
            <w:r/>
            <w:r>
              <w:t>On decision change</w:t>
            </w:r>
          </w:p>
        </w:tc>
      </w:tr>
      <w:tr>
        <w:tc>
          <w:tcPr>
            <w:tcW w:type="dxa" w:w="1656"/>
          </w:tcPr>
          <w:p>
            <w:r/>
            <w:r>
              <w:t>08</w:t>
            </w:r>
          </w:p>
        </w:tc>
        <w:tc>
          <w:tcPr>
            <w:tcW w:type="dxa" w:w="1656"/>
          </w:tcPr>
          <w:p>
            <w:r/>
            <w:r>
              <w:rPr>
                <w:rFonts w:ascii="Menlo" w:hAnsi="Menlo"/>
                <w:sz w:val="19"/>
              </w:rPr>
              <w:t>08_DataLabs.md</w:t>
            </w:r>
          </w:p>
        </w:tc>
        <w:tc>
          <w:tcPr>
            <w:tcW w:type="dxa" w:w="1656"/>
          </w:tcPr>
          <w:p>
            <w:r/>
            <w:r>
              <w:t>What DataLabs is, its tiers as capability, profiles, signals, search</w:t>
            </w:r>
          </w:p>
        </w:tc>
        <w:tc>
          <w:tcPr>
            <w:tcW w:type="dxa" w:w="1656"/>
          </w:tcPr>
          <w:p>
            <w:r/>
            <w:r>
              <w:t xml:space="preserve">✅ Yes — </w:t>
            </w:r>
            <w:r>
              <w:rPr>
                <w:b/>
              </w:rPr>
              <w:t>Source S3</w:t>
            </w:r>
          </w:p>
        </w:tc>
        <w:tc>
          <w:tcPr>
            <w:tcW w:type="dxa" w:w="1656"/>
          </w:tcPr>
          <w:p>
            <w:r/>
            <w:r>
              <w:t>Ashish</w:t>
            </w:r>
          </w:p>
        </w:tc>
        <w:tc>
          <w:tcPr>
            <w:tcW w:type="dxa" w:w="1656"/>
          </w:tcPr>
          <w:p>
            <w:r/>
            <w:r>
              <w:t>Monthly</w:t>
            </w:r>
          </w:p>
        </w:tc>
      </w:tr>
    </w:tbl>
    <w:p/>
    <w:p>
      <w:r>
        <w:t xml:space="preserve">🔴 </w:t>
      </w:r>
      <w:r>
        <w:rPr>
          <w:b/>
        </w:rPr>
        <w:t>05 and 07 must never be ingested.</w:t>
      </w:r>
      <w:r>
        <w:t xml:space="preserve"> They contain internal reasoning, blockers and named owners. If they end up in the vector DB, AskInc42 can quote Inc42's internal decision-making back to a user.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The five approved knowledge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Where it comes from</w:t>
            </w:r>
          </w:p>
        </w:tc>
        <w:tc>
          <w:tcPr>
            <w:tcW w:type="dxa" w:w="3312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Covered by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S1 — Editorial articles</w:t>
            </w:r>
          </w:p>
        </w:tc>
        <w:tc>
          <w:tcPr>
            <w:tcW w:type="dxa" w:w="3312"/>
          </w:tcPr>
          <w:p>
            <w:r/>
            <w:r>
              <w:t>Existing live pipeline</w:t>
            </w:r>
          </w:p>
        </w:tc>
        <w:tc>
          <w:tcPr>
            <w:tcW w:type="dxa" w:w="3312"/>
          </w:tcPr>
          <w:p>
            <w:r/>
            <w:r>
              <w:t>Already live, no doc needed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S2 — Company information</w:t>
            </w:r>
          </w:p>
        </w:tc>
        <w:tc>
          <w:tcPr>
            <w:tcW w:type="dxa" w:w="3312"/>
          </w:tcPr>
          <w:p>
            <w:r/>
            <w:r>
              <w:t>Existing live pipeline (DataLabs)</w:t>
            </w:r>
          </w:p>
        </w:tc>
        <w:tc>
          <w:tcPr>
            <w:tcW w:type="dxa" w:w="3312"/>
          </w:tcPr>
          <w:p>
            <w:r/>
            <w:r>
              <w:t>Already live, no doc needed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S3 — Inc42 IPs</w:t>
            </w:r>
          </w:p>
        </w:tc>
        <w:tc>
          <w:tcPr>
            <w:tcW w:type="dxa" w:w="3312"/>
          </w:tcPr>
          <w:p>
            <w:r/>
            <w:r>
              <w:t>Authored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02</w:t>
            </w:r>
            <w:r>
              <w:t xml:space="preserve"> + </w:t>
            </w:r>
            <w:r>
              <w:rPr>
                <w:rFonts w:ascii="Menlo" w:hAnsi="Menlo"/>
                <w:sz w:val="19"/>
              </w:rPr>
              <w:t>04</w:t>
            </w:r>
            <w:r>
              <w:t xml:space="preserve"> + </w:t>
            </w:r>
            <w:r>
              <w:rPr>
                <w:rFonts w:ascii="Menlo" w:hAnsi="Menlo"/>
                <w:sz w:val="19"/>
              </w:rPr>
              <w:t>08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S4 — App context</w:t>
            </w:r>
          </w:p>
        </w:tc>
        <w:tc>
          <w:tcPr>
            <w:tcW w:type="dxa" w:w="3312"/>
          </w:tcPr>
          <w:p>
            <w:r/>
            <w:r>
              <w:t>Authored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01</w:t>
            </w:r>
          </w:p>
        </w:tc>
      </w:tr>
      <w:tr>
        <w:tc>
          <w:tcPr>
            <w:tcW w:type="dxa" w:w="3312"/>
          </w:tcPr>
          <w:p>
            <w:r/>
            <w:r>
              <w:rPr>
                <w:b/>
              </w:rPr>
              <w:t>S5 — T&amp;C + Privacy</w:t>
            </w:r>
          </w:p>
        </w:tc>
        <w:tc>
          <w:tcPr>
            <w:tcW w:type="dxa" w:w="3312"/>
          </w:tcPr>
          <w:p>
            <w:r/>
            <w:r>
              <w:t>Authored summaries only</w:t>
            </w:r>
          </w:p>
        </w:tc>
        <w:tc>
          <w:tcPr>
            <w:tcW w:type="dxa" w:w="3312"/>
          </w:tcPr>
          <w:p>
            <w:r/>
            <w:r>
              <w:rPr>
                <w:rFonts w:ascii="Menlo" w:hAnsi="Menlo"/>
                <w:sz w:val="19"/>
              </w:rPr>
              <w:t>03</w:t>
            </w:r>
          </w:p>
        </w:tc>
      </w:tr>
    </w:tbl>
    <w:p/>
    <w:p>
      <w:r>
        <w:t xml:space="preserve">S1 and S2 are pipelines. S3, S4 and S5 are </w:t>
      </w:r>
      <w:r>
        <w:rPr>
          <w:b/>
        </w:rPr>
        <w:t>authored documents, not scrapes</w:t>
      </w:r>
      <w:r>
        <w:t xml:space="preserve"> — the live sites carry the volatile commercials this set deliberately excludes.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What was added beyond the five topics requested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Doc</w:t>
            </w:r>
          </w:p>
        </w:tc>
        <w:tc>
          <w:tcPr>
            <w:tcW w:type="dxa" w:w="4968"/>
            <w:shd w:val="clear" w:color="auto" w:fill="E8EDF3"/>
          </w:tcPr>
          <w:p>
            <w:r>
              <w:rPr>
                <w:b/>
              </w:rPr>
            </w:r>
            <w:r>
              <w:rPr>
                <w:b/>
              </w:rPr>
              <w:t>Why it exists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06_Response_Rules.md</w:t>
            </w:r>
          </w:p>
        </w:tc>
        <w:tc>
          <w:tcPr>
            <w:tcW w:type="dxa" w:w="4968"/>
          </w:tcPr>
          <w:p>
            <w:r/>
            <w:r>
              <w:t>The deflection behaviour is not knowledge — it's a rule set. Left inside a knowledge file it either gets ingested as facts or gets missed by whoever wires the prompts. It needs its own home.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07_Decision_Log.md</w:t>
            </w:r>
          </w:p>
        </w:tc>
        <w:tc>
          <w:tcPr>
            <w:tcW w:type="dxa" w:w="4968"/>
          </w:tcPr>
          <w:p>
            <w:r/>
            <w:r>
              <w:t xml:space="preserve">Every decision behind this set in one place, so nobody re-opens a settled call. Open items were reviewed and closed on 14 Aug — only two Utkarsh sign-offs remain, and they sit in </w:t>
            </w:r>
            <w:r>
              <w:rPr>
                <w:rFonts w:ascii="Menlo" w:hAnsi="Menlo"/>
                <w:sz w:val="19"/>
              </w:rPr>
              <w:t>05</w:t>
            </w:r>
            <w:r>
              <w:t>.</w:t>
            </w:r>
          </w:p>
        </w:tc>
      </w:tr>
      <w:tr>
        <w:tc>
          <w:tcPr>
            <w:tcW w:type="dxa" w:w="4968"/>
          </w:tcPr>
          <w:p>
            <w:r/>
            <w:r>
              <w:rPr>
                <w:rFonts w:ascii="Menlo" w:hAnsi="Menlo"/>
                <w:sz w:val="19"/>
              </w:rPr>
              <w:t>00_README_Index.md</w:t>
            </w:r>
          </w:p>
        </w:tc>
        <w:tc>
          <w:tcPr>
            <w:tcW w:type="dxa" w:w="4968"/>
          </w:tcPr>
          <w:p>
            <w:r/>
            <w:r>
              <w:t>Seven files with no map is how the confusion comes back.</w:t>
            </w:r>
          </w:p>
        </w:tc>
      </w:tr>
    </w:tbl>
    <w:p/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Maintenance</w:t>
      </w:r>
    </w:p>
    <w:p>
      <w:r>
        <w:t xml:space="preserve">Utkarsh's requirement: the knowledge must live somewhere deliberately maintained, with either regular fetching from live sources or a </w:t>
      </w:r>
      <w:r>
        <w:rPr>
          <w:b/>
        </w:rPr>
        <w:t>defined update cadence</w:t>
      </w:r>
      <w:r>
        <w:t xml:space="preserve">. Manual curation is fine </w:t>
      </w:r>
      <w:r>
        <w:rPr>
          <w:b/>
        </w:rPr>
        <w:t>provided the cadence is defined and followed</w:t>
      </w:r>
      <w:r>
        <w:t>.</w:t>
      </w:r>
    </w:p>
    <w:p>
      <w:pPr>
        <w:pStyle w:val="ListBullet"/>
      </w:pPr>
      <w:r>
        <w:t xml:space="preserve">Cadences are in the table above. </w:t>
      </w:r>
      <w:r>
        <w:rPr>
          <w:rFonts w:ascii="Menlo" w:hAnsi="Menlo"/>
          <w:sz w:val="19"/>
        </w:rPr>
        <w:t>04_IPs_Overview.md</w:t>
      </w:r>
      <w:r>
        <w:t xml:space="preserve"> is weekly because editions, dates and application windows move fastest.</w:t>
      </w:r>
    </w:p>
    <w:p>
      <w:pPr>
        <w:pStyle w:val="ListBullet"/>
      </w:pPr>
      <w:r>
        <w:t xml:space="preserve">Every document carries a </w:t>
      </w:r>
      <w:r>
        <w:rPr>
          <w:rFonts w:ascii="Menlo" w:hAnsi="Menlo"/>
          <w:sz w:val="19"/>
        </w:rPr>
        <w:t>Verified</w:t>
      </w:r>
      <w:r>
        <w:t xml:space="preserve"> date in its header. Update it on every review, even when nothing changed.</w:t>
      </w:r>
    </w:p>
    <w:p>
      <w:pPr>
        <w:pStyle w:val="ListBullet"/>
      </w:pPr>
      <w:r>
        <w:rPr>
          <w:b/>
        </w:rPr>
        <w:t>A cadence with no named owner is a static file with extra steps.</w:t>
      </w:r>
      <w:r>
        <w:t xml:space="preserve"> Owners are named above; confirm them on Ashish's ticket.</w:t>
      </w:r>
    </w:p>
    <w:p>
      <w:pPr>
        <w:pStyle w:val="ListBullet"/>
      </w:pPr>
      <w:r>
        <w:rPr>
          <w:b/>
        </w:rPr>
        <w:t>Sweep both hosts</w:t>
      </w:r>
      <w:r>
        <w:t xml:space="preserve"> — </w:t>
      </w:r>
      <w:r>
        <w:rPr>
          <w:rFonts w:ascii="Menlo" w:hAnsi="Menlo"/>
          <w:sz w:val="19"/>
        </w:rPr>
        <w:t>inc42.com</w:t>
      </w:r>
      <w:r>
        <w:t xml:space="preserve"> </w:t>
      </w:r>
      <w:r>
        <w:rPr>
          <w:i/>
        </w:rPr>
        <w:t>and</w:t>
      </w:r>
      <w:r>
        <w:t xml:space="preserve"> </w:t>
      </w:r>
      <w:r>
        <w:rPr>
          <w:rFonts w:ascii="Menlo" w:hAnsi="Menlo"/>
          <w:sz w:val="19"/>
        </w:rPr>
        <w:t>events.inc42.com</w:t>
      </w:r>
      <w:r>
        <w:t>. The CTO Summit was missed in the first audit because it lives on the subdomain and isn't on the main events listing.</w:t>
      </w:r>
    </w:p>
    <w:p>
      <w:pPr>
        <w:pBdr>
          <w:bottom w:val="single" w:sz="6" w:space="1" w:color="C8CDD4"/>
        </w:pBdr>
      </w:pPr>
    </w:p>
    <w:p>
      <w:pPr>
        <w:pStyle w:val="Heading2"/>
      </w:pPr>
      <w:r>
        <w:rPr>
          <w:color w:val="1A3D6B"/>
        </w:rPr>
        <w:t>Where the lines fall</w:t>
      </w:r>
    </w:p>
    <w:p>
      <w:r>
        <w:t>Three rules do most of the work, and they are easy to blur:</w:t>
      </w:r>
    </w:p>
    <w:p>
      <w:pPr>
        <w:pStyle w:val="ListBullet"/>
      </w:pPr>
      <w:r>
        <w:rPr>
          <w:b/>
        </w:rPr>
        <w:t>Access model vs price.</w:t>
      </w:r>
      <w:r>
        <w:t xml:space="preserve"> </w:t>
      </w:r>
      <w:r>
        <w:rPr>
          <w:i/>
        </w:rPr>
        <w:t>"Is D2CX paid?"</w:t>
      </w:r>
      <w:r>
        <w:t xml:space="preserve"> is answerable. </w:t>
      </w:r>
      <w:r>
        <w:rPr>
          <w:i/>
        </w:rPr>
        <w:t>"How much is D2CX?"</w:t>
      </w:r>
      <w:r>
        <w:t xml:space="preserve"> is a redirect.</w:t>
      </w:r>
    </w:p>
    <w:p>
      <w:pPr>
        <w:pStyle w:val="ListBullet"/>
      </w:pPr>
      <w:r>
        <w:rPr>
          <w:b/>
        </w:rPr>
        <w:t>Eligibility vs a ruling.</w:t>
      </w:r>
      <w:r>
        <w:t xml:space="preserve"> </w:t>
      </w:r>
      <w:r>
        <w:rPr>
          <w:i/>
        </w:rPr>
        <w:t>"What are the criteria?"</w:t>
      </w:r>
      <w:r>
        <w:t xml:space="preserve"> is answerable. </w:t>
      </w:r>
      <w:r>
        <w:rPr>
          <w:i/>
        </w:rPr>
        <w:t>"Do I qualify?"</w:t>
      </w:r>
      <w:r>
        <w:t xml:space="preserve"> is not.</w:t>
      </w:r>
    </w:p>
    <w:p>
      <w:pPr>
        <w:pStyle w:val="ListBullet"/>
      </w:pPr>
      <w:r>
        <w:rPr>
          <w:b/>
        </w:rPr>
        <w:t>Authoritative vs exclusive.</w:t>
      </w:r>
      <w:r>
        <w:t xml:space="preserve"> Web search is on. The five sources win on anything about Inc42's own business; where they're silent, deflect rather than reconstruct.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