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D6B"/>
        </w:rPr>
        <w:t>Terms &amp; Conditions and Privacy Policy — Approved Summaries</w:t>
      </w:r>
    </w:p>
    <w:p>
      <w:r>
        <w:rPr>
          <w:b/>
        </w:rPr>
        <w:t>Source S5 · v1 · Policy version 16 Jul 2026 · Verified 14 Aug 2026 · Owner: Ashish · Sign-off: Utkarsh · Review: on every policy version change</w:t>
      </w:r>
    </w:p>
    <w:p>
      <w:pPr>
        <w:pStyle w:val="Heading2"/>
      </w:pPr>
      <w:r>
        <w:rPr>
          <w:color w:val="1A3D6B"/>
        </w:rPr>
        <w:t>The rule that governs this entire document</w:t>
      </w:r>
    </w:p>
    <w:p>
      <w:r>
        <w:rPr>
          <w:b/>
        </w:rPr>
        <w:t>AskInc42 answers policy questions at summary level only.</w:t>
      </w:r>
      <w:r>
        <w:t xml:space="preserve"> It does not quote, cite section numbers, interpret clauses, or apply a clause to a user's situation.</w:t>
      </w:r>
    </w:p>
    <w:p>
      <w:r>
        <w:t xml:space="preserve">This document is a </w:t>
      </w:r>
      <w:r>
        <w:rPr>
          <w:b/>
        </w:rPr>
        <w:t>fixed, signed-off set of answers</w:t>
      </w:r>
      <w:r>
        <w:t xml:space="preserve"> — not raw policy text to summarise on the fly. Generating a "high-level summary" from the live policy at query time is how clause-level detail leaks back in. If a question isn't covered here, route to Contact Us.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Allowed</w:t>
            </w:r>
          </w:p>
        </w:tc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Not allowed</w:t>
            </w:r>
          </w:p>
        </w:tc>
      </w:tr>
      <w:tr>
        <w:tc>
          <w:tcPr>
            <w:tcW w:type="dxa" w:w="4968"/>
          </w:tcPr>
          <w:p>
            <w:r/>
            <w:r>
              <w:t>The topic, in plain language</w:t>
            </w:r>
          </w:p>
        </w:tc>
        <w:tc>
          <w:tcPr>
            <w:tcW w:type="dxa" w:w="4968"/>
          </w:tcPr>
          <w:p>
            <w:r/>
            <w:r>
              <w:t>Verbatim quotes</w:t>
            </w:r>
          </w:p>
        </w:tc>
      </w:tr>
      <w:tr>
        <w:tc>
          <w:tcPr>
            <w:tcW w:type="dxa" w:w="4968"/>
          </w:tcPr>
          <w:p>
            <w:r/>
            <w:r>
              <w:t>The user-facing outcome</w:t>
            </w:r>
          </w:p>
        </w:tc>
        <w:tc>
          <w:tcPr>
            <w:tcW w:type="dxa" w:w="4968"/>
          </w:tcPr>
          <w:p>
            <w:r/>
            <w:r>
              <w:t>Section numbers or defined terms</w:t>
            </w:r>
          </w:p>
        </w:tc>
      </w:tr>
      <w:tr>
        <w:tc>
          <w:tcPr>
            <w:tcW w:type="dxa" w:w="4968"/>
          </w:tcPr>
          <w:p>
            <w:r/>
            <w:r>
              <w:t>Where to read the full text</w:t>
            </w:r>
          </w:p>
        </w:tc>
        <w:tc>
          <w:tcPr>
            <w:tcW w:type="dxa" w:w="4968"/>
          </w:tcPr>
          <w:p>
            <w:r/>
            <w:r>
              <w:t>Clause-by-clause explanation</w:t>
            </w:r>
          </w:p>
        </w:tc>
      </w:tr>
      <w:tr>
        <w:tc>
          <w:tcPr>
            <w:tcW w:type="dxa" w:w="4968"/>
          </w:tcPr>
          <w:p>
            <w:r/>
          </w:p>
        </w:tc>
        <w:tc>
          <w:tcPr>
            <w:tcW w:type="dxa" w:w="4968"/>
          </w:tcPr>
          <w:p>
            <w:r/>
            <w:r>
              <w:t>"Does this clause apply to me?" — ever</w:t>
            </w:r>
          </w:p>
        </w:tc>
      </w:tr>
    </w:tbl>
    <w:p/>
    <w:p>
      <w:r>
        <w:t xml:space="preserve">Full text lives at </w:t>
      </w:r>
      <w:r>
        <w:rPr>
          <w:rFonts w:ascii="Menlo" w:hAnsi="Menlo"/>
          <w:sz w:val="19"/>
        </w:rPr>
        <w:t>inc42.com/terms-and-conditions</w:t>
      </w:r>
      <w:r>
        <w:t xml:space="preserve"> and </w:t>
      </w:r>
      <w:r>
        <w:rPr>
          <w:rFonts w:ascii="Menlo" w:hAnsi="Menlo"/>
          <w:sz w:val="19"/>
        </w:rPr>
        <w:t>inc42.com/privacy-policy</w:t>
      </w:r>
      <w:r>
        <w:t xml:space="preserve">. In the app: </w:t>
      </w:r>
      <w:r>
        <w:rPr>
          <w:b/>
        </w:rPr>
        <w:t>Profile → About</w:t>
      </w:r>
      <w:r>
        <w:t>.</w:t>
      </w:r>
    </w:p>
    <w:p>
      <w:pPr>
        <w:pBdr>
          <w:bottom w:val="single" w:sz="6" w:space="1" w:color="C8CDD4"/>
        </w:pBdr>
      </w:pPr>
    </w:p>
    <w:p>
      <w:pPr>
        <w:pStyle w:val="Heading2"/>
      </w:pPr>
      <w:r>
        <w:rPr>
          <w:color w:val="1A3D6B"/>
        </w:rPr>
        <w:t>1. What the documents are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8EDF3"/>
          </w:tcPr>
          <w:p>
            <w:r>
              <w:rPr>
                <w:b/>
              </w:rPr>
            </w:r>
          </w:p>
        </w:tc>
        <w:tc>
          <w:tcPr>
            <w:tcW w:type="dxa" w:w="3312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Terms of Use</w:t>
            </w:r>
          </w:p>
        </w:tc>
        <w:tc>
          <w:tcPr>
            <w:tcW w:type="dxa" w:w="3312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Privacy Policy</w:t>
            </w:r>
          </w:p>
        </w:tc>
      </w:tr>
      <w:tr>
        <w:tc>
          <w:tcPr>
            <w:tcW w:type="dxa" w:w="3312"/>
          </w:tcPr>
          <w:p>
            <w:r/>
            <w:r>
              <w:t>Last updated</w:t>
            </w:r>
          </w:p>
        </w:tc>
        <w:tc>
          <w:tcPr>
            <w:tcW w:type="dxa" w:w="3312"/>
          </w:tcPr>
          <w:p>
            <w:r/>
            <w:r>
              <w:t>16 July 2026</w:t>
            </w:r>
          </w:p>
        </w:tc>
        <w:tc>
          <w:tcPr>
            <w:tcW w:type="dxa" w:w="3312"/>
          </w:tcPr>
          <w:p>
            <w:r/>
            <w:r>
              <w:t>16 July 2026</w:t>
            </w:r>
          </w:p>
        </w:tc>
      </w:tr>
      <w:tr>
        <w:tc>
          <w:tcPr>
            <w:tcW w:type="dxa" w:w="3312"/>
          </w:tcPr>
          <w:p>
            <w:r/>
            <w:r>
              <w:t>Entities named</w:t>
            </w:r>
          </w:p>
        </w:tc>
        <w:tc>
          <w:tcPr>
            <w:tcW w:type="dxa" w:w="3312"/>
          </w:tcPr>
          <w:p>
            <w:r/>
            <w:r>
              <w:t>Inc42 Plus Media Private Limited (operator), Ideope Media Private Limited (licence holder)</w:t>
            </w:r>
          </w:p>
        </w:tc>
        <w:tc>
          <w:tcPr>
            <w:tcW w:type="dxa" w:w="3312"/>
          </w:tcPr>
          <w:p>
            <w:r/>
            <w:r>
              <w:t>Same</w:t>
            </w:r>
          </w:p>
        </w:tc>
      </w:tr>
      <w:tr>
        <w:tc>
          <w:tcPr>
            <w:tcW w:type="dxa" w:w="3312"/>
          </w:tcPr>
          <w:p>
            <w:r/>
            <w:r>
              <w:t>Governing law</w:t>
            </w:r>
          </w:p>
        </w:tc>
        <w:tc>
          <w:tcPr>
            <w:tcW w:type="dxa" w:w="3312"/>
          </w:tcPr>
          <w:p>
            <w:r/>
            <w:r>
              <w:t>Laws of India</w:t>
            </w:r>
          </w:p>
        </w:tc>
        <w:tc>
          <w:tcPr>
            <w:tcW w:type="dxa" w:w="3312"/>
          </w:tcPr>
          <w:p>
            <w:r/>
            <w:r>
              <w:t>—</w:t>
            </w:r>
          </w:p>
        </w:tc>
      </w:tr>
      <w:tr>
        <w:tc>
          <w:tcPr>
            <w:tcW w:type="dxa" w:w="3312"/>
          </w:tcPr>
          <w:p>
            <w:r/>
            <w:r>
              <w:t>Jurisdiction</w:t>
            </w:r>
          </w:p>
        </w:tc>
        <w:tc>
          <w:tcPr>
            <w:tcW w:type="dxa" w:w="3312"/>
          </w:tcPr>
          <w:p>
            <w:r/>
            <w:r>
              <w:t>New Delhi courts, exclusive</w:t>
            </w:r>
          </w:p>
        </w:tc>
        <w:tc>
          <w:tcPr>
            <w:tcW w:type="dxa" w:w="3312"/>
          </w:tcPr>
          <w:p>
            <w:r/>
            <w:r>
              <w:t>—</w:t>
            </w:r>
          </w:p>
        </w:tc>
      </w:tr>
      <w:tr>
        <w:tc>
          <w:tcPr>
            <w:tcW w:type="dxa" w:w="3312"/>
          </w:tcPr>
          <w:p>
            <w:r/>
            <w:r>
              <w:t>Where to read</w:t>
            </w:r>
          </w:p>
        </w:tc>
        <w:tc>
          <w:tcPr>
            <w:tcW w:type="dxa" w:w="3312"/>
          </w:tcPr>
          <w:p>
            <w:r/>
            <w:r>
              <w:rPr>
                <w:rFonts w:ascii="Menlo" w:hAnsi="Menlo"/>
                <w:sz w:val="19"/>
              </w:rPr>
              <w:t>inc42.com/terms-and-conditions</w:t>
            </w:r>
            <w:r>
              <w:t xml:space="preserve"> · in app: Profile → About</w:t>
            </w:r>
          </w:p>
        </w:tc>
        <w:tc>
          <w:tcPr>
            <w:tcW w:type="dxa" w:w="3312"/>
          </w:tcPr>
          <w:p>
            <w:r/>
            <w:r>
              <w:rPr>
                <w:rFonts w:ascii="Menlo" w:hAnsi="Menlo"/>
                <w:sz w:val="19"/>
              </w:rPr>
              <w:t>inc42.com/privacy-policy</w:t>
            </w:r>
            <w:r>
              <w:t xml:space="preserve"> · in app: Profile → About</w:t>
            </w:r>
          </w:p>
        </w:tc>
      </w:tr>
    </w:tbl>
    <w:p/>
    <w:p>
      <w:pPr>
        <w:pBdr>
          <w:bottom w:val="single" w:sz="6" w:space="1" w:color="C8CDD4"/>
        </w:pBdr>
      </w:pPr>
    </w:p>
    <w:p>
      <w:pPr>
        <w:pStyle w:val="Heading2"/>
      </w:pPr>
      <w:r>
        <w:rPr>
          <w:color w:val="1A3D6B"/>
        </w:rPr>
        <w:t>2. Terms of Use — what it covers, in plain language</w:t>
      </w:r>
    </w:p>
    <w:p>
      <w:pPr>
        <w:pStyle w:val="ListBullet"/>
      </w:pPr>
      <w:r>
        <w:rPr>
          <w:b/>
        </w:rPr>
        <w:t>Who can use the platform</w:t>
      </w:r>
      <w:r>
        <w:t xml:space="preserve"> and what an account means</w:t>
      </w:r>
    </w:p>
    <w:p>
      <w:pPr>
        <w:pStyle w:val="ListBullet"/>
      </w:pPr>
      <w:r>
        <w:rPr>
          <w:b/>
        </w:rPr>
        <w:t>What the services are</w:t>
      </w:r>
      <w:r>
        <w:t xml:space="preserve"> and the limits on how content and data may be used</w:t>
      </w:r>
    </w:p>
    <w:p>
      <w:pPr>
        <w:pStyle w:val="ListBullet"/>
      </w:pPr>
      <w:r>
        <w:rPr>
          <w:b/>
        </w:rPr>
        <w:t>What isn't allowed</w:t>
      </w:r>
      <w:r>
        <w:t xml:space="preserve"> — copying or redistributing content, scraping, using content to train AI models, misusing contact data, unauthorised access</w:t>
      </w:r>
    </w:p>
    <w:p>
      <w:pPr>
        <w:pStyle w:val="ListBullet"/>
      </w:pPr>
      <w:r>
        <w:rPr>
          <w:b/>
        </w:rPr>
        <w:t>Attribution</w:t>
      </w:r>
      <w:r>
        <w:t xml:space="preserve"> — where Inc42 data is used, it must be credited and not altered or misrepresented</w:t>
      </w:r>
    </w:p>
    <w:p>
      <w:pPr>
        <w:pStyle w:val="ListBullet"/>
      </w:pPr>
      <w:r>
        <w:rPr>
          <w:b/>
        </w:rPr>
        <w:t>Intellectual property</w:t>
      </w:r>
      <w:r>
        <w:t xml:space="preserve"> — Inc42's content, code and compilations belong to Inc42; users get a limited, non-transferable, revocable licence for their own use</w:t>
      </w:r>
    </w:p>
    <w:p>
      <w:pPr>
        <w:pStyle w:val="ListBullet"/>
      </w:pPr>
      <w:r>
        <w:rPr>
          <w:b/>
        </w:rPr>
        <w:t>AI-generated content</w:t>
      </w:r>
      <w:r>
        <w:t xml:space="preserve"> — the Terms carry a disclaimer covering AI-assisted output</w:t>
      </w:r>
    </w:p>
    <w:p>
      <w:pPr>
        <w:pStyle w:val="ListBullet"/>
      </w:pPr>
      <w:r>
        <w:rPr>
          <w:b/>
        </w:rPr>
        <w:t>Subscriptions, payments, renewal and cancellation</w:t>
      </w:r>
      <w:r>
        <w:t xml:space="preserve"> — for paid Inc42 products. </w:t>
      </w:r>
      <w:r>
        <w:rPr>
          <w:b/>
        </w:rPr>
        <w:t>Never state amounts, plans or tiers</w:t>
      </w:r>
    </w:p>
    <w:p>
      <w:pPr>
        <w:pStyle w:val="ListBullet"/>
      </w:pPr>
      <w:r>
        <w:rPr>
          <w:b/>
        </w:rPr>
        <w:t>Accounts and termination</w:t>
      </w:r>
      <w:r>
        <w:t xml:space="preserve"> — how accounts are registered and when they can be ended</w:t>
      </w:r>
    </w:p>
    <w:p>
      <w:pPr>
        <w:pStyle w:val="ListBullet"/>
      </w:pPr>
      <w:r>
        <w:rPr>
          <w:b/>
        </w:rPr>
        <w:t>Liability, indemnity and third-party links</w:t>
      </w:r>
    </w:p>
    <w:p>
      <w:pPr>
        <w:pStyle w:val="ListBullet"/>
      </w:pPr>
      <w:r>
        <w:rPr>
          <w:b/>
        </w:rPr>
        <w:t>App Store terms</w:t>
      </w:r>
      <w:r>
        <w:t xml:space="preserve"> — for the mobile apps</w:t>
      </w:r>
    </w:p>
    <w:p>
      <w:pPr>
        <w:pStyle w:val="ListBullet"/>
      </w:pPr>
      <w:r>
        <w:rPr>
          <w:b/>
        </w:rPr>
        <w:t>Grievance redressal</w:t>
      </w:r>
      <w:r>
        <w:t xml:space="preserve"> and copyright-infringement notices</w:t>
      </w:r>
    </w:p>
    <w:p>
      <w:pPr>
        <w:pBdr>
          <w:bottom w:val="single" w:sz="6" w:space="1" w:color="C8CDD4"/>
        </w:pBdr>
      </w:pPr>
    </w:p>
    <w:p>
      <w:pPr>
        <w:pStyle w:val="Heading2"/>
      </w:pPr>
      <w:r>
        <w:rPr>
          <w:color w:val="1A3D6B"/>
        </w:rPr>
        <w:t>3. Privacy Policy — what it covers, in plain language</w:t>
      </w:r>
    </w:p>
    <w:p>
      <w:pPr>
        <w:pStyle w:val="ListBullet"/>
      </w:pPr>
      <w:r>
        <w:rPr>
          <w:b/>
        </w:rPr>
        <w:t>What's collected</w:t>
      </w:r>
      <w:r>
        <w:t xml:space="preserve"> — the details you give when you create an account and use the platform, your preferences, and standard device and usage information</w:t>
      </w:r>
    </w:p>
    <w:p>
      <w:pPr>
        <w:pStyle w:val="ListBullet"/>
      </w:pPr>
      <w:r>
        <w:rPr>
          <w:b/>
        </w:rPr>
        <w:t>Why it's collected</w:t>
      </w:r>
      <w:r>
        <w:t xml:space="preserve"> — to deliver and personalise the service, support you, keep the platform secure, and meet legal obligations</w:t>
      </w:r>
    </w:p>
    <w:p>
      <w:pPr>
        <w:pStyle w:val="ListBullet"/>
      </w:pPr>
      <w:r>
        <w:rPr>
          <w:b/>
        </w:rPr>
        <w:t>Cookies and similar technologies</w:t>
      </w:r>
    </w:p>
    <w:p>
      <w:pPr>
        <w:pStyle w:val="ListBullet"/>
      </w:pPr>
      <w:r>
        <w:rPr>
          <w:b/>
        </w:rPr>
        <w:t>Who it's shared with</w:t>
      </w:r>
      <w:r>
        <w:t xml:space="preserve"> — service providers who help run the platform</w:t>
      </w:r>
    </w:p>
    <w:p>
      <w:pPr>
        <w:pStyle w:val="ListBullet"/>
      </w:pPr>
      <w:r>
        <w:rPr>
          <w:b/>
        </w:rPr>
        <w:t>Where data is processed</w:t>
      </w:r>
      <w:r>
        <w:t>, including transfers outside India</w:t>
      </w:r>
    </w:p>
    <w:p>
      <w:pPr>
        <w:pStyle w:val="ListBullet"/>
      </w:pPr>
      <w:r>
        <w:rPr>
          <w:b/>
        </w:rPr>
        <w:t>Your rights</w:t>
      </w:r>
      <w:r>
        <w:t xml:space="preserve"> — access, correct, delete, withdraw consent, and raise a grievance</w:t>
      </w:r>
    </w:p>
    <w:p>
      <w:pPr>
        <w:pStyle w:val="ListBullet"/>
      </w:pPr>
      <w:r>
        <w:rPr>
          <w:b/>
        </w:rPr>
        <w:t>How long data is kept</w:t>
      </w:r>
    </w:p>
    <w:p>
      <w:pPr>
        <w:pStyle w:val="ListBullet"/>
      </w:pPr>
      <w:r>
        <w:rPr>
          <w:b/>
        </w:rPr>
        <w:t>Security</w:t>
      </w:r>
      <w:r>
        <w:t xml:space="preserve"> and what happens in a breach</w:t>
      </w:r>
    </w:p>
    <w:p>
      <w:pPr>
        <w:pStyle w:val="ListBullet"/>
      </w:pPr>
      <w:r>
        <w:rPr>
          <w:b/>
        </w:rPr>
        <w:t>Age</w:t>
      </w:r>
      <w:r>
        <w:t xml:space="preserve"> — the services are for users 18 and over</w:t>
      </w:r>
    </w:p>
    <w:p>
      <w:pPr>
        <w:pStyle w:val="ListBullet"/>
      </w:pPr>
      <w:r>
        <w:rPr>
          <w:b/>
        </w:rPr>
        <w:t>Grievance redressal</w:t>
      </w:r>
      <w:r>
        <w:t xml:space="preserve"> — a Grievance Officer is named, with contact details on the policy</w:t>
      </w:r>
    </w:p>
    <w:p>
      <w:pPr>
        <w:pBdr>
          <w:bottom w:val="single" w:sz="6" w:space="1" w:color="C8CDD4"/>
        </w:pBdr>
      </w:pPr>
    </w:p>
    <w:p>
      <w:pPr>
        <w:pStyle w:val="Heading2"/>
      </w:pPr>
      <w:r>
        <w:rPr>
          <w:color w:val="1A3D6B"/>
        </w:rPr>
        <w:t>4. Approved answers</w:t>
      </w:r>
    </w:p>
    <w:p>
      <w:r>
        <w:t>Use these. If a question isn't here, route to Contact Us.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User asks</w:t>
            </w:r>
          </w:p>
        </w:tc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Approved answer</w:t>
            </w:r>
          </w:p>
        </w:tc>
      </w:tr>
      <w:tr>
        <w:tc>
          <w:tcPr>
            <w:tcW w:type="dxa" w:w="4968"/>
          </w:tcPr>
          <w:p>
            <w:r/>
            <w:r>
              <w:t>What's the minimum age?</w:t>
            </w:r>
          </w:p>
        </w:tc>
        <w:tc>
          <w:tcPr>
            <w:tcW w:type="dxa" w:w="4968"/>
          </w:tcPr>
          <w:p>
            <w:r/>
            <w:r>
              <w:t>Inc42's services are for users 18 and over.</w:t>
            </w:r>
          </w:p>
        </w:tc>
      </w:tr>
      <w:tr>
        <w:tc>
          <w:tcPr>
            <w:tcW w:type="dxa" w:w="4968"/>
          </w:tcPr>
          <w:p>
            <w:r/>
            <w:r>
              <w:t>How is my data handled?</w:t>
            </w:r>
          </w:p>
        </w:tc>
        <w:tc>
          <w:tcPr>
            <w:tcW w:type="dxa" w:w="4968"/>
          </w:tcPr>
          <w:p>
            <w:r/>
            <w:r>
              <w:t>Inc42 follows a privacy policy covering what's collected, how it's used and your rights over it. You can read it in full — in the app, open Privacy Policy under About on your Profile.</w:t>
            </w:r>
          </w:p>
        </w:tc>
      </w:tr>
      <w:tr>
        <w:tc>
          <w:tcPr>
            <w:tcW w:type="dxa" w:w="4968"/>
          </w:tcPr>
          <w:p>
            <w:r/>
            <w:r>
              <w:t>What data do you collect?</w:t>
            </w:r>
          </w:p>
        </w:tc>
        <w:tc>
          <w:tcPr>
            <w:tcW w:type="dxa" w:w="4968"/>
          </w:tcPr>
          <w:p>
            <w:r/>
            <w:r>
              <w:t>The details you provide when you create an account and use the platform, your preferences, and standard device and usage information. The Privacy Policy has the full list.</w:t>
            </w:r>
          </w:p>
        </w:tc>
      </w:tr>
      <w:tr>
        <w:tc>
          <w:tcPr>
            <w:tcW w:type="dxa" w:w="4968"/>
          </w:tcPr>
          <w:p>
            <w:r/>
            <w:r>
              <w:t>Do you sell my data?</w:t>
            </w:r>
          </w:p>
        </w:tc>
        <w:tc>
          <w:tcPr>
            <w:tcW w:type="dxa" w:w="4968"/>
          </w:tcPr>
          <w:p>
            <w:r/>
            <w:r>
              <w:t>Inc42's Privacy Policy sets out who your data is shared with and why. Read it in full for the specifics — I can't summarise beyond that.</w:t>
            </w:r>
          </w:p>
        </w:tc>
      </w:tr>
      <w:tr>
        <w:tc>
          <w:tcPr>
            <w:tcW w:type="dxa" w:w="4968"/>
          </w:tcPr>
          <w:p>
            <w:r/>
            <w:r>
              <w:t>Do you share my data with anyone?</w:t>
            </w:r>
          </w:p>
        </w:tc>
        <w:tc>
          <w:tcPr>
            <w:tcW w:type="dxa" w:w="4968"/>
          </w:tcPr>
          <w:p>
            <w:r/>
            <w:r>
              <w:t>The Privacy Policy lists the service providers involved in running the platform. Read it in full for the specifics.</w:t>
            </w:r>
          </w:p>
        </w:tc>
      </w:tr>
      <w:tr>
        <w:tc>
          <w:tcPr>
            <w:tcW w:type="dxa" w:w="4968"/>
          </w:tcPr>
          <w:p>
            <w:r/>
            <w:r>
              <w:t>Can I delete my account?</w:t>
            </w:r>
          </w:p>
        </w:tc>
        <w:tc>
          <w:tcPr>
            <w:tcW w:type="dxa" w:w="4968"/>
          </w:tcPr>
          <w:p>
            <w:r/>
            <w:r>
              <w:t>Yes. In the app, delete from Settings — you have a 7-day window to restore it by signing back in, after which it's permanent.</w:t>
            </w:r>
          </w:p>
        </w:tc>
      </w:tr>
      <w:tr>
        <w:tc>
          <w:tcPr>
            <w:tcW w:type="dxa" w:w="4968"/>
          </w:tcPr>
          <w:p>
            <w:r/>
            <w:r>
              <w:t>What gets deleted with my account?</w:t>
            </w:r>
          </w:p>
        </w:tc>
        <w:tc>
          <w:tcPr>
            <w:tcW w:type="dxa" w:w="4968"/>
          </w:tcPr>
          <w:p>
            <w:r/>
            <w:r>
              <w:t>Your streak and badges, Watchlist, saved articles and Ask history, and your reading history and preferences.</w:t>
            </w:r>
          </w:p>
        </w:tc>
      </w:tr>
      <w:tr>
        <w:tc>
          <w:tcPr>
            <w:tcW w:type="dxa" w:w="4968"/>
          </w:tcPr>
          <w:p>
            <w:r/>
            <w:r>
              <w:t>Can I get my data / correct it?</w:t>
            </w:r>
          </w:p>
        </w:tc>
        <w:tc>
          <w:tcPr>
            <w:tcW w:type="dxa" w:w="4968"/>
          </w:tcPr>
          <w:p>
            <w:r/>
            <w:r>
              <w:t>Yes — the Privacy Policy covers access, correction, deletion and withdrawing consent. To make a request, use Contact Us.</w:t>
            </w:r>
          </w:p>
        </w:tc>
      </w:tr>
      <w:tr>
        <w:tc>
          <w:tcPr>
            <w:tcW w:type="dxa" w:w="4968"/>
          </w:tcPr>
          <w:p>
            <w:r/>
            <w:r>
              <w:t>How long do you keep my data?</w:t>
            </w:r>
          </w:p>
        </w:tc>
        <w:tc>
          <w:tcPr>
            <w:tcW w:type="dxa" w:w="4968"/>
          </w:tcPr>
          <w:p>
            <w:r/>
            <w:r>
              <w:t>Retention periods are set out in the Privacy Policy. Read it in full for the specifics.</w:t>
            </w:r>
          </w:p>
        </w:tc>
      </w:tr>
      <w:tr>
        <w:tc>
          <w:tcPr>
            <w:tcW w:type="dxa" w:w="4968"/>
          </w:tcPr>
          <w:p>
            <w:r/>
            <w:r>
              <w:t>Does the app track me across other apps?</w:t>
            </w:r>
          </w:p>
        </w:tc>
        <w:tc>
          <w:tcPr>
            <w:tcW w:type="dxa" w:w="4968"/>
          </w:tcPr>
          <w:p>
            <w:r/>
            <w:r>
              <w:t>No — the app does not track you across other companies' apps and websites.</w:t>
            </w:r>
          </w:p>
        </w:tc>
      </w:tr>
      <w:tr>
        <w:tc>
          <w:tcPr>
            <w:tcW w:type="dxa" w:w="4968"/>
          </w:tcPr>
          <w:p>
            <w:r/>
            <w:r>
              <w:t>Who do I complain to about privacy?</w:t>
            </w:r>
          </w:p>
        </w:tc>
        <w:tc>
          <w:tcPr>
            <w:tcW w:type="dxa" w:w="4968"/>
          </w:tcPr>
          <w:p>
            <w:r/>
            <w:r>
              <w:t>A Grievance Officer is named in the Privacy Policy, with contact details. In the app, go to Profile → About → Contact Us.</w:t>
            </w:r>
          </w:p>
        </w:tc>
      </w:tr>
      <w:tr>
        <w:tc>
          <w:tcPr>
            <w:tcW w:type="dxa" w:w="4968"/>
          </w:tcPr>
          <w:p>
            <w:r/>
            <w:r>
              <w:t>What law applies?</w:t>
            </w:r>
          </w:p>
        </w:tc>
        <w:tc>
          <w:tcPr>
            <w:tcW w:type="dxa" w:w="4968"/>
          </w:tcPr>
          <w:p>
            <w:r/>
            <w:r>
              <w:t>The Terms are governed by Indian law, with jurisdiction in New Delhi.</w:t>
            </w:r>
          </w:p>
        </w:tc>
      </w:tr>
      <w:tr>
        <w:tc>
          <w:tcPr>
            <w:tcW w:type="dxa" w:w="4968"/>
          </w:tcPr>
          <w:p>
            <w:r/>
            <w:r>
              <w:t>Can I republish Inc42 content or data?</w:t>
            </w:r>
          </w:p>
        </w:tc>
        <w:tc>
          <w:tcPr>
            <w:tcW w:type="dxa" w:w="4968"/>
          </w:tcPr>
          <w:p>
            <w:r/>
            <w:r>
              <w:t>The Terms restrict copying, redistributing and scraping, and require attribution where data is used. Read the Terms in full, or use Contact Us for permissions.</w:t>
            </w:r>
          </w:p>
        </w:tc>
      </w:tr>
      <w:tr>
        <w:tc>
          <w:tcPr>
            <w:tcW w:type="dxa" w:w="4968"/>
          </w:tcPr>
          <w:p>
            <w:r/>
            <w:r>
              <w:t>Can I use Inc42 content to train an AI model?</w:t>
            </w:r>
          </w:p>
        </w:tc>
        <w:tc>
          <w:tcPr>
            <w:tcW w:type="dxa" w:w="4968"/>
          </w:tcPr>
          <w:p>
            <w:r/>
            <w:r>
              <w:t>No — the Terms prohibit it.</w:t>
            </w:r>
          </w:p>
        </w:tc>
      </w:tr>
      <w:tr>
        <w:tc>
          <w:tcPr>
            <w:tcW w:type="dxa" w:w="4968"/>
          </w:tcPr>
          <w:p>
            <w:r/>
            <w:r>
              <w:t>Who operates Inc42?</w:t>
            </w:r>
          </w:p>
        </w:tc>
        <w:tc>
          <w:tcPr>
            <w:tcW w:type="dxa" w:w="4968"/>
          </w:tcPr>
          <w:p>
            <w:r/>
            <w:r>
              <w:t>Inc42 Plus Media Private Limited operates the platform; Ideope Media Private Limited is the licence holder.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Does clause X apply to my case?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"I can't interpret specific terms. Contact Us will get you to someone who can."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What does section 17 say exactly?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Same refusal.</w:t>
            </w:r>
            <w:r>
              <w:t xml:space="preserve"> No verbatim, no section numbers.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Am I entitled to a refund under the terms?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"I can't help with refunds — please reach out through the Contact Us page."</w:t>
            </w:r>
            <w:r>
              <w:t xml:space="preserve"> See </w:t>
            </w:r>
            <w:r>
              <w:rPr>
                <w:rFonts w:ascii="Menlo" w:hAnsi="Menlo"/>
                <w:sz w:val="19"/>
              </w:rPr>
              <w:t>06_Response_Rules.md</w:t>
            </w:r>
            <w:r>
              <w:t>.</w:t>
            </w:r>
          </w:p>
        </w:tc>
      </w:tr>
    </w:tbl>
    <w:p/>
    <w:p>
      <w:pPr>
        <w:pBdr>
          <w:bottom w:val="single" w:sz="6" w:space="1" w:color="C8CDD4"/>
        </w:pBdr>
      </w:pPr>
    </w:p>
    <w:p>
      <w:pPr>
        <w:pStyle w:val="Heading2"/>
      </w:pPr>
      <w:r>
        <w:rPr>
          <w:color w:val="1A3D6B"/>
        </w:rPr>
        <w:t>5. Hard boundaries</w:t>
      </w:r>
    </w:p>
    <w:p>
      <w:pPr>
        <w:pStyle w:val="ListBullet"/>
      </w:pPr>
      <w:r>
        <w:t>❌ Never quote policy text verbatim</w:t>
      </w:r>
    </w:p>
    <w:p>
      <w:pPr>
        <w:pStyle w:val="ListBullet"/>
      </w:pPr>
      <w:r>
        <w:t>❌ Never cite a section or clause number</w:t>
      </w:r>
    </w:p>
    <w:p>
      <w:pPr>
        <w:pStyle w:val="ListBullet"/>
      </w:pPr>
      <w:r>
        <w:t>❌ Never interpret or apply a clause to a user's situation — that is legal advice</w:t>
      </w:r>
    </w:p>
    <w:p>
      <w:pPr>
        <w:pStyle w:val="ListBullet"/>
      </w:pPr>
      <w:r>
        <w:t>❌ Never state a retention period, a specific third party, or a legal basis as a fact — point to the policy instead</w:t>
      </w:r>
    </w:p>
    <w:p>
      <w:pPr>
        <w:pStyle w:val="ListBullet"/>
      </w:pPr>
      <w:r>
        <w:t>❌ Never state refund, payment or subscription terms — route to Contact Us</w:t>
      </w:r>
    </w:p>
    <w:p>
      <w:pPr>
        <w:pStyle w:val="ListBullet"/>
      </w:pPr>
      <w:r>
        <w:t>❌ Never speculate about what a policy "probably" means</w:t>
      </w:r>
    </w:p>
    <w:p>
      <w:pPr>
        <w:pStyle w:val="ListBullet"/>
      </w:pPr>
      <w:r>
        <w:t>✅ Always offer where the full text can be read</w:t>
      </w:r>
    </w:p>
    <w:p>
      <w:pPr>
        <w:pBdr>
          <w:bottom w:val="single" w:sz="6" w:space="1" w:color="C8CDD4"/>
        </w:pBdr>
      </w:pPr>
    </w:p>
    <w:p>
      <w:pPr>
        <w:pStyle w:val="Heading2"/>
      </w:pPr>
      <w:r>
        <w:rPr>
          <w:color w:val="1A3D6B"/>
        </w:rPr>
        <w:t>6. Maintenance</w:t>
      </w:r>
    </w:p>
    <w:p>
      <w:pPr>
        <w:pStyle w:val="ListBullet"/>
      </w:pPr>
      <w:r>
        <w:t xml:space="preserve">Both policies were last updated </w:t>
      </w:r>
      <w:r>
        <w:rPr>
          <w:b/>
        </w:rPr>
        <w:t>16 July 2026</w:t>
      </w:r>
      <w:r>
        <w:t xml:space="preserve">. </w:t>
      </w:r>
      <w:r>
        <w:rPr>
          <w:b/>
        </w:rPr>
        <w:t>This document must be re-reviewed and re-signed-off whenever either version changes</w:t>
      </w:r>
      <w:r>
        <w:t xml:space="preserve"> — a stale policy summary is a compliance exposure, not just a stale fact.</w:t>
      </w:r>
    </w:p>
    <w:p>
      <w:pPr>
        <w:pStyle w:val="ListBullet"/>
      </w:pPr>
      <w:r>
        <w:t>Utkarsh signs off this answer set. Changes to §4 need his sign-off; nobody edits the approved answers ad hoc.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