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D6B"/>
        </w:rPr>
        <w:t>Utkarsh — Input That Set This Knowledge Scope</w:t>
      </w:r>
    </w:p>
    <w:p>
      <w:r>
        <w:rPr>
          <w:b/>
        </w:rPr>
        <w:t>Internal only · v2 · 14 Aug 2026 · Owner: Ranjith</w:t>
      </w:r>
    </w:p>
    <w:p>
      <w:r>
        <w:t xml:space="preserve">🔴 </w:t>
      </w:r>
      <w:r>
        <w:rPr>
          <w:b/>
        </w:rPr>
        <w:t>DO NOT INGEST.</w:t>
      </w:r>
      <w:r>
        <w:t xml:space="preserve"> Internal reasoning and named owners. If this reaches the vector DB, AskInc42 can quote Inc42's internal decision-making back to a user.</w:t>
      </w:r>
    </w:p>
    <w:p>
      <w:r>
        <w:rPr>
          <w:b/>
        </w:rPr>
        <w:t>Scope of this document:</w:t>
      </w:r>
      <w:r>
        <w:t xml:space="preserve"> only what Utkarsh said that shaped </w:t>
      </w:r>
      <w:r>
        <w:rPr>
          <w:b/>
        </w:rPr>
        <w:t>what AskInc42 knows and how it answers</w:t>
      </w:r>
      <w:r>
        <w:t>. Everything else from those calls — deployment sequencing, streaming and lane architecture, the frontend release brief, design and placement blockers, v2 flow work, analytics — is build workstream, not knowledge scope, and is tracked separately in the AskInc42 execution notes.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1. Why this workstream exists</w:t>
      </w:r>
    </w:p>
    <w:p>
      <w:r>
        <w:t xml:space="preserve">Utkarsh flagged that </w:t>
      </w:r>
      <w:r>
        <w:rPr>
          <w:b/>
        </w:rPr>
        <w:t>Inc42 has no central repo or memory of its own internal documents and IPs</w:t>
      </w:r>
      <w:r>
        <w:t xml:space="preserve"> — spanning DataLabs, articles and Inc42 products generally. That observation is the origin of the entire knowledge repo.</w:t>
      </w:r>
    </w:p>
    <w:p>
      <w:pPr>
        <w:pStyle w:val="Heading2"/>
      </w:pPr>
      <w:r>
        <w:rPr>
          <w:color w:val="1A3D6B"/>
        </w:rPr>
        <w:t>2. The gap, as it stands today</w:t>
      </w:r>
    </w:p>
    <w:p>
      <w:r>
        <w:t>Current live state of AskInc42 on the website, confirmed by Utkarsh (12 Aug 2026):</w:t>
      </w:r>
    </w:p>
    <w:p>
      <w:pPr>
        <w:pStyle w:val="ListBullet"/>
      </w:pPr>
      <w:r>
        <w:t xml:space="preserve">It has access to </w:t>
      </w:r>
      <w:r>
        <w:rPr>
          <w:b/>
        </w:rPr>
        <w:t>articles + DataLabs data only</w:t>
      </w:r>
    </w:p>
    <w:p>
      <w:pPr>
        <w:pStyle w:val="ListBullet"/>
      </w:pPr>
      <w:r>
        <w:t xml:space="preserve">It holds </w:t>
      </w:r>
      <w:r>
        <w:rPr>
          <w:b/>
        </w:rPr>
        <w:t>no internal Inc42 documents</w:t>
      </w:r>
    </w:p>
    <w:p>
      <w:pPr>
        <w:pStyle w:val="ListBullet"/>
      </w:pPr>
      <w:r>
        <w:rPr>
          <w:b/>
        </w:rPr>
        <w:t>Anything asked about Inc42 itself is answered via web search</w:t>
      </w:r>
      <w:r>
        <w:t xml:space="preserve"> — it has web-search access</w:t>
      </w:r>
    </w:p>
    <w:p>
      <w:r>
        <w:rPr>
          <w:b/>
        </w:rPr>
        <w:t>Decision: web search stays enabled</w:t>
      </w:r>
      <w:r>
        <w:t xml:space="preserve"> — currently via Perplexity. The five sources become </w:t>
      </w:r>
      <w:r>
        <w:rPr>
          <w:b/>
        </w:rPr>
        <w:t>authoritative</w:t>
      </w:r>
      <w:r>
        <w:t xml:space="preserve"> for Inc42-entity questions rather than exclusive: where they cover something, they win; where they don't, AskInc42 deflects to Contact Us instead of assembling an answer about Inc42's own business from the open web. See </w:t>
      </w:r>
      <w:r>
        <w:rPr>
          <w:rFonts w:ascii="Menlo" w:hAnsi="Menlo"/>
          <w:sz w:val="19"/>
        </w:rPr>
        <w:t>06_Response_Rules.md</w:t>
      </w:r>
      <w:r>
        <w:t xml:space="preserve"> §1.</w:t>
      </w:r>
    </w:p>
    <w:p>
      <w:pPr>
        <w:pStyle w:val="Heading2"/>
      </w:pPr>
      <w:r>
        <w:rPr>
          <w:color w:val="1A3D6B"/>
        </w:rPr>
        <w:t>3. Ownership</w:t>
      </w:r>
    </w:p>
    <w:p>
      <w:pPr>
        <w:pStyle w:val="ListBullet"/>
      </w:pPr>
      <w:r>
        <w:rPr>
          <w:b/>
        </w:rPr>
        <w:t>Ashish owns the knowledge layer</w:t>
      </w:r>
      <w:r>
        <w:t xml:space="preserve"> — Inc42, the app, the IPs, and basic T&amp;C and privacy</w:t>
      </w:r>
    </w:p>
    <w:p>
      <w:pPr>
        <w:pStyle w:val="ListBullet"/>
      </w:pPr>
      <w:r>
        <w:t>A ticket was created and shared with Ashish on the 12 Aug call</w:t>
      </w:r>
    </w:p>
    <w:p>
      <w:pPr>
        <w:pStyle w:val="Heading2"/>
      </w:pPr>
      <w:r>
        <w:rPr>
          <w:color w:val="1A3D6B"/>
        </w:rPr>
        <w:t>4. Utkarsh's maintenance requirement</w:t>
      </w:r>
    </w:p>
    <w:p>
      <w:pPr>
        <w:ind w:left="432"/>
      </w:pPr>
      <w:r>
        <w:rPr>
          <w:i/>
          <w:color w:val="5A5F66"/>
        </w:rPr>
        <w:t xml:space="preserve">The knowledge must live somewhere </w:t>
      </w:r>
      <w:r>
        <w:rPr>
          <w:b/>
          <w:i/>
          <w:color w:val="5A5F66"/>
        </w:rPr>
        <w:t>deliberately maintained</w:t>
      </w:r>
      <w:r>
        <w:rPr>
          <w:i/>
          <w:color w:val="5A5F66"/>
        </w:rPr>
        <w:t xml:space="preserve"> — repo, doc, Drive, whatever — with either </w:t>
      </w:r>
      <w:r>
        <w:rPr>
          <w:b/>
          <w:i/>
          <w:color w:val="5A5F66"/>
        </w:rPr>
        <w:t>regular fetching from live sources</w:t>
      </w:r>
      <w:r>
        <w:rPr>
          <w:i/>
          <w:color w:val="5A5F66"/>
        </w:rPr>
        <w:t xml:space="preserve"> or a </w:t>
      </w:r>
      <w:r>
        <w:rPr>
          <w:b/>
          <w:i/>
          <w:color w:val="5A5F66"/>
        </w:rPr>
        <w:t>defined update cadence</w:t>
      </w:r>
      <w:r>
        <w:rPr>
          <w:i/>
          <w:color w:val="5A5F66"/>
        </w:rPr>
        <w:t xml:space="preserve">. It must not go stale or static. Manual curation is acceptable </w:t>
      </w:r>
      <w:r>
        <w:rPr>
          <w:b/>
          <w:i/>
          <w:color w:val="5A5F66"/>
        </w:rPr>
        <w:t>provided the cadence is defined and followed</w:t>
      </w:r>
      <w:r>
        <w:rPr>
          <w:i/>
          <w:color w:val="5A5F66"/>
        </w:rPr>
        <w:t>.</w:t>
      </w:r>
    </w:p>
    <w:p>
      <w:r>
        <w:rPr>
          <w:b/>
        </w:rPr>
        <w:t>How this scope answers it:</w:t>
      </w:r>
      <w:r>
        <w:t xml:space="preserve"> cadences are defined per document in </w:t>
      </w:r>
      <w:r>
        <w:rPr>
          <w:rFonts w:ascii="Menlo" w:hAnsi="Menlo"/>
          <w:sz w:val="19"/>
        </w:rPr>
        <w:t>00_README_Index.md</w:t>
      </w:r>
      <w:r>
        <w:t xml:space="preserve"> — weekly for IPs, per-release for app context, on-version-change for policies. Every document carries a </w:t>
      </w:r>
      <w:r>
        <w:rPr>
          <w:rFonts w:ascii="Menlo" w:hAnsi="Menlo"/>
          <w:sz w:val="19"/>
        </w:rPr>
        <w:t>Verified</w:t>
      </w:r>
      <w:r>
        <w:t xml:space="preserve"> date.</w:t>
      </w:r>
    </w:p>
    <w:p>
      <w:r>
        <w:rPr>
          <w:b/>
        </w:rPr>
        <w:t>What's still missing:</w:t>
      </w:r>
      <w:r>
        <w:t xml:space="preserve"> a </w:t>
      </w:r>
      <w:r>
        <w:rPr>
          <w:b/>
        </w:rPr>
        <w:t>named owner per cadence</w:t>
      </w:r>
      <w:r>
        <w:t xml:space="preserve">. A cadence without one is a static file with extra steps, which is exactly what this requirement rules out. Owners are set in </w:t>
      </w:r>
      <w:r>
        <w:rPr>
          <w:rFonts w:ascii="Menlo" w:hAnsi="Menlo"/>
          <w:sz w:val="19"/>
        </w:rPr>
        <w:t>00_README_Index.md</w:t>
      </w:r>
      <w:r>
        <w:t>; the weekly IP review owner is the one to confirm on Ashish's ticket.</w:t>
      </w:r>
    </w:p>
    <w:p>
      <w:r>
        <w:rPr>
          <w:b/>
        </w:rPr>
        <w:t>Approach agreed:</w:t>
      </w:r>
      <w:r>
        <w:t xml:space="preserve"> Postgres vector DB, </w:t>
      </w:r>
      <w:r>
        <w:rPr>
          <w:b/>
        </w:rPr>
        <w:t>manual weekly review</w:t>
      </w:r>
      <w:r>
        <w:t xml:space="preserve"> for the first few iterations — what's missing, what to add, what to remove — with automation later. Deliberately not auto-updating yet.</w:t>
      </w:r>
    </w:p>
    <w:p>
      <w:pPr>
        <w:pStyle w:val="Heading2"/>
      </w:pPr>
      <w:r>
        <w:rPr>
          <w:color w:val="1A3D6B"/>
        </w:rPr>
        <w:t>5. Pricing is excluded from the knowledge layer</w:t>
      </w:r>
    </w:p>
    <w:p>
      <w:r>
        <w:t>Locked decision. Two reasons, both deliberate:</w:t>
      </w:r>
    </w:p>
    <w:p>
      <w:pPr>
        <w:pStyle w:val="ListNumber"/>
      </w:pPr>
      <w:r>
        <w:rPr>
          <w:b/>
        </w:rPr>
        <w:t>Volatility.</w:t>
      </w:r>
      <w:r>
        <w:t xml:space="preserve"> IP pricing changes constantly and is owned by the sales and IP team. Keeping it accurate isn't worth the effort, and the nuances — offer windows, tiering — are the real risk, not the fetch. Pulling prices from a database would be technically easy; that was never the blocker.</w:t>
      </w:r>
    </w:p>
    <w:p>
      <w:pPr>
        <w:pStyle w:val="ListNumber"/>
      </w:pPr>
      <w:r>
        <w:rPr>
          <w:b/>
        </w:rPr>
        <w:t>App-store payment policy.</w:t>
      </w:r>
      <w:r>
        <w:t xml:space="preserve"> With Inc42 content now inside the app, quoting a price and pushing users to pay outside the app invites in-app-purchase enforcement. Not a headache worth taking on now.</w:t>
      </w:r>
    </w:p>
    <w:p>
      <w:r>
        <w:rPr>
          <w:b/>
        </w:rPr>
        <w:t>This bounds the knowledge repo:</w:t>
      </w:r>
      <w:r>
        <w:t xml:space="preserve"> it feeds AskInc42 product and IP </w:t>
      </w:r>
      <w:r>
        <w:rPr>
          <w:i/>
        </w:rPr>
        <w:t>knowledge</w:t>
      </w:r>
      <w:r>
        <w:t>, not commercials.</w:t>
      </w:r>
    </w:p>
    <w:p>
      <w:r>
        <w:t xml:space="preserve">⚠️ Reason 2 is a </w:t>
      </w:r>
      <w:r>
        <w:rPr>
          <w:b/>
        </w:rPr>
        <w:t>product judgement, not a verified legal opinion</w:t>
      </w:r>
      <w:r>
        <w:t>, and nothing in this document set treats it as one. Confirmation tracked as B3.</w:t>
      </w:r>
    </w:p>
    <w:p>
      <w:pPr>
        <w:pStyle w:val="Heading2"/>
      </w:pPr>
      <w:r>
        <w:rPr>
          <w:color w:val="1A3D6B"/>
        </w:rPr>
        <w:t>6. The five approved sources</w:t>
      </w:r>
    </w:p>
    <w:p>
      <w:r>
        <w:t>Locked scope for this release:</w:t>
      </w:r>
    </w:p>
    <w:p>
      <w:pPr>
        <w:pStyle w:val="ListNumber"/>
      </w:pPr>
      <w:r>
        <w:rPr>
          <w:b/>
        </w:rPr>
        <w:t>Articles</w:t>
      </w:r>
      <w:r>
        <w:t xml:space="preserve"> — everything Inc42 has published, including in-depth startup stories</w:t>
      </w:r>
    </w:p>
    <w:p>
      <w:pPr>
        <w:pStyle w:val="ListNumber"/>
      </w:pPr>
      <w:r>
        <w:rPr>
          <w:b/>
        </w:rPr>
        <w:t>Company information</w:t>
      </w:r>
      <w:r>
        <w:t xml:space="preserve"> — all company-related data</w:t>
      </w:r>
    </w:p>
    <w:p>
      <w:pPr>
        <w:pStyle w:val="ListNumber"/>
      </w:pPr>
      <w:r>
        <w:rPr>
          <w:b/>
        </w:rPr>
        <w:t>IPs</w:t>
      </w:r>
      <w:r>
        <w:t xml:space="preserve"> — the approved event and product IP set</w:t>
      </w:r>
    </w:p>
    <w:p>
      <w:pPr>
        <w:pStyle w:val="ListNumber"/>
      </w:pPr>
      <w:r>
        <w:rPr>
          <w:b/>
        </w:rPr>
        <w:t>App context</w:t>
      </w:r>
      <w:r>
        <w:t xml:space="preserve"> — how the app itself works</w:t>
      </w:r>
    </w:p>
    <w:p>
      <w:pPr>
        <w:pStyle w:val="ListNumber"/>
      </w:pPr>
      <w:r>
        <w:rPr>
          <w:b/>
        </w:rPr>
        <w:t>T&amp;C + Privacy Policy</w:t>
      </w:r>
      <w:r>
        <w:t xml:space="preserve"> — </w:t>
      </w:r>
      <w:r>
        <w:rPr>
          <w:b/>
        </w:rPr>
        <w:t>high-level abstraction only</w:t>
      </w:r>
      <w:r>
        <w:t>, not verbatim clause retrieval</w:t>
      </w:r>
    </w:p>
    <w:p>
      <w:pPr>
        <w:pStyle w:val="Heading2"/>
      </w:pPr>
      <w:r>
        <w:rPr>
          <w:color w:val="1A3D6B"/>
        </w:rPr>
        <w:t>7. Deflection rules</w:t>
      </w:r>
    </w:p>
    <w:p>
      <w:r>
        <w:t xml:space="preserve">Pricing → redirect to the website. Refunds, support and cancellation → </w:t>
      </w:r>
      <w:r>
        <w:rPr>
          <w:b/>
        </w:rPr>
        <w:t>Contact Us</w:t>
      </w:r>
      <w:r>
        <w:t xml:space="preserve">. </w:t>
      </w:r>
      <w:r>
        <w:rPr>
          <w:b/>
        </w:rPr>
        <w:t>AskInc42 does not transact, quote or resolve.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Awaiting Utkarsh</w:t>
      </w:r>
    </w:p>
    <w:p>
      <w:r>
        <w:t>Two items, both of which gate this knowledge scope directly:</w:t>
      </w:r>
    </w:p>
    <w:p>
      <w:pPr>
        <w:pStyle w:val="ListNumber"/>
      </w:pPr>
      <w:r>
        <w:rPr>
          <w:b/>
        </w:rPr>
        <w:t>Sign-off on the approved T&amp;C and Privacy answer set</w:t>
      </w:r>
      <w:r>
        <w:t xml:space="preserve"> in </w:t>
      </w:r>
      <w:r>
        <w:rPr>
          <w:rFonts w:ascii="Menlo" w:hAnsi="Menlo"/>
          <w:sz w:val="19"/>
        </w:rPr>
        <w:t>03_Policies_TnC_Privacy.md</w:t>
      </w:r>
      <w:r>
        <w:t>. This gates S5 ingestion — nothing else is blocked by it.</w:t>
      </w:r>
    </w:p>
    <w:p>
      <w:pPr>
        <w:pStyle w:val="ListNumber"/>
      </w:pPr>
      <w:r>
        <w:rPr>
          <w:b/>
        </w:rPr>
        <w:t>Confirmation of the app-store rationale</w:t>
      </w:r>
      <w:r>
        <w:t xml:space="preserve"> behind excluding pricing (§5 above). The rule ships either way; this makes the reasoning defensible if challenged.</w:t>
      </w:r>
    </w:p>
    <w:p>
      <w:r>
        <w:t>Legal and privacy items arising from AskInc42 more broadly — AI sub-processor disclosure, whether the Terms' AI-content disclaimer covers AskInc42's output — sit with the DPDP compliance track, not here.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Deliberately not in this document</w:t>
      </w:r>
    </w:p>
    <w:p>
      <w:r>
        <w:t>Discussed with Utkarsh, but build workstream rather than knowledge scope — tracked in the AskInc42 execution notes, not here:</w:t>
      </w:r>
    </w:p>
    <w:p>
      <w:r>
        <w:t>deployment sequencing (Ask DataLabs before the app) · the frontend release brief in full — auto-routed lanes, stream event contract, Agent V3, webhook selection, "Go deeper" telemetry · the cross-session cache leak and its DPDP reportability question · design and placement blockers · AskInc42 v2's stored-questions flow and its API dependency · Ask DataLabs analytics · feature-flag work · daily priority ordering.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