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D6B"/>
        </w:rPr>
        <w:t>Decision Log</w:t>
      </w:r>
    </w:p>
    <w:p>
      <w:r>
        <w:rPr>
          <w:b/>
        </w:rPr>
        <w:t>Internal only · v2 · 16 Aug 2026 · Owner: Ranjith</w:t>
      </w:r>
    </w:p>
    <w:p>
      <w:r>
        <w:rPr>
          <w:i/>
        </w:rPr>
        <w:t>v2: DataLabs promoted to its own source document (`08`); Utkarsh's master context ruled out as a knowledge source; decisions renumbered 1–33.</w:t>
      </w:r>
    </w:p>
    <w:p>
      <w:r>
        <w:t xml:space="preserve">🔴 </w:t>
      </w:r>
      <w:r>
        <w:rPr>
          <w:b/>
        </w:rPr>
        <w:t>DO NOT INGEST.</w:t>
      </w:r>
      <w:r>
        <w:t xml:space="preserve"> Internal record. If this reaches the vector DB, AskInc42 can quote Inc42's internal decision-making back to a user.</w:t>
      </w:r>
    </w:p>
    <w:p>
      <w:r>
        <w:t>Every locked decision behind this knowledge set. Knowledge scope only — build-workstream decisions live in the AskInc42 execution notes.</w:t>
      </w:r>
    </w:p>
    <w:p>
      <w:pPr>
        <w:pBdr>
          <w:bottom w:val="single" w:sz="6" w:space="1" w:color="C8CDD4"/>
        </w:pBdr>
      </w:pPr>
    </w:p>
    <w:p>
      <w:pPr>
        <w:pStyle w:val="Heading2"/>
      </w:pPr>
      <w:r>
        <w:rPr>
          <w:color w:val="1A3D6B"/>
        </w:rPr>
        <w:t>Scope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4968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Decision</w:t>
            </w:r>
          </w:p>
        </w:tc>
      </w:tr>
      <w:tr>
        <w:tc>
          <w:tcPr>
            <w:tcW w:type="dxa" w:w="4968"/>
          </w:tcPr>
          <w:p>
            <w:r/>
            <w:r>
              <w:t>1</w:t>
            </w:r>
          </w:p>
        </w:tc>
        <w:tc>
          <w:tcPr>
            <w:tcW w:type="dxa" w:w="4968"/>
          </w:tcPr>
          <w:p>
            <w:r/>
            <w:r>
              <w:rPr>
                <w:b/>
              </w:rPr>
              <w:t>Five approved knowledge sources:</w:t>
            </w:r>
            <w:r>
              <w:t xml:space="preserve"> editorial articles · company information · Inc42 IPs · app context · T&amp;C and Privacy Policy (summaries only)</w:t>
            </w:r>
          </w:p>
        </w:tc>
      </w:tr>
      <w:tr>
        <w:tc>
          <w:tcPr>
            <w:tcW w:type="dxa" w:w="4968"/>
          </w:tcPr>
          <w:p>
            <w:r/>
            <w:r>
              <w:t>2</w:t>
            </w:r>
          </w:p>
        </w:tc>
        <w:tc>
          <w:tcPr>
            <w:tcW w:type="dxa" w:w="4968"/>
          </w:tcPr>
          <w:p>
            <w:r/>
            <w:r>
              <w:t xml:space="preserve">Articles and company information come from </w:t>
            </w:r>
            <w:r>
              <w:rPr>
                <w:b/>
              </w:rPr>
              <w:t>existing live pipelines</w:t>
            </w:r>
            <w:r>
              <w:t xml:space="preserve">. IPs, app context and policies are </w:t>
            </w:r>
            <w:r>
              <w:rPr>
                <w:b/>
              </w:rPr>
              <w:t>authored documents, not scrapes</w:t>
            </w:r>
            <w:r>
              <w:t xml:space="preserve"> — the live sites carry the volatile commercials this scope excludes</w:t>
            </w:r>
          </w:p>
        </w:tc>
      </w:tr>
      <w:tr>
        <w:tc>
          <w:tcPr>
            <w:tcW w:type="dxa" w:w="4968"/>
          </w:tcPr>
          <w:p>
            <w:r/>
            <w:r>
              <w:t>3</w:t>
            </w:r>
          </w:p>
        </w:tc>
        <w:tc>
          <w:tcPr>
            <w:tcW w:type="dxa" w:w="4968"/>
          </w:tcPr>
          <w:p>
            <w:r/>
            <w:r>
              <w:rPr>
                <w:b/>
              </w:rPr>
              <w:t>"About Inc42" is part of the IP/company source</w:t>
            </w:r>
            <w:r>
              <w:t>, not a sixth source</w:t>
            </w:r>
          </w:p>
        </w:tc>
      </w:tr>
      <w:tr>
        <w:tc>
          <w:tcPr>
            <w:tcW w:type="dxa" w:w="4968"/>
          </w:tcPr>
          <w:p>
            <w:r/>
            <w:r>
              <w:t>4</w:t>
            </w:r>
          </w:p>
        </w:tc>
        <w:tc>
          <w:tcPr>
            <w:tcW w:type="dxa" w:w="4968"/>
          </w:tcPr>
          <w:p>
            <w:r/>
            <w:r>
              <w:rPr>
                <w:b/>
              </w:rPr>
              <w:t>Eleven approved IPs:</w:t>
            </w:r>
            <w:r>
              <w:t xml:space="preserve"> The D2C &amp; Retail Summit · Inc42 AI Summit · CTO Summit · The D2C Retreat · D2CX Converge · D2CX Runway · FAST42 · MoneyX · Griffin (Founders Club / Retreat) · D2CX · D2CX Foundations</w:t>
            </w:r>
          </w:p>
        </w:tc>
      </w:tr>
      <w:tr>
        <w:tc>
          <w:tcPr>
            <w:tcW w:type="dxa" w:w="4968"/>
          </w:tcPr>
          <w:p>
            <w:r/>
            <w:r>
              <w:t>5</w:t>
            </w:r>
          </w:p>
        </w:tc>
        <w:tc>
          <w:tcPr>
            <w:tcW w:type="dxa" w:w="4968"/>
          </w:tcPr>
          <w:p>
            <w:r/>
            <w:r>
              <w:rPr>
                <w:b/>
              </w:rPr>
              <w:t>Griffin, D2CX and D2CX Foundations added</w:t>
            </w:r>
            <w:r>
              <w:t xml:space="preserve"> (14 Aug). Griffin is a flagship on Inc42's own About page; D2CX is the parent brand of two IPs already in scope. Leaving them out meant deflecting on live Inc42 properties</w:t>
            </w:r>
          </w:p>
        </w:tc>
      </w:tr>
      <w:tr>
        <w:tc>
          <w:tcPr>
            <w:tcW w:type="dxa" w:w="4968"/>
          </w:tcPr>
          <w:p>
            <w:r/>
            <w:r>
              <w:t>6</w:t>
            </w:r>
          </w:p>
        </w:tc>
        <w:tc>
          <w:tcPr>
            <w:tcW w:type="dxa" w:w="4968"/>
          </w:tcPr>
          <w:p>
            <w:r/>
            <w:r>
              <w:rPr>
                <w:b/>
              </w:rPr>
              <w:t>DataLabs promoted to a full source document</w:t>
            </w:r>
            <w:r>
              <w:t xml:space="preserve"> (16 Aug), </w:t>
            </w:r>
            <w:r>
              <w:rPr>
                <w:rFonts w:ascii="Menlo" w:hAnsi="Menlo"/>
                <w:sz w:val="19"/>
              </w:rPr>
              <w:t>08_DataLabs.md</w:t>
            </w:r>
            <w:r>
              <w:t xml:space="preserve">. It has more user-facing surface than any single IP and was previously two lines inside the company doc. Tiers are described </w:t>
            </w:r>
            <w:r>
              <w:rPr>
                <w:b/>
              </w:rPr>
              <w:t>as capability, never as price</w:t>
            </w:r>
          </w:p>
        </w:tc>
      </w:tr>
      <w:tr>
        <w:tc>
          <w:tcPr>
            <w:tcW w:type="dxa" w:w="4968"/>
          </w:tcPr>
          <w:p>
            <w:r/>
            <w:r>
              <w:t>7</w:t>
            </w:r>
          </w:p>
        </w:tc>
        <w:tc>
          <w:tcPr>
            <w:tcW w:type="dxa" w:w="4968"/>
          </w:tcPr>
          <w:p>
            <w:r/>
            <w:r>
              <w:rPr>
                <w:b/>
              </w:rPr>
              <w:t>Still out of scope:</w:t>
            </w:r>
            <w:r>
              <w:t xml:space="preserve"> ManagementX · AngelX · Fintech Summit · Inc42 Plus · Reports · BrandLabs · 30 Startups To Watch · Startup Spotlight. Inc42 Plus gets company-level description only</w:t>
            </w:r>
          </w:p>
        </w:tc>
      </w:tr>
      <w:tr>
        <w:tc>
          <w:tcPr>
            <w:tcW w:type="dxa" w:w="4968"/>
          </w:tcPr>
          <w:p>
            <w:r/>
            <w:r>
              <w:t>8</w:t>
            </w:r>
          </w:p>
        </w:tc>
        <w:tc>
          <w:tcPr>
            <w:tcW w:type="dxa" w:w="4968"/>
          </w:tcPr>
          <w:p>
            <w:r/>
            <w:r>
              <w:rPr>
                <w:b/>
              </w:rPr>
              <w:t>Utkarsh's DataLabs Master Context is NOT a knowledge source.</w:t>
            </w:r>
            <w:r>
              <w:t xml:space="preserve"> It is an internal alignment document dense with pricing, business metrics, competitive strategy, personnel and architecture. Only user-facing capability is extracted from it, and only after re-verification against the live site</w:t>
            </w:r>
          </w:p>
        </w:tc>
      </w:tr>
      <w:tr>
        <w:tc>
          <w:tcPr>
            <w:tcW w:type="dxa" w:w="4968"/>
          </w:tcPr>
          <w:p>
            <w:r/>
            <w:r>
              <w:t>9</w:t>
            </w:r>
          </w:p>
        </w:tc>
        <w:tc>
          <w:tcPr>
            <w:tcW w:type="dxa" w:w="4968"/>
          </w:tcPr>
          <w:p>
            <w:r/>
            <w:r>
              <w:t xml:space="preserve">Every IP record carries </w:t>
            </w:r>
            <w:r>
              <w:rPr>
                <w:b/>
              </w:rPr>
              <w:t>edition, status and dates</w:t>
            </w:r>
            <w:r>
              <w:t>. The model answers from them — no separate past/present logic needed</w:t>
            </w:r>
          </w:p>
        </w:tc>
      </w:tr>
      <w:tr>
        <w:tc>
          <w:tcPr>
            <w:tcW w:type="dxa" w:w="4968"/>
          </w:tcPr>
          <w:p>
            <w:r/>
            <w:r>
              <w:t>10</w:t>
            </w:r>
          </w:p>
        </w:tc>
        <w:tc>
          <w:tcPr>
            <w:tcW w:type="dxa" w:w="4968"/>
          </w:tcPr>
          <w:p>
            <w:r/>
            <w:r>
              <w:rPr>
                <w:b/>
              </w:rPr>
              <w:t>Concluded editions are retained</w:t>
            </w:r>
            <w:r>
              <w:t>, marked concluded, never deleted. Deleting leaves a retrieval gap</w:t>
            </w:r>
          </w:p>
        </w:tc>
      </w:tr>
      <w:tr>
        <w:tc>
          <w:tcPr>
            <w:tcW w:type="dxa" w:w="4968"/>
          </w:tcPr>
          <w:p>
            <w:r/>
            <w:r>
              <w:t>11</w:t>
            </w:r>
          </w:p>
        </w:tc>
        <w:tc>
          <w:tcPr>
            <w:tcW w:type="dxa" w:w="4968"/>
          </w:tcPr>
          <w:p>
            <w:r/>
            <w:r>
              <w:t xml:space="preserve">On a rename, the </w:t>
            </w:r>
            <w:r>
              <w:rPr>
                <w:b/>
              </w:rPr>
              <w:t>old name is kept as an alias</w:t>
            </w:r>
            <w:r>
              <w:t xml:space="preserve"> so existing queries still resolve</w:t>
            </w:r>
          </w:p>
        </w:tc>
      </w:tr>
    </w:tbl>
    <w:p/>
    <w:p>
      <w:pPr>
        <w:pStyle w:val="Heading2"/>
      </w:pPr>
      <w:r>
        <w:rPr>
          <w:color w:val="1A3D6B"/>
        </w:rPr>
        <w:t>Behaviour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4968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Decision</w:t>
            </w:r>
          </w:p>
        </w:tc>
      </w:tr>
      <w:tr>
        <w:tc>
          <w:tcPr>
            <w:tcW w:type="dxa" w:w="4968"/>
          </w:tcPr>
          <w:p>
            <w:r/>
            <w:r>
              <w:t>12</w:t>
            </w:r>
          </w:p>
        </w:tc>
        <w:tc>
          <w:tcPr>
            <w:tcW w:type="dxa" w:w="4968"/>
          </w:tcPr>
          <w:p>
            <w:r/>
            <w:r>
              <w:rPr>
                <w:b/>
              </w:rPr>
              <w:t>Web search stays enabled</w:t>
            </w:r>
            <w:r>
              <w:t xml:space="preserve">, currently via Perplexity. The five sources are </w:t>
            </w:r>
            <w:r>
              <w:rPr>
                <w:b/>
              </w:rPr>
              <w:t>authoritative</w:t>
            </w:r>
            <w:r>
              <w:t xml:space="preserve"> for Inc42-entity questions, not exclusive. Where they don't cover something about Inc42's own business, deflect to Contact Us rather than assembling an answer from the open web</w:t>
            </w:r>
          </w:p>
        </w:tc>
      </w:tr>
      <w:tr>
        <w:tc>
          <w:tcPr>
            <w:tcW w:type="dxa" w:w="4968"/>
          </w:tcPr>
          <w:p>
            <w:r/>
            <w:r>
              <w:t>13</w:t>
            </w:r>
          </w:p>
        </w:tc>
        <w:tc>
          <w:tcPr>
            <w:tcW w:type="dxa" w:w="4968"/>
          </w:tcPr>
          <w:p>
            <w:r/>
            <w:r>
              <w:rPr>
                <w:b/>
              </w:rPr>
              <w:t>No price, range, "starts from", tier name, discount code, struck-through price or seat count</w:t>
            </w:r>
            <w:r>
              <w:t xml:space="preserve"> — for any IP or product</w:t>
            </w:r>
          </w:p>
        </w:tc>
      </w:tr>
      <w:tr>
        <w:tc>
          <w:tcPr>
            <w:tcW w:type="dxa" w:w="4968"/>
          </w:tcPr>
          <w:p>
            <w:r/>
            <w:r>
              <w:t>14</w:t>
            </w:r>
          </w:p>
        </w:tc>
        <w:tc>
          <w:tcPr>
            <w:tcW w:type="dxa" w:w="4968"/>
          </w:tcPr>
          <w:p>
            <w:r/>
            <w:r>
              <w:rPr>
                <w:b/>
              </w:rPr>
              <w:t>Access model is answerable.</w:t>
            </w:r>
            <w:r>
              <w:t xml:space="preserve"> Free, paid or invite-only may be stated — it varies by event and is stable. </w:t>
            </w:r>
            <w:r>
              <w:rPr>
                <w:b/>
              </w:rPr>
              <w:t>The moment the question becomes *how much*, redirect to the website</w:t>
            </w:r>
          </w:p>
        </w:tc>
      </w:tr>
      <w:tr>
        <w:tc>
          <w:tcPr>
            <w:tcW w:type="dxa" w:w="4968"/>
          </w:tcPr>
          <w:p>
            <w:r/>
            <w:r>
              <w:t>15</w:t>
            </w:r>
          </w:p>
        </w:tc>
        <w:tc>
          <w:tcPr>
            <w:tcW w:type="dxa" w:w="4968"/>
          </w:tcPr>
          <w:p>
            <w:r/>
            <w:r>
              <w:rPr>
                <w:b/>
              </w:rPr>
              <w:t>Eligibility is answerable.</w:t>
            </w:r>
            <w:r>
              <w:t xml:space="preserve"> State published criteria and who an IP is for; describe threshold figures qualitatively and point to the page for exact numbers. </w:t>
            </w:r>
            <w:r>
              <w:rPr>
                <w:b/>
              </w:rPr>
              <w:t>Never rule on whether a specific user qualifies</w:t>
            </w:r>
          </w:p>
        </w:tc>
      </w:tr>
      <w:tr>
        <w:tc>
          <w:tcPr>
            <w:tcW w:type="dxa" w:w="4968"/>
          </w:tcPr>
          <w:p>
            <w:r/>
            <w:r>
              <w:t>16</w:t>
            </w:r>
          </w:p>
        </w:tc>
        <w:tc>
          <w:tcPr>
            <w:tcW w:type="dxa" w:w="4968"/>
          </w:tcPr>
          <w:p>
            <w:r/>
            <w:r>
              <w:rPr>
                <w:b/>
              </w:rPr>
              <w:t>All refund and cancellation queries get one line and one destination: Contact Us.</w:t>
            </w:r>
            <w:r>
              <w:t xml:space="preserve"> No policy terms, no per-IP routing</w:t>
            </w:r>
          </w:p>
        </w:tc>
      </w:tr>
      <w:tr>
        <w:tc>
          <w:tcPr>
            <w:tcW w:type="dxa" w:w="4968"/>
          </w:tcPr>
          <w:p>
            <w:r/>
            <w:r>
              <w:t>17</w:t>
            </w:r>
          </w:p>
        </w:tc>
        <w:tc>
          <w:tcPr>
            <w:tcW w:type="dxa" w:w="4968"/>
          </w:tcPr>
          <w:p>
            <w:r/>
            <w:r>
              <w:t xml:space="preserve">Basic refund awareness is held </w:t>
            </w:r>
            <w:r>
              <w:rPr>
                <w:b/>
              </w:rPr>
              <w:t>only so nothing gets invented</w:t>
            </w:r>
            <w:r>
              <w:t>, and is never stated — including on a repeated push</w:t>
            </w:r>
          </w:p>
        </w:tc>
      </w:tr>
      <w:tr>
        <w:tc>
          <w:tcPr>
            <w:tcW w:type="dxa" w:w="4968"/>
          </w:tcPr>
          <w:p>
            <w:r/>
            <w:r>
              <w:t>18</w:t>
            </w:r>
          </w:p>
        </w:tc>
        <w:tc>
          <w:tcPr>
            <w:tcW w:type="dxa" w:w="4968"/>
          </w:tcPr>
          <w:p>
            <w:r/>
            <w:r>
              <w:t>Support routes to Contact Us. How-to-use-the-app questions are answerable; account issues are not</w:t>
            </w:r>
          </w:p>
        </w:tc>
      </w:tr>
      <w:tr>
        <w:tc>
          <w:tcPr>
            <w:tcW w:type="dxa" w:w="4968"/>
          </w:tcPr>
          <w:p>
            <w:r/>
            <w:r>
              <w:t>19</w:t>
            </w:r>
          </w:p>
        </w:tc>
        <w:tc>
          <w:tcPr>
            <w:tcW w:type="dxa" w:w="4968"/>
          </w:tcPr>
          <w:p>
            <w:r/>
            <w:r>
              <w:rPr>
                <w:b/>
              </w:rPr>
              <w:t>"High-level summary" = topic + user-facing outcome + where to read the full text.</w:t>
            </w:r>
            <w:r>
              <w:t xml:space="preserve"> Nothing more</w:t>
            </w:r>
          </w:p>
        </w:tc>
      </w:tr>
      <w:tr>
        <w:tc>
          <w:tcPr>
            <w:tcW w:type="dxa" w:w="4968"/>
          </w:tcPr>
          <w:p>
            <w:r/>
            <w:r>
              <w:t>20</w:t>
            </w:r>
          </w:p>
        </w:tc>
        <w:tc>
          <w:tcPr>
            <w:tcW w:type="dxa" w:w="4968"/>
          </w:tcPr>
          <w:p>
            <w:r/>
            <w:r>
              <w:rPr>
                <w:b/>
              </w:rPr>
              <w:t>Never interpret or apply a clause</w:t>
            </w:r>
            <w:r>
              <w:t xml:space="preserve"> to a user's situation</w:t>
            </w:r>
          </w:p>
        </w:tc>
      </w:tr>
      <w:tr>
        <w:tc>
          <w:tcPr>
            <w:tcW w:type="dxa" w:w="4968"/>
          </w:tcPr>
          <w:p>
            <w:r/>
            <w:r>
              <w:t>21</w:t>
            </w:r>
          </w:p>
        </w:tc>
        <w:tc>
          <w:tcPr>
            <w:tcW w:type="dxa" w:w="4968"/>
          </w:tcPr>
          <w:p>
            <w:r/>
            <w:r>
              <w:t xml:space="preserve">Policy answers come from a </w:t>
            </w:r>
            <w:r>
              <w:rPr>
                <w:b/>
              </w:rPr>
              <w:t>fixed signed-off set</w:t>
            </w:r>
            <w:r>
              <w:t>, not free generation over policy text at query time</w:t>
            </w:r>
          </w:p>
        </w:tc>
      </w:tr>
      <w:tr>
        <w:tc>
          <w:tcPr>
            <w:tcW w:type="dxa" w:w="4968"/>
          </w:tcPr>
          <w:p>
            <w:r/>
            <w:r>
              <w:t>22</w:t>
            </w:r>
          </w:p>
        </w:tc>
        <w:tc>
          <w:tcPr>
            <w:tcW w:type="dxa" w:w="4968"/>
          </w:tcPr>
          <w:p>
            <w:r/>
            <w:r>
              <w:rPr>
                <w:b/>
              </w:rPr>
              <w:t>Redirect targets are surface-specific.</w:t>
            </w:r>
            <w:r>
              <w:t xml:space="preserve"> No email or phone number is ever stated in the app — route to Profile → About → Contact Us</w:t>
            </w:r>
          </w:p>
        </w:tc>
      </w:tr>
      <w:tr>
        <w:tc>
          <w:tcPr>
            <w:tcW w:type="dxa" w:w="4968"/>
          </w:tcPr>
          <w:p>
            <w:r/>
            <w:r>
              <w:t>23</w:t>
            </w:r>
          </w:p>
        </w:tc>
        <w:tc>
          <w:tcPr>
            <w:tcW w:type="dxa" w:w="4968"/>
          </w:tcPr>
          <w:p>
            <w:r/>
            <w:r>
              <w:t xml:space="preserve">Use </w:t>
            </w:r>
            <w:r>
              <w:rPr>
                <w:b/>
              </w:rPr>
              <w:t>`inc42.com/contact`</w:t>
            </w:r>
            <w:r>
              <w:t xml:space="preserve"> — </w:t>
            </w:r>
            <w:r>
              <w:rPr>
                <w:rFonts w:ascii="Menlo" w:hAnsi="Menlo"/>
                <w:sz w:val="19"/>
              </w:rPr>
              <w:t>/contact-us</w:t>
            </w:r>
            <w:r>
              <w:t xml:space="preserve"> 404s</w:t>
            </w:r>
          </w:p>
        </w:tc>
      </w:tr>
      <w:tr>
        <w:tc>
          <w:tcPr>
            <w:tcW w:type="dxa" w:w="4968"/>
          </w:tcPr>
          <w:p>
            <w:r/>
            <w:r>
              <w:t>24</w:t>
            </w:r>
          </w:p>
        </w:tc>
        <w:tc>
          <w:tcPr>
            <w:tcW w:type="dxa" w:w="4968"/>
          </w:tcPr>
          <w:p>
            <w:r/>
            <w:r>
              <w:rPr>
                <w:b/>
              </w:rPr>
              <w:t>The app has no payments</w:t>
            </w:r>
            <w:r>
              <w:t>, so cancellation queries never refer to the app</w:t>
            </w:r>
          </w:p>
        </w:tc>
      </w:tr>
      <w:tr>
        <w:tc>
          <w:tcPr>
            <w:tcW w:type="dxa" w:w="4968"/>
          </w:tcPr>
          <w:p>
            <w:r/>
            <w:r>
              <w:t>25</w:t>
            </w:r>
          </w:p>
        </w:tc>
        <w:tc>
          <w:tcPr>
            <w:tcW w:type="dxa" w:w="4968"/>
          </w:tcPr>
          <w:p>
            <w:r/>
            <w:r>
              <w:t xml:space="preserve">AskInc42 </w:t>
            </w:r>
            <w:r>
              <w:rPr>
                <w:b/>
              </w:rPr>
              <w:t>links to applications and registrations; it never submits one</w:t>
            </w:r>
          </w:p>
        </w:tc>
      </w:tr>
      <w:tr>
        <w:tc>
          <w:tcPr>
            <w:tcW w:type="dxa" w:w="4968"/>
          </w:tcPr>
          <w:p>
            <w:r/>
            <w:r>
              <w:t>26</w:t>
            </w:r>
          </w:p>
        </w:tc>
        <w:tc>
          <w:tcPr>
            <w:tcW w:type="dxa" w:w="4968"/>
          </w:tcPr>
          <w:p>
            <w:r/>
            <w:r>
              <w:t xml:space="preserve">Deflection shape: </w:t>
            </w:r>
            <w:r>
              <w:rPr>
                <w:b/>
              </w:rPr>
              <w:t>name the boundary, offer the nearest capability, hand off concretely.</w:t>
            </w:r>
            <w:r>
              <w:t xml:space="preserve"> No speculation, no padding</w:t>
            </w:r>
          </w:p>
        </w:tc>
      </w:tr>
      <w:tr>
        <w:tc>
          <w:tcPr>
            <w:tcW w:type="dxa" w:w="4968"/>
          </w:tcPr>
          <w:p>
            <w:r/>
            <w:r>
              <w:t>27</w:t>
            </w:r>
          </w:p>
        </w:tc>
        <w:tc>
          <w:tcPr>
            <w:tcW w:type="dxa" w:w="4968"/>
          </w:tcPr>
          <w:p>
            <w:r/>
            <w:r>
              <w:rPr>
                <w:b/>
              </w:rPr>
              <w:t>Never surface how Inc42's own sites are structured.</w:t>
            </w:r>
            <w:r>
              <w:t xml:space="preserve"> The CTO Summit sitting on </w:t>
            </w:r>
            <w:r>
              <w:rPr>
                <w:rFonts w:ascii="Menlo" w:hAnsi="Menlo"/>
                <w:sz w:val="19"/>
              </w:rPr>
              <w:t>events.inc42.com</w:t>
            </w:r>
            <w:r>
              <w:t xml:space="preserve"> rather than </w:t>
            </w:r>
            <w:r>
              <w:rPr>
                <w:rFonts w:ascii="Menlo" w:hAnsi="Menlo"/>
                <w:sz w:val="19"/>
              </w:rPr>
              <w:t>inc42.com</w:t>
            </w:r>
            <w:r>
              <w:t xml:space="preserve"> is deliberate — use the correct link, say nothing about it</w:t>
            </w:r>
          </w:p>
        </w:tc>
      </w:tr>
    </w:tbl>
    <w:p/>
    <w:p>
      <w:pPr>
        <w:pStyle w:val="Heading2"/>
      </w:pPr>
      <w:r>
        <w:rPr>
          <w:color w:val="1A3D6B"/>
        </w:rPr>
        <w:t>Maintenance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4968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Decision</w:t>
            </w:r>
          </w:p>
        </w:tc>
      </w:tr>
      <w:tr>
        <w:tc>
          <w:tcPr>
            <w:tcW w:type="dxa" w:w="4968"/>
          </w:tcPr>
          <w:p>
            <w:r/>
            <w:r>
              <w:t>28</w:t>
            </w:r>
          </w:p>
        </w:tc>
        <w:tc>
          <w:tcPr>
            <w:tcW w:type="dxa" w:w="4968"/>
          </w:tcPr>
          <w:p>
            <w:r/>
            <w:r>
              <w:t xml:space="preserve">Knowledge lives in a deliberately maintained set with a </w:t>
            </w:r>
            <w:r>
              <w:rPr>
                <w:b/>
              </w:rPr>
              <w:t>defined cadence per document</w:t>
            </w:r>
            <w:r>
              <w:t>; manual curation is acceptable provided the cadence is followed</w:t>
            </w:r>
          </w:p>
        </w:tc>
      </w:tr>
      <w:tr>
        <w:tc>
          <w:tcPr>
            <w:tcW w:type="dxa" w:w="4968"/>
          </w:tcPr>
          <w:p>
            <w:r/>
            <w:r>
              <w:t>29</w:t>
            </w:r>
          </w:p>
        </w:tc>
        <w:tc>
          <w:tcPr>
            <w:tcW w:type="dxa" w:w="4968"/>
          </w:tcPr>
          <w:p>
            <w:r/>
            <w:r>
              <w:rPr>
                <w:b/>
              </w:rPr>
              <w:t>Weekly review</w:t>
            </w:r>
            <w:r>
              <w:t xml:space="preserve"> for IPs; per-release for app context; on-version-change for policies</w:t>
            </w:r>
          </w:p>
        </w:tc>
      </w:tr>
      <w:tr>
        <w:tc>
          <w:tcPr>
            <w:tcW w:type="dxa" w:w="4968"/>
          </w:tcPr>
          <w:p>
            <w:r/>
            <w:r>
              <w:t>30</w:t>
            </w:r>
          </w:p>
        </w:tc>
        <w:tc>
          <w:tcPr>
            <w:tcW w:type="dxa" w:w="4968"/>
          </w:tcPr>
          <w:p>
            <w:r/>
            <w:r>
              <w:t xml:space="preserve">Every document carries a </w:t>
            </w:r>
            <w:r>
              <w:rPr>
                <w:b/>
              </w:rPr>
              <w:t>`Verified` date</w:t>
            </w:r>
            <w:r>
              <w:t>, updated on every review even when nothing changed</w:t>
            </w:r>
          </w:p>
        </w:tc>
      </w:tr>
      <w:tr>
        <w:tc>
          <w:tcPr>
            <w:tcW w:type="dxa" w:w="4968"/>
          </w:tcPr>
          <w:p>
            <w:r/>
            <w:r>
              <w:t>31</w:t>
            </w:r>
          </w:p>
        </w:tc>
        <w:tc>
          <w:tcPr>
            <w:tcW w:type="dxa" w:w="4968"/>
          </w:tcPr>
          <w:p>
            <w:r/>
            <w:r>
              <w:t xml:space="preserve">The weekly sweep covers </w:t>
            </w:r>
            <w:r>
              <w:rPr>
                <w:b/>
              </w:rPr>
              <w:t>both `inc42.com` and `events.inc42.com`</w:t>
            </w:r>
            <w:r>
              <w:t>, plus the standalone IP domains</w:t>
            </w:r>
          </w:p>
        </w:tc>
      </w:tr>
      <w:tr>
        <w:tc>
          <w:tcPr>
            <w:tcW w:type="dxa" w:w="4968"/>
          </w:tcPr>
          <w:p>
            <w:r/>
            <w:r>
              <w:t>32</w:t>
            </w:r>
          </w:p>
        </w:tc>
        <w:tc>
          <w:tcPr>
            <w:tcW w:type="dxa" w:w="4968"/>
          </w:tcPr>
          <w:p>
            <w:r/>
            <w:r>
              <w:rPr>
                <w:b/>
              </w:rPr>
              <w:t>`05_Utkarsh_Call_Notes.md` and `07_Decision_Log.md` are never ingested</w:t>
            </w:r>
          </w:p>
        </w:tc>
      </w:tr>
      <w:tr>
        <w:tc>
          <w:tcPr>
            <w:tcW w:type="dxa" w:w="4968"/>
          </w:tcPr>
          <w:p>
            <w:r/>
            <w:r>
              <w:t>33</w:t>
            </w:r>
          </w:p>
        </w:tc>
        <w:tc>
          <w:tcPr>
            <w:tcW w:type="dxa" w:w="4968"/>
          </w:tcPr>
          <w:p>
            <w:r/>
            <w:r>
              <w:t xml:space="preserve">This set covers </w:t>
            </w:r>
            <w:r>
              <w:rPr>
                <w:b/>
              </w:rPr>
              <w:t>knowledge scope only</w:t>
            </w:r>
            <w:r>
              <w:t>. Design, placements, streaming and lane architecture, v2 flow work and analytics are tracked in the AskInc42 execution notes</w:t>
            </w:r>
          </w:p>
        </w:tc>
      </w:tr>
    </w:tbl>
    <w:p/>
    <w:p>
      <w:pPr>
        <w:pBdr>
          <w:bottom w:val="single" w:sz="6" w:space="1" w:color="C8CDD4"/>
        </w:pBdr>
      </w:pPr>
    </w:p>
    <w:p>
      <w:pPr>
        <w:pStyle w:val="Heading2"/>
      </w:pPr>
      <w:r>
        <w:rPr>
          <w:color w:val="1A3D6B"/>
        </w:rPr>
        <w:t>Still with Utkarsh</w:t>
      </w:r>
    </w:p>
    <w:p>
      <w:r>
        <w:t xml:space="preserve">Two items, both gating this scope directly. Detail in </w:t>
      </w:r>
      <w:r>
        <w:rPr>
          <w:rFonts w:ascii="Menlo" w:hAnsi="Menlo"/>
          <w:sz w:val="19"/>
        </w:rPr>
        <w:t>05_Utkarsh_Call_Notes.md</w:t>
      </w:r>
      <w:r>
        <w:t>.</w:t>
      </w:r>
    </w:p>
    <w:p>
      <w:pPr>
        <w:pStyle w:val="ListNumber"/>
      </w:pPr>
      <w:r>
        <w:rPr>
          <w:b/>
        </w:rPr>
        <w:t>Sign off the approved T&amp;C and Privacy answer set</w:t>
      </w:r>
      <w:r>
        <w:t xml:space="preserve"> in </w:t>
      </w:r>
      <w:r>
        <w:rPr>
          <w:rFonts w:ascii="Menlo" w:hAnsi="Menlo"/>
          <w:sz w:val="19"/>
        </w:rPr>
        <w:t>03_Policies_TnC_Privacy.md</w:t>
      </w:r>
      <w:r>
        <w:t xml:space="preserve"> — gates S5 ingestion.</w:t>
      </w:r>
    </w:p>
    <w:p>
      <w:pPr>
        <w:pStyle w:val="ListNumber"/>
      </w:pPr>
      <w:r>
        <w:rPr>
          <w:b/>
        </w:rPr>
        <w:t>Confirm the app-store rationale</w:t>
      </w:r>
      <w:r>
        <w:t xml:space="preserve"> behind excluding pricing — the rule ships either way.</w:t>
      </w:r>
    </w:p>
    <w:p>
      <w:pPr>
        <w:pStyle w:val="ListNumber"/>
      </w:pPr>
      <w:r>
        <w:t xml:space="preserve">🔴 </w:t>
      </w:r>
      <w:r>
        <w:rPr>
          <w:b/>
        </w:rPr>
        <w:t>The live Terms of Use appear stale against the current DataLabs product</w:t>
      </w:r>
      <w:r>
        <w:t xml:space="preserve"> — they reference a multi-seat plan and an annual option the product simplified away from, and a Pro Trial length that contradicts internal product documentation. </w:t>
      </w:r>
      <w:r>
        <w:rPr>
          <w:b/>
        </w:rPr>
        <w:t>Since AskInc42 summarises the Terms, a stale Terms document propagates into policy answers.</w:t>
      </w:r>
      <w:r>
        <w:t xml:space="preserve"> Resolve alongside item 1, not after it. See </w:t>
      </w:r>
      <w:r>
        <w:rPr>
          <w:rFonts w:ascii="Menlo" w:hAnsi="Menlo"/>
          <w:sz w:val="19"/>
        </w:rPr>
        <w:t>08_DataLabs.md</w:t>
      </w:r>
      <w:r>
        <w:t xml:space="preserve"> §12.</w:t>
      </w:r>
    </w:p>
    <w:p>
      <w:r>
        <w:t>Legal and privacy items arising from AskInc42 more broadly sit with the DPDP compliance track.</w:t>
      </w:r>
    </w:p>
    <w:p>
      <w:pPr>
        <w:pBdr>
          <w:bottom w:val="single" w:sz="6" w:space="1" w:color="C8CDD4"/>
        </w:pBdr>
      </w:pPr>
    </w:p>
    <w:p>
      <w:pPr>
        <w:pStyle w:val="Heading2"/>
      </w:pPr>
      <w:r>
        <w:rPr>
          <w:color w:val="1A3D6B"/>
        </w:rPr>
        <w:t>Immediate</w:t>
      </w:r>
    </w:p>
    <w:p>
      <w:r>
        <w:t xml:space="preserve">🔴 </w:t>
      </w:r>
      <w:r>
        <w:rPr>
          <w:b/>
        </w:rPr>
        <w:t>The D2C &amp; Retail Summit runs 19 August 2026.</w:t>
      </w:r>
      <w:r>
        <w:t xml:space="preserve"> It must flip to </w:t>
      </w:r>
      <w:r>
        <w:rPr>
          <w:rFonts w:ascii="Menlo" w:hAnsi="Menlo"/>
          <w:sz w:val="19"/>
        </w:rPr>
        <w:t>concluded</w:t>
      </w:r>
      <w:r>
        <w:t xml:space="preserve"> in </w:t>
      </w:r>
      <w:r>
        <w:rPr>
          <w:rFonts w:ascii="Menlo" w:hAnsi="Menlo"/>
          <w:sz w:val="19"/>
        </w:rPr>
        <w:t>04_IPs_Overview.md</w:t>
      </w:r>
      <w:r>
        <w:t xml:space="preserve"> at the first weekly review after that date, or AskInc42 will invite people to an event that's already over. First real test of whether the cadence gets followed.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