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0262F"/>
          <w:sz w:val="44"/>
        </w:rPr>
        <w:t>AskInc42 — Product Requirements Document</w:t>
      </w:r>
    </w:p>
    <w:p>
      <w:pPr>
        <w:spacing w:after="200"/>
      </w:pPr>
      <w:r>
        <w:rPr>
          <w:i/>
          <w:color w:val="4A5160"/>
          <w:sz w:val="24"/>
        </w:rPr>
        <w:t>Bringing Inc42’s existing AI assistant into the app.</w:t>
      </w:r>
    </w:p>
    <w:tbl>
      <w:tblPr>
        <w:tblStyle w:val="TableGrid"/>
        <w:tblW w:type="auto" w:w="0"/>
        <w:tblLayout w:type="fixed"/>
        <w:tblLook w:firstColumn="1" w:firstRow="1" w:lastColumn="0" w:lastRow="0" w:noHBand="0" w:noVBand="1" w:val="04A0"/>
      </w:tblPr>
      <w:tblGrid>
        <w:gridCol w:w="2304"/>
        <w:gridCol w:w="7488"/>
      </w:tblGrid>
      <w:tr>
        <w:tc>
          <w:tcPr>
            <w:tcW w:type="dxa" w:w="2304"/>
            <w:shd w:val="clear" w:color="auto" w:fill="F8F8F2"/>
          </w:tcPr>
          <w:p>
            <w:r/>
            <w:r>
              <w:rPr>
                <w:b/>
                <w:sz w:val="19"/>
              </w:rPr>
              <w:t>Owner</w:t>
            </w:r>
          </w:p>
        </w:tc>
        <w:tc>
          <w:tcPr>
            <w:tcW w:type="dxa" w:w="7488"/>
          </w:tcPr>
          <w:p>
            <w:r/>
            <w:r>
              <w:rPr>
                <w:sz w:val="19"/>
              </w:rPr>
              <w:t>Ranjith</w:t>
            </w:r>
          </w:p>
        </w:tc>
      </w:tr>
      <w:tr>
        <w:tc>
          <w:tcPr>
            <w:tcW w:type="dxa" w:w="2304"/>
            <w:shd w:val="clear" w:color="auto" w:fill="F8F8F2"/>
          </w:tcPr>
          <w:p>
            <w:r/>
            <w:r>
              <w:rPr>
                <w:b/>
                <w:sz w:val="19"/>
              </w:rPr>
              <w:t>Contributors</w:t>
            </w:r>
          </w:p>
        </w:tc>
        <w:tc>
          <w:tcPr>
            <w:tcW w:type="dxa" w:w="7488"/>
          </w:tcPr>
          <w:p>
            <w:r/>
            <w:r>
              <w:rPr>
                <w:sz w:val="19"/>
              </w:rPr>
              <w:t>Utkarsh (launch infra/compliance) · Nityam (design) · Animesh (store) · Ritvi (feature flag, from Aug 3)</w:t>
            </w:r>
          </w:p>
        </w:tc>
      </w:tr>
      <w:tr>
        <w:tc>
          <w:tcPr>
            <w:tcW w:type="dxa" w:w="2304"/>
            <w:shd w:val="clear" w:color="auto" w:fill="F8F8F2"/>
          </w:tcPr>
          <w:p>
            <w:r/>
            <w:r>
              <w:rPr>
                <w:b/>
                <w:sz w:val="19"/>
              </w:rPr>
              <w:t>Eval review owner</w:t>
            </w:r>
          </w:p>
        </w:tc>
        <w:tc>
          <w:tcPr>
            <w:tcW w:type="dxa" w:w="7488"/>
          </w:tcPr>
          <w:p>
            <w:r/>
            <w:r>
              <w:rPr>
                <w:sz w:val="19"/>
              </w:rPr>
              <w:t>Ranjith</w:t>
            </w:r>
          </w:p>
        </w:tc>
      </w:tr>
      <w:tr>
        <w:tc>
          <w:tcPr>
            <w:tcW w:type="dxa" w:w="2304"/>
            <w:shd w:val="clear" w:color="auto" w:fill="F8F8F2"/>
          </w:tcPr>
          <w:p>
            <w:r/>
            <w:r>
              <w:rPr>
                <w:b/>
                <w:sz w:val="19"/>
              </w:rPr>
              <w:t>Sibling doc</w:t>
            </w:r>
          </w:p>
        </w:tc>
        <w:tc>
          <w:tcPr>
            <w:tcW w:type="dxa" w:w="7488"/>
          </w:tcPr>
          <w:p>
            <w:r/>
            <w:r>
              <w:rPr>
                <w:sz w:val="19"/>
              </w:rPr>
              <w:t>Pulse (Social Intelligence) PRD v2.0 — Ranjith + Utkarsh, 30 Jul 2026</w:t>
            </w:r>
          </w:p>
        </w:tc>
      </w:tr>
      <w:tr>
        <w:tc>
          <w:tcPr>
            <w:tcW w:type="dxa" w:w="2304"/>
            <w:shd w:val="clear" w:color="auto" w:fill="F8F8F2"/>
          </w:tcPr>
          <w:p>
            <w:r/>
            <w:r>
              <w:rPr>
                <w:b/>
                <w:sz w:val="19"/>
              </w:rPr>
              <w:t>Status</w:t>
            </w:r>
          </w:p>
        </w:tc>
        <w:tc>
          <w:tcPr>
            <w:tcW w:type="dxa" w:w="7488"/>
          </w:tcPr>
          <w:p>
            <w:r/>
            <w:r>
              <w:rPr>
                <w:sz w:val="19"/>
              </w:rPr>
              <w:t>Ships after app launch, before Pulse</w:t>
            </w:r>
          </w:p>
        </w:tc>
      </w:tr>
      <w:tr>
        <w:tc>
          <w:tcPr>
            <w:tcW w:type="dxa" w:w="2304"/>
            <w:shd w:val="clear" w:color="auto" w:fill="F8F8F2"/>
          </w:tcPr>
          <w:p>
            <w:r/>
            <w:r>
              <w:rPr>
                <w:b/>
                <w:sz w:val="19"/>
              </w:rPr>
              <w:t>Updated</w:t>
            </w:r>
          </w:p>
        </w:tc>
        <w:tc>
          <w:tcPr>
            <w:tcW w:type="dxa" w:w="7488"/>
          </w:tcPr>
          <w:p>
            <w:r/>
            <w:r>
              <w:rPr>
                <w:sz w:val="19"/>
              </w:rPr>
              <w:t>2 Aug 2026</w:t>
            </w:r>
          </w:p>
        </w:tc>
      </w:tr>
    </w:tbl>
    <w:p/>
    <w:p>
      <w:r>
        <w:br w:type="page"/>
      </w:r>
    </w:p>
    <w:p>
      <w:pPr>
        <w:pStyle w:val="Heading1"/>
      </w:pPr>
      <w:r>
        <w:t>01. Why are we doing this?</w:t>
      </w:r>
    </w:p>
    <w:p>
      <w:pPr>
        <w:spacing w:after="160"/>
      </w:pPr>
      <w:r>
        <w:rPr>
          <w:i w:val="0"/>
          <w:sz w:val="21"/>
        </w:rPr>
        <w:t>AskInc42 already exists and works — live on inc42.com, mostly inside Datalab. The app has no equivalent. That gap matters because app readers behave differently from web readers: they open the app to get through today’s brief, not to research a question they arrived with. Porting the web experience as-is — a blank chat box — fails for exactly that reason: a blank box only works when the question already exists in the reader’s head before the interface does, which is true on Datalab and untrue in the app.</w:t>
      </w:r>
    </w:p>
    <w:p>
      <w:pPr>
        <w:spacing w:after="160"/>
      </w:pPr>
      <w:r>
        <w:rPr>
          <w:i w:val="0"/>
          <w:sz w:val="21"/>
        </w:rPr>
        <w:t>The opportunity, then, isn’t “build a chatbot.” It’s extend a capability Inc42 has already built and proven into a surface where the same blank-box interface would fail — using content Inc42 already produces, with no new editorial production cost beyond the review step in Section 06.</w:t>
      </w:r>
    </w:p>
    <w:p>
      <w:pPr>
        <w:pStyle w:val="Heading1"/>
      </w:pPr>
      <w:r>
        <w:t>02. The JTBD framework</w:t>
      </w:r>
    </w:p>
    <w:p>
      <w:pPr>
        <w:spacing w:after="160"/>
      </w:pPr>
      <w:r>
        <w:rPr>
          <w:i w:val="0"/>
          <w:sz w:val="21"/>
        </w:rPr>
        <w:t>Two rules, and they’re both load-bearing for every placement decision in this document:</w:t>
      </w:r>
    </w:p>
    <w:p>
      <w:pPr>
        <w:pStyle w:val="ListBullet"/>
      </w:pPr>
      <w:r>
        <w:rPr>
          <w:b/>
          <w:sz w:val="21"/>
        </w:rPr>
        <w:t>Never show a blank box.</w:t>
      </w:r>
      <w:r>
        <w:rPr>
          <w:sz w:val="21"/>
        </w:rPr>
        <w:t xml:space="preserve"> The reader is never asked “what do you want to know” — that puts the work of forming a question back on them, in the middle of a read.</w:t>
      </w:r>
    </w:p>
    <w:p>
      <w:pPr>
        <w:pStyle w:val="ListBullet"/>
      </w:pPr>
      <w:r>
        <w:rPr>
          <w:b/>
          <w:sz w:val="21"/>
        </w:rPr>
        <w:t>Every surface already implies a question.</w:t>
      </w:r>
      <w:r>
        <w:rPr>
          <w:sz w:val="21"/>
        </w:rPr>
        <w:t xml:space="preserve"> Ask should reflect the question a reader already has at that point, not invent one — the test every placement in Section 10 was run against.</w:t>
      </w:r>
    </w:p>
    <w:tbl>
      <w:tblPr>
        <w:tblStyle w:val="TableGrid"/>
        <w:tblW w:type="auto" w:w="0"/>
        <w:jc w:val="left"/>
        <w:tblLayout w:type="fixed"/>
        <w:tblLook w:firstColumn="1" w:firstRow="1" w:lastColumn="0" w:lastRow="0" w:noHBand="0" w:noVBand="1" w:val="04A0"/>
      </w:tblPr>
      <w:tblGrid>
        <w:gridCol w:w="2592"/>
        <w:gridCol w:w="7200"/>
      </w:tblGrid>
      <w:tr>
        <w:tc>
          <w:tcPr>
            <w:tcW w:type="dxa" w:w="2592"/>
            <w:shd w:val="clear" w:color="auto" w:fill="EFEFE7"/>
          </w:tcPr>
          <w:p>
            <w:r/>
            <w:r>
              <w:rPr>
                <w:b/>
                <w:color w:val="7B8091"/>
                <w:sz w:val="17"/>
              </w:rPr>
              <w:t>SURFACE</w:t>
            </w:r>
          </w:p>
        </w:tc>
        <w:tc>
          <w:tcPr>
            <w:tcW w:type="dxa" w:w="7200"/>
            <w:shd w:val="clear" w:color="auto" w:fill="EFEFE7"/>
          </w:tcPr>
          <w:p>
            <w:r/>
            <w:r>
              <w:rPr>
                <w:b/>
                <w:color w:val="7B8091"/>
                <w:sz w:val="17"/>
              </w:rPr>
              <w:t>THE QUESTION THE READER ALREADY HAS THERE</w:t>
            </w:r>
          </w:p>
        </w:tc>
      </w:tr>
      <w:tr>
        <w:tc>
          <w:tcPr>
            <w:tcW w:type="dxa" w:w="2592"/>
          </w:tcPr>
          <w:p>
            <w:r/>
            <w:r>
              <w:rPr>
                <w:b/>
                <w:sz w:val="19"/>
              </w:rPr>
              <w:t>Story card (in today's brief)</w:t>
            </w:r>
          </w:p>
        </w:tc>
        <w:tc>
          <w:tcPr>
            <w:tcW w:type="dxa" w:w="7200"/>
          </w:tcPr>
          <w:p>
            <w:r/>
            <w:r>
              <w:rPr>
                <w:sz w:val="19"/>
              </w:rPr>
              <w:t>"Tell me more about this one story."</w:t>
            </w:r>
          </w:p>
        </w:tc>
      </w:tr>
      <w:tr>
        <w:tc>
          <w:tcPr>
            <w:tcW w:type="dxa" w:w="2592"/>
          </w:tcPr>
          <w:p>
            <w:r/>
            <w:r>
              <w:rPr>
                <w:b/>
                <w:sz w:val="19"/>
              </w:rPr>
              <w:t>Article detail</w:t>
            </w:r>
          </w:p>
        </w:tc>
        <w:tc>
          <w:tcPr>
            <w:tcW w:type="dxa" w:w="7200"/>
          </w:tcPr>
          <w:p>
            <w:r/>
            <w:r>
              <w:rPr>
                <w:sz w:val="19"/>
              </w:rPr>
              <w:t>Same, deeper — they're already reading the full piece.</w:t>
            </w:r>
          </w:p>
        </w:tc>
      </w:tr>
      <w:tr>
        <w:tc>
          <w:tcPr>
            <w:tcW w:type="dxa" w:w="2592"/>
          </w:tcPr>
          <w:p>
            <w:r/>
            <w:r>
              <w:rPr>
                <w:b/>
                <w:sz w:val="19"/>
              </w:rPr>
              <w:t>Company page</w:t>
            </w:r>
          </w:p>
        </w:tc>
        <w:tc>
          <w:tcPr>
            <w:tcW w:type="dxa" w:w="7200"/>
          </w:tcPr>
          <w:p>
            <w:r/>
            <w:r>
              <w:rPr>
                <w:sz w:val="19"/>
              </w:rPr>
              <w:t>"What’s happening with this company?"</w:t>
            </w:r>
          </w:p>
        </w:tc>
      </w:tr>
      <w:tr>
        <w:tc>
          <w:tcPr>
            <w:tcW w:type="dxa" w:w="2592"/>
          </w:tcPr>
          <w:p>
            <w:r/>
            <w:r>
              <w:rPr>
                <w:b/>
                <w:sz w:val="19"/>
              </w:rPr>
              <w:t>Sector page</w:t>
            </w:r>
          </w:p>
        </w:tc>
        <w:tc>
          <w:tcPr>
            <w:tcW w:type="dxa" w:w="7200"/>
          </w:tcPr>
          <w:p>
            <w:r/>
            <w:r>
              <w:rPr>
                <w:sz w:val="19"/>
              </w:rPr>
              <w:t>"What’s happening in this sector, who’s in it?"</w:t>
            </w:r>
          </w:p>
        </w:tc>
      </w:tr>
      <w:tr>
        <w:tc>
          <w:tcPr>
            <w:tcW w:type="dxa" w:w="2592"/>
          </w:tcPr>
          <w:p>
            <w:r/>
            <w:r>
              <w:rPr>
                <w:b/>
                <w:sz w:val="19"/>
              </w:rPr>
              <w:t>Watchlist</w:t>
            </w:r>
          </w:p>
        </w:tc>
        <w:tc>
          <w:tcPr>
            <w:tcW w:type="dxa" w:w="7200"/>
          </w:tcPr>
          <w:p>
            <w:r/>
            <w:r>
              <w:rPr>
                <w:sz w:val="19"/>
              </w:rPr>
              <w:t>"What’s new in what I’m tracking?"</w:t>
            </w:r>
          </w:p>
        </w:tc>
      </w:tr>
    </w:tbl>
    <w:p>
      <w:pPr>
        <w:spacing w:after="80"/>
      </w:pPr>
    </w:p>
    <w:p>
      <w:pPr>
        <w:pStyle w:val="Heading1"/>
      </w:pPr>
      <w:r>
        <w:t>03. How we position it</w:t>
      </w:r>
    </w:p>
    <w:p>
      <w:pPr>
        <w:spacing w:after="160"/>
      </w:pPr>
      <w:r>
        <w:rPr>
          <w:i/>
          <w:sz w:val="21"/>
        </w:rPr>
        <w:t>Positioning line: “AskInc42 is the question your daily brief didn’t answer — grounded in what Inc42 has actually reported, surfaced exactly where curiosity already exists, never a blank box.”</w:t>
      </w:r>
    </w:p>
    <w:tbl>
      <w:tblPr>
        <w:tblStyle w:val="TableGrid"/>
        <w:tblW w:type="auto" w:w="0"/>
        <w:jc w:val="left"/>
        <w:tblLayout w:type="fixed"/>
        <w:tblLook w:firstColumn="1" w:firstRow="1" w:lastColumn="0" w:lastRow="0" w:noHBand="0" w:noVBand="1" w:val="04A0"/>
      </w:tblPr>
      <w:tblGrid>
        <w:gridCol w:w="2592"/>
        <w:gridCol w:w="7200"/>
      </w:tblGrid>
      <w:tr>
        <w:tc>
          <w:tcPr>
            <w:tcW w:type="dxa" w:w="2592"/>
            <w:shd w:val="clear" w:color="auto" w:fill="EFEFE7"/>
          </w:tcPr>
          <w:p>
            <w:r/>
            <w:r>
              <w:rPr>
                <w:b/>
                <w:color w:val="7B8091"/>
                <w:sz w:val="17"/>
              </w:rPr>
              <w:t>MODE</w:t>
            </w:r>
          </w:p>
        </w:tc>
        <w:tc>
          <w:tcPr>
            <w:tcW w:type="dxa" w:w="7200"/>
            <w:shd w:val="clear" w:color="auto" w:fill="EFEFE7"/>
          </w:tcPr>
          <w:p>
            <w:r/>
            <w:r>
              <w:rPr>
                <w:b/>
                <w:color w:val="7B8091"/>
                <w:sz w:val="17"/>
              </w:rPr>
              <w:t>DESCRIPTION</w:t>
            </w:r>
          </w:p>
        </w:tc>
      </w:tr>
      <w:tr>
        <w:tc>
          <w:tcPr>
            <w:tcW w:type="dxa" w:w="2592"/>
          </w:tcPr>
          <w:p>
            <w:r/>
            <w:r>
              <w:rPr>
                <w:b/>
                <w:sz w:val="19"/>
              </w:rPr>
              <w:t>Web — research mode</w:t>
            </w:r>
          </w:p>
        </w:tc>
        <w:tc>
          <w:tcPr>
            <w:tcW w:type="dxa" w:w="7200"/>
          </w:tcPr>
          <w:p>
            <w:r/>
            <w:r>
              <w:rPr>
                <w:sz w:val="19"/>
              </w:rPr>
              <w:t>A reader lands on Datalab with a question already in mind. A blank input works because the question arrived before the interface did.</w:t>
            </w:r>
          </w:p>
        </w:tc>
      </w:tr>
      <w:tr>
        <w:tc>
          <w:tcPr>
            <w:tcW w:type="dxa" w:w="2592"/>
          </w:tcPr>
          <w:p>
            <w:r/>
            <w:r>
              <w:rPr>
                <w:b/>
                <w:sz w:val="19"/>
              </w:rPr>
              <w:t>App — consumption mode</w:t>
            </w:r>
          </w:p>
        </w:tc>
        <w:tc>
          <w:tcPr>
            <w:tcW w:type="dxa" w:w="7200"/>
          </w:tcPr>
          <w:p>
            <w:r/>
            <w:r>
              <w:rPr>
                <w:sz w:val="19"/>
              </w:rPr>
              <w:t>A reader opens the app to get through the brief. No pre-formed question means Ask has to borrow intent from wherever it’s placed.</w:t>
            </w:r>
          </w:p>
        </w:tc>
      </w:tr>
    </w:tbl>
    <w:p>
      <w:pPr>
        <w:spacing w:after="80"/>
      </w:pPr>
    </w:p>
    <w:p>
      <w:pPr>
        <w:pStyle w:val="Heading1"/>
      </w:pPr>
      <w:r>
        <w:t>04. Why this positioning</w:t>
      </w:r>
    </w:p>
    <w:p>
      <w:pPr>
        <w:pStyle w:val="ListBullet"/>
      </w:pPr>
      <w:r>
        <w:rPr>
          <w:b/>
          <w:sz w:val="21"/>
        </w:rPr>
        <w:t>Trust.</w:t>
      </w:r>
      <w:r>
        <w:rPr>
          <w:sz w:val="21"/>
        </w:rPr>
        <w:t xml:space="preserve"> Grounded only in Inc42’s own reporting, not the open web — every answer stays traceable to something Inc42 actually published, which matters because this is a business/finance audience that will fact-check.</w:t>
      </w:r>
    </w:p>
    <w:p>
      <w:pPr>
        <w:pStyle w:val="ListBullet"/>
      </w:pPr>
      <w:r>
        <w:rPr>
          <w:b/>
          <w:sz w:val="21"/>
        </w:rPr>
        <w:t>Editors see and can edit the AI-drafted questions when they publish</w:t>
      </w:r>
      <w:r>
        <w:rPr>
          <w:sz w:val="21"/>
        </w:rPr>
        <w:t xml:space="preserve"> — not a separate verification layer, part of the same publish action (Section 06).</w:t>
      </w:r>
    </w:p>
    <w:p>
      <w:pPr>
        <w:pStyle w:val="ListBullet"/>
      </w:pPr>
      <w:r>
        <w:rPr>
          <w:b/>
          <w:sz w:val="21"/>
        </w:rPr>
        <w:t>Category precedent</w:t>
      </w:r>
      <w:r>
        <w:rPr>
          <w:sz w:val="21"/>
        </w:rPr>
        <w:t xml:space="preserve"> exists for grounded, surfaced-in-context assistants beating general chatbots: Crunchbase Scout (per-company assistant), Robinhood Cortex (per-stock digest, Gold-gated, 95% positive feedback), Arc XP’s Ask The News (Washington Post, publisher’s-own-reporting only). Full competitor scan in the Appendix.</w:t>
      </w:r>
    </w:p>
    <w:p>
      <w:pPr>
        <w:pStyle w:val="Heading1"/>
      </w:pPr>
      <w:r>
        <w:t>05. Locked decisions, indexed</w:t>
      </w:r>
    </w:p>
    <w:p>
      <w:pPr>
        <w:spacing w:after="160"/>
      </w:pPr>
      <w:r>
        <w:rPr>
          <w:i/>
          <w:color w:val="4A5160"/>
          <w:sz w:val="21"/>
        </w:rPr>
        <w:t>A fast-reference index — every decision links to the section where its full detail lives.</w:t>
      </w:r>
    </w:p>
    <w:tbl>
      <w:tblPr>
        <w:tblStyle w:val="TableGrid"/>
        <w:tblW w:type="auto" w:w="0"/>
        <w:jc w:val="left"/>
        <w:tblLayout w:type="fixed"/>
        <w:tblLook w:firstColumn="1" w:firstRow="1" w:lastColumn="0" w:lastRow="0" w:noHBand="0" w:noVBand="1" w:val="04A0"/>
      </w:tblPr>
      <w:tblGrid>
        <w:gridCol w:w="864"/>
        <w:gridCol w:w="7776"/>
        <w:gridCol w:w="1728"/>
      </w:tblGrid>
      <w:tr>
        <w:tc>
          <w:tcPr>
            <w:tcW w:type="dxa" w:w="864"/>
            <w:shd w:val="clear" w:color="auto" w:fill="EFEFE7"/>
          </w:tcPr>
          <w:p>
            <w:r/>
            <w:r>
              <w:rPr>
                <w:b/>
                <w:color w:val="7B8091"/>
                <w:sz w:val="17"/>
              </w:rPr>
              <w:t>ID</w:t>
            </w:r>
          </w:p>
        </w:tc>
        <w:tc>
          <w:tcPr>
            <w:tcW w:type="dxa" w:w="7776"/>
            <w:shd w:val="clear" w:color="auto" w:fill="EFEFE7"/>
          </w:tcPr>
          <w:p>
            <w:r/>
            <w:r>
              <w:rPr>
                <w:b/>
                <w:color w:val="7B8091"/>
                <w:sz w:val="17"/>
              </w:rPr>
              <w:t>DECISION</w:t>
            </w:r>
          </w:p>
        </w:tc>
        <w:tc>
          <w:tcPr>
            <w:tcW w:type="dxa" w:w="1728"/>
            <w:shd w:val="clear" w:color="auto" w:fill="EFEFE7"/>
          </w:tcPr>
          <w:p>
            <w:r/>
            <w:r>
              <w:rPr>
                <w:b/>
                <w:color w:val="7B8091"/>
                <w:sz w:val="17"/>
              </w:rPr>
              <w:t>REFERENCE</w:t>
            </w:r>
          </w:p>
        </w:tc>
      </w:tr>
      <w:tr>
        <w:tc>
          <w:tcPr>
            <w:tcW w:type="dxa" w:w="864"/>
          </w:tcPr>
          <w:p>
            <w:r/>
            <w:r>
              <w:rPr>
                <w:b/>
                <w:sz w:val="19"/>
              </w:rPr>
              <w:t>D1</w:t>
            </w:r>
          </w:p>
        </w:tc>
        <w:tc>
          <w:tcPr>
            <w:tcW w:type="dxa" w:w="7776"/>
          </w:tcPr>
          <w:p>
            <w:r/>
            <w:r>
              <w:rPr>
                <w:sz w:val="19"/>
              </w:rPr>
              <w:t>Ask is visible to every reader, logged in or not; the two flows behave differently.</w:t>
            </w:r>
          </w:p>
        </w:tc>
        <w:tc>
          <w:tcPr>
            <w:tcW w:type="dxa" w:w="1728"/>
          </w:tcPr>
          <w:p>
            <w:r/>
            <w:r>
              <w:rPr>
                <w:sz w:val="19"/>
              </w:rPr>
              <w:t>Section 07</w:t>
            </w:r>
          </w:p>
        </w:tc>
      </w:tr>
      <w:tr>
        <w:tc>
          <w:tcPr>
            <w:tcW w:type="dxa" w:w="864"/>
          </w:tcPr>
          <w:p>
            <w:r/>
            <w:r>
              <w:rPr>
                <w:b/>
                <w:sz w:val="19"/>
              </w:rPr>
              <w:t>D2</w:t>
            </w:r>
          </w:p>
        </w:tc>
        <w:tc>
          <w:tcPr>
            <w:tcW w:type="dxa" w:w="7776"/>
          </w:tcPr>
          <w:p>
            <w:r/>
            <w:r>
              <w:rPr>
                <w:sz w:val="19"/>
              </w:rPr>
              <w:t>Chat history is persistent, user-visible, and explicitly a Terms/Privacy commitment, not just a UX choice.</w:t>
            </w:r>
          </w:p>
        </w:tc>
        <w:tc>
          <w:tcPr>
            <w:tcW w:type="dxa" w:w="1728"/>
          </w:tcPr>
          <w:p>
            <w:r/>
            <w:r>
              <w:rPr>
                <w:sz w:val="19"/>
              </w:rPr>
              <w:t>Section 09</w:t>
            </w:r>
          </w:p>
        </w:tc>
      </w:tr>
      <w:tr>
        <w:tc>
          <w:tcPr>
            <w:tcW w:type="dxa" w:w="864"/>
          </w:tcPr>
          <w:p>
            <w:r/>
            <w:r>
              <w:rPr>
                <w:b/>
                <w:sz w:val="19"/>
              </w:rPr>
              <w:t>D3</w:t>
            </w:r>
          </w:p>
        </w:tc>
        <w:tc>
          <w:tcPr>
            <w:tcW w:type="dxa" w:w="7776"/>
          </w:tcPr>
          <w:p>
            <w:r/>
            <w:r>
              <w:rPr>
                <w:sz w:val="19"/>
              </w:rPr>
              <w:t>Thumbs up / down on every response, feeding a defined loop back into generation.</w:t>
            </w:r>
          </w:p>
        </w:tc>
        <w:tc>
          <w:tcPr>
            <w:tcW w:type="dxa" w:w="1728"/>
          </w:tcPr>
          <w:p>
            <w:r/>
            <w:r>
              <w:rPr>
                <w:sz w:val="19"/>
              </w:rPr>
              <w:t>Section 13</w:t>
            </w:r>
          </w:p>
        </w:tc>
      </w:tr>
      <w:tr>
        <w:tc>
          <w:tcPr>
            <w:tcW w:type="dxa" w:w="864"/>
          </w:tcPr>
          <w:p>
            <w:r/>
            <w:r>
              <w:rPr>
                <w:b/>
                <w:sz w:val="19"/>
              </w:rPr>
              <w:t>D4</w:t>
            </w:r>
          </w:p>
        </w:tc>
        <w:tc>
          <w:tcPr>
            <w:tcW w:type="dxa" w:w="7776"/>
          </w:tcPr>
          <w:p>
            <w:r/>
            <w:r>
              <w:rPr>
                <w:sz w:val="19"/>
              </w:rPr>
              <w:t>Generation is AI-drafted at publish time; the editor sees and can edit it as part of publishing.</w:t>
            </w:r>
          </w:p>
        </w:tc>
        <w:tc>
          <w:tcPr>
            <w:tcW w:type="dxa" w:w="1728"/>
          </w:tcPr>
          <w:p>
            <w:r/>
            <w:r>
              <w:rPr>
                <w:sz w:val="19"/>
              </w:rPr>
              <w:t>Section 06</w:t>
            </w:r>
          </w:p>
        </w:tc>
      </w:tr>
      <w:tr>
        <w:tc>
          <w:tcPr>
            <w:tcW w:type="dxa" w:w="864"/>
          </w:tcPr>
          <w:p>
            <w:r/>
            <w:r>
              <w:rPr>
                <w:b/>
                <w:sz w:val="19"/>
              </w:rPr>
              <w:t>D5</w:t>
            </w:r>
          </w:p>
        </w:tc>
        <w:tc>
          <w:tcPr>
            <w:tcW w:type="dxa" w:w="7776"/>
          </w:tcPr>
          <w:p>
            <w:r/>
            <w:r>
              <w:rPr>
                <w:sz w:val="19"/>
              </w:rPr>
              <w:t>Five placements in v1: story card, article detail, company page, sector page, Watchlist. No dedicated tab.</w:t>
            </w:r>
          </w:p>
        </w:tc>
        <w:tc>
          <w:tcPr>
            <w:tcW w:type="dxa" w:w="1728"/>
          </w:tcPr>
          <w:p>
            <w:r/>
            <w:r>
              <w:rPr>
                <w:sz w:val="19"/>
              </w:rPr>
              <w:t>Sections 10, 15</w:t>
            </w:r>
          </w:p>
        </w:tc>
      </w:tr>
      <w:tr>
        <w:tc>
          <w:tcPr>
            <w:tcW w:type="dxa" w:w="864"/>
          </w:tcPr>
          <w:p>
            <w:r/>
            <w:r>
              <w:rPr>
                <w:b/>
                <w:sz w:val="19"/>
              </w:rPr>
              <w:t>D6</w:t>
            </w:r>
          </w:p>
        </w:tc>
        <w:tc>
          <w:tcPr>
            <w:tcW w:type="dxa" w:w="7776"/>
          </w:tcPr>
          <w:p>
            <w:r/>
            <w:r>
              <w:rPr>
                <w:sz w:val="19"/>
              </w:rPr>
              <w:t>Sector detail page and Watchlist's Sectors sub-tab are different surfaces with different jobs.</w:t>
            </w:r>
          </w:p>
        </w:tc>
        <w:tc>
          <w:tcPr>
            <w:tcW w:type="dxa" w:w="1728"/>
          </w:tcPr>
          <w:p>
            <w:r/>
            <w:r>
              <w:rPr>
                <w:sz w:val="19"/>
              </w:rPr>
              <w:t>Section 10</w:t>
            </w:r>
          </w:p>
        </w:tc>
      </w:tr>
      <w:tr>
        <w:tc>
          <w:tcPr>
            <w:tcW w:type="dxa" w:w="864"/>
          </w:tcPr>
          <w:p>
            <w:r/>
            <w:r>
              <w:rPr>
                <w:b/>
                <w:sz w:val="19"/>
              </w:rPr>
              <w:t>D7</w:t>
            </w:r>
          </w:p>
        </w:tc>
        <w:tc>
          <w:tcPr>
            <w:tcW w:type="dxa" w:w="7776"/>
          </w:tcPr>
          <w:p>
            <w:r/>
            <w:r>
              <w:rPr>
                <w:sz w:val="19"/>
              </w:rPr>
              <w:t>Watchlist uses a rotating pool of static persona messages, not per-item generation.</w:t>
            </w:r>
          </w:p>
        </w:tc>
        <w:tc>
          <w:tcPr>
            <w:tcW w:type="dxa" w:w="1728"/>
          </w:tcPr>
          <w:p>
            <w:r/>
            <w:r>
              <w:rPr>
                <w:sz w:val="19"/>
              </w:rPr>
              <w:t>Section 11</w:t>
            </w:r>
          </w:p>
        </w:tc>
      </w:tr>
      <w:tr>
        <w:tc>
          <w:tcPr>
            <w:tcW w:type="dxa" w:w="864"/>
          </w:tcPr>
          <w:p>
            <w:r/>
            <w:r>
              <w:rPr>
                <w:b/>
                <w:sz w:val="19"/>
              </w:rPr>
              <w:t>D8</w:t>
            </w:r>
          </w:p>
        </w:tc>
        <w:tc>
          <w:tcPr>
            <w:tcW w:type="dxa" w:w="7776"/>
          </w:tcPr>
          <w:p>
            <w:r/>
            <w:r>
              <w:rPr>
                <w:sz w:val="19"/>
              </w:rPr>
              <w:t>No paid version. Fast and Deep modes are both free to use.</w:t>
            </w:r>
          </w:p>
        </w:tc>
        <w:tc>
          <w:tcPr>
            <w:tcW w:type="dxa" w:w="1728"/>
          </w:tcPr>
          <w:p>
            <w:r/>
            <w:r>
              <w:rPr>
                <w:sz w:val="19"/>
              </w:rPr>
              <w:t>Section 08</w:t>
            </w:r>
          </w:p>
        </w:tc>
      </w:tr>
      <w:tr>
        <w:tc>
          <w:tcPr>
            <w:tcW w:type="dxa" w:w="864"/>
          </w:tcPr>
          <w:p>
            <w:r/>
            <w:r>
              <w:rPr>
                <w:b/>
                <w:sz w:val="19"/>
              </w:rPr>
              <w:t>D9</w:t>
            </w:r>
          </w:p>
        </w:tc>
        <w:tc>
          <w:tcPr>
            <w:tcW w:type="dxa" w:w="7776"/>
          </w:tcPr>
          <w:p>
            <w:r/>
            <w:r>
              <w:rPr>
                <w:sz w:val="19"/>
              </w:rPr>
              <w:t>Primary guardrail: Ask must not reduce brief completion, measured as a cohort comparison.</w:t>
            </w:r>
          </w:p>
        </w:tc>
        <w:tc>
          <w:tcPr>
            <w:tcW w:type="dxa" w:w="1728"/>
          </w:tcPr>
          <w:p>
            <w:r/>
            <w:r>
              <w:rPr>
                <w:sz w:val="19"/>
              </w:rPr>
              <w:t>Section 11</w:t>
            </w:r>
          </w:p>
        </w:tc>
      </w:tr>
      <w:tr>
        <w:tc>
          <w:tcPr>
            <w:tcW w:type="dxa" w:w="864"/>
          </w:tcPr>
          <w:p>
            <w:r/>
            <w:r>
              <w:rPr>
                <w:b/>
                <w:sz w:val="19"/>
              </w:rPr>
              <w:t>D10</w:t>
            </w:r>
          </w:p>
        </w:tc>
        <w:tc>
          <w:tcPr>
            <w:tcW w:type="dxa" w:w="7776"/>
          </w:tcPr>
          <w:p>
            <w:r/>
            <w:r>
              <w:rPr>
                <w:sz w:val="19"/>
              </w:rPr>
              <w:t>Eval review owner: Ranjith, directly.</w:t>
            </w:r>
          </w:p>
        </w:tc>
        <w:tc>
          <w:tcPr>
            <w:tcW w:type="dxa" w:w="1728"/>
          </w:tcPr>
          <w:p>
            <w:r/>
            <w:r>
              <w:rPr>
                <w:sz w:val="19"/>
              </w:rPr>
              <w:t>Section 13</w:t>
            </w:r>
          </w:p>
        </w:tc>
      </w:tr>
      <w:tr>
        <w:tc>
          <w:tcPr>
            <w:tcW w:type="dxa" w:w="864"/>
          </w:tcPr>
          <w:p>
            <w:r/>
            <w:r>
              <w:rPr>
                <w:b/>
                <w:sz w:val="19"/>
              </w:rPr>
              <w:t>D11</w:t>
            </w:r>
          </w:p>
        </w:tc>
        <w:tc>
          <w:tcPr>
            <w:tcW w:type="dxa" w:w="7776"/>
          </w:tcPr>
          <w:p>
            <w:r/>
            <w:r>
              <w:rPr>
                <w:sz w:val="19"/>
              </w:rPr>
              <w:t>The chatbot must be trained on app-specific knowledge, not just article/Datalab content.</w:t>
            </w:r>
          </w:p>
        </w:tc>
        <w:tc>
          <w:tcPr>
            <w:tcW w:type="dxa" w:w="1728"/>
          </w:tcPr>
          <w:p>
            <w:r/>
            <w:r>
              <w:rPr>
                <w:sz w:val="19"/>
              </w:rPr>
              <w:t>Section 06</w:t>
            </w:r>
          </w:p>
        </w:tc>
      </w:tr>
      <w:tr>
        <w:tc>
          <w:tcPr>
            <w:tcW w:type="dxa" w:w="864"/>
          </w:tcPr>
          <w:p>
            <w:r/>
            <w:r>
              <w:rPr>
                <w:b/>
                <w:sz w:val="19"/>
              </w:rPr>
              <w:t>D12</w:t>
            </w:r>
          </w:p>
        </w:tc>
        <w:tc>
          <w:tcPr>
            <w:tcW w:type="dxa" w:w="7776"/>
          </w:tcPr>
          <w:p>
            <w:r/>
            <w:r>
              <w:rPr>
                <w:sz w:val="19"/>
              </w:rPr>
              <w:t>If a reader closes the app before a response finishes, a push notification tells them it's ready.</w:t>
            </w:r>
          </w:p>
        </w:tc>
        <w:tc>
          <w:tcPr>
            <w:tcW w:type="dxa" w:w="1728"/>
          </w:tcPr>
          <w:p>
            <w:r/>
            <w:r>
              <w:rPr>
                <w:sz w:val="19"/>
              </w:rPr>
              <w:t>Section 07</w:t>
            </w:r>
          </w:p>
        </w:tc>
      </w:tr>
    </w:tbl>
    <w:p>
      <w:pPr>
        <w:spacing w:after="80"/>
      </w:pPr>
    </w:p>
    <w:p>
      <w:pPr>
        <w:pStyle w:val="Heading1"/>
      </w:pPr>
      <w:r>
        <w:t>06. How do we generate?</w:t>
      </w:r>
    </w:p>
    <w:p>
      <w:pPr>
        <w:spacing w:after="160"/>
      </w:pPr>
      <w:r>
        <w:rPr>
          <w:i w:val="0"/>
          <w:sz w:val="21"/>
        </w:rPr>
        <w:t>When an article is published, AI drafts one title per persona using the Topic × Persona rubric below. The editor sees these titles at the same time they publish the article — same action, not a separate queue or approval step — and can edit any of them directly if the phrasing is off. Whatever’s on the article when it publishes is what ships. That’s it.</w:t>
      </w:r>
    </w:p>
    <w:tbl>
      <w:tblPr>
        <w:tblStyle w:val="TableGrid"/>
        <w:tblW w:type="auto" w:w="0"/>
        <w:jc w:val="left"/>
        <w:tblLayout w:type="fixed"/>
        <w:tblLook w:firstColumn="1" w:firstRow="1" w:lastColumn="0" w:lastRow="0" w:noHBand="0" w:noVBand="1" w:val="04A0"/>
      </w:tblPr>
      <w:tblGrid>
        <w:gridCol w:w="3168"/>
        <w:gridCol w:w="6624"/>
      </w:tblGrid>
      <w:tr>
        <w:tc>
          <w:tcPr>
            <w:tcW w:type="dxa" w:w="3168"/>
            <w:shd w:val="clear" w:color="auto" w:fill="EFEFE7"/>
          </w:tcPr>
          <w:p>
            <w:r/>
            <w:r>
              <w:rPr>
                <w:b/>
                <w:color w:val="7B8091"/>
                <w:sz w:val="17"/>
              </w:rPr>
              <w:t>SURFACE TYPE</w:t>
            </w:r>
          </w:p>
        </w:tc>
        <w:tc>
          <w:tcPr>
            <w:tcW w:type="dxa" w:w="6624"/>
            <w:shd w:val="clear" w:color="auto" w:fill="EFEFE7"/>
          </w:tcPr>
          <w:p>
            <w:r/>
            <w:r>
              <w:rPr>
                <w:b/>
                <w:color w:val="7B8091"/>
                <w:sz w:val="17"/>
              </w:rPr>
              <w:t>MECHANISM</w:t>
            </w:r>
          </w:p>
        </w:tc>
      </w:tr>
      <w:tr>
        <w:tc>
          <w:tcPr>
            <w:tcW w:type="dxa" w:w="3168"/>
          </w:tcPr>
          <w:p>
            <w:r/>
            <w:r>
              <w:rPr>
                <w:b/>
                <w:sz w:val="19"/>
              </w:rPr>
              <w:t>Company / sector — templated</w:t>
            </w:r>
          </w:p>
        </w:tc>
        <w:tc>
          <w:tcPr>
            <w:tcW w:type="dxa" w:w="6624"/>
          </w:tcPr>
          <w:p>
            <w:r/>
            <w:r>
              <w:rPr>
                <w:sz w:val="19"/>
              </w:rPr>
              <w:t>Persona sets the whole question; only the entity name varies. Low risk, no review bottleneck needed — the question is supposed to be category-level (“how is [Company] performing”), not story-specific.</w:t>
            </w:r>
          </w:p>
        </w:tc>
      </w:tr>
      <w:tr>
        <w:tc>
          <w:tcPr>
            <w:tcW w:type="dxa" w:w="3168"/>
          </w:tcPr>
          <w:p>
            <w:r/>
            <w:r>
              <w:rPr>
                <w:b/>
                <w:sz w:val="19"/>
              </w:rPr>
              <w:t>Article / story card — AI draft + editor review</w:t>
            </w:r>
          </w:p>
        </w:tc>
        <w:tc>
          <w:tcPr>
            <w:tcW w:type="dxa" w:w="6624"/>
          </w:tcPr>
          <w:p>
            <w:r/>
            <w:r>
              <w:rPr>
                <w:sz w:val="19"/>
              </w:rPr>
              <w:t>Persona + the article’s existing Topic tag (News/Deals/Financials/Trends/Regulatory/IPO/Team/Startups — already populated by the ranking engine, no new tagging infrastructure needed) set the generation rubric.</w:t>
            </w:r>
          </w:p>
        </w:tc>
      </w:tr>
    </w:tbl>
    <w:p>
      <w:pPr>
        <w:spacing w:after="80"/>
      </w:pPr>
    </w:p>
    <w:p>
      <w:pPr>
        <w:pStyle w:val="Heading2"/>
      </w:pPr>
      <w:r>
        <w:t>Topic × Persona rubric (representative slice)</w:t>
      </w:r>
    </w:p>
    <w:tbl>
      <w:tblPr>
        <w:tblStyle w:val="TableGrid"/>
        <w:tblW w:type="auto" w:w="0"/>
        <w:jc w:val="left"/>
        <w:tblLayout w:type="fixed"/>
        <w:tblLook w:firstColumn="1" w:firstRow="1" w:lastColumn="0" w:lastRow="0" w:noHBand="0" w:noVBand="1" w:val="04A0"/>
      </w:tblPr>
      <w:tblGrid>
        <w:gridCol w:w="1584"/>
        <w:gridCol w:w="1872"/>
        <w:gridCol w:w="6336"/>
      </w:tblGrid>
      <w:tr>
        <w:tc>
          <w:tcPr>
            <w:tcW w:type="dxa" w:w="1584"/>
            <w:shd w:val="clear" w:color="auto" w:fill="EFEFE7"/>
          </w:tcPr>
          <w:p>
            <w:r/>
            <w:r>
              <w:rPr>
                <w:b/>
                <w:color w:val="7B8091"/>
                <w:sz w:val="17"/>
              </w:rPr>
              <w:t>TOPIC</w:t>
            </w:r>
          </w:p>
        </w:tc>
        <w:tc>
          <w:tcPr>
            <w:tcW w:type="dxa" w:w="1872"/>
            <w:shd w:val="clear" w:color="auto" w:fill="EFEFE7"/>
          </w:tcPr>
          <w:p>
            <w:r/>
            <w:r>
              <w:rPr>
                <w:b/>
                <w:color w:val="7B8091"/>
                <w:sz w:val="17"/>
              </w:rPr>
              <w:t>PERSONA</w:t>
            </w:r>
          </w:p>
        </w:tc>
        <w:tc>
          <w:tcPr>
            <w:tcW w:type="dxa" w:w="6336"/>
            <w:shd w:val="clear" w:color="auto" w:fill="EFEFE7"/>
          </w:tcPr>
          <w:p>
            <w:r/>
            <w:r>
              <w:rPr>
                <w:b/>
                <w:color w:val="7B8091"/>
                <w:sz w:val="17"/>
              </w:rPr>
              <w:t>RUBRIC — WHAT THE DRAFT MUST FIND BEFORE AN EDITOR SEES IT</w:t>
            </w:r>
          </w:p>
        </w:tc>
      </w:tr>
      <w:tr>
        <w:tc>
          <w:tcPr>
            <w:tcW w:type="dxa" w:w="1584"/>
          </w:tcPr>
          <w:p>
            <w:r/>
            <w:r>
              <w:rPr>
                <w:b/>
                <w:sz w:val="19"/>
              </w:rPr>
              <w:t>Deals</w:t>
            </w:r>
          </w:p>
        </w:tc>
        <w:tc>
          <w:tcPr>
            <w:tcW w:type="dxa" w:w="1872"/>
          </w:tcPr>
          <w:p>
            <w:r/>
            <w:r>
              <w:rPr>
                <w:sz w:val="19"/>
              </w:rPr>
              <w:t>Investor</w:t>
            </w:r>
          </w:p>
        </w:tc>
        <w:tc>
          <w:tcPr>
            <w:tcW w:type="dxa" w:w="6336"/>
          </w:tcPr>
          <w:p>
            <w:r/>
            <w:r>
              <w:rPr>
                <w:sz w:val="19"/>
              </w:rPr>
              <w:t>The deal's specific number (size, valuation, multiple) → what it implies about investor conviction.</w:t>
            </w:r>
          </w:p>
        </w:tc>
      </w:tr>
      <w:tr>
        <w:tc>
          <w:tcPr>
            <w:tcW w:type="dxa" w:w="1584"/>
          </w:tcPr>
          <w:p>
            <w:r/>
            <w:r>
              <w:rPr>
                <w:b/>
                <w:sz w:val="19"/>
              </w:rPr>
              <w:t>Deals</w:t>
            </w:r>
          </w:p>
        </w:tc>
        <w:tc>
          <w:tcPr>
            <w:tcW w:type="dxa" w:w="1872"/>
          </w:tcPr>
          <w:p>
            <w:r/>
            <w:r>
              <w:rPr>
                <w:sz w:val="19"/>
              </w:rPr>
              <w:t>Founder</w:t>
            </w:r>
          </w:p>
        </w:tc>
        <w:tc>
          <w:tcPr>
            <w:tcW w:type="dxa" w:w="6336"/>
          </w:tcPr>
          <w:p>
            <w:r/>
            <w:r>
              <w:rPr>
                <w:sz w:val="19"/>
              </w:rPr>
              <w:t>The structure or terms named → what playbook it reveals.</w:t>
            </w:r>
          </w:p>
        </w:tc>
      </w:tr>
      <w:tr>
        <w:tc>
          <w:tcPr>
            <w:tcW w:type="dxa" w:w="1584"/>
          </w:tcPr>
          <w:p>
            <w:r/>
            <w:r>
              <w:rPr>
                <w:b/>
                <w:sz w:val="19"/>
              </w:rPr>
              <w:t>Regulatory</w:t>
            </w:r>
          </w:p>
        </w:tc>
        <w:tc>
          <w:tcPr>
            <w:tcW w:type="dxa" w:w="1872"/>
          </w:tcPr>
          <w:p>
            <w:r/>
            <w:r>
              <w:rPr>
                <w:sz w:val="19"/>
              </w:rPr>
              <w:t>Founder</w:t>
            </w:r>
          </w:p>
        </w:tc>
        <w:tc>
          <w:tcPr>
            <w:tcW w:type="dxa" w:w="6336"/>
          </w:tcPr>
          <w:p>
            <w:r/>
            <w:r>
              <w:rPr>
                <w:sz w:val="19"/>
              </w:rPr>
              <w:t>The specific rule or deadline named → what it forces the founder to change.</w:t>
            </w:r>
          </w:p>
        </w:tc>
      </w:tr>
      <w:tr>
        <w:tc>
          <w:tcPr>
            <w:tcW w:type="dxa" w:w="1584"/>
          </w:tcPr>
          <w:p>
            <w:r/>
            <w:r>
              <w:rPr>
                <w:b/>
                <w:sz w:val="19"/>
              </w:rPr>
              <w:t>Regulatory</w:t>
            </w:r>
          </w:p>
        </w:tc>
        <w:tc>
          <w:tcPr>
            <w:tcW w:type="dxa" w:w="1872"/>
          </w:tcPr>
          <w:p>
            <w:r/>
            <w:r>
              <w:rPr>
                <w:sz w:val="19"/>
              </w:rPr>
              <w:t>Investor</w:t>
            </w:r>
          </w:p>
        </w:tc>
        <w:tc>
          <w:tcPr>
            <w:tcW w:type="dxa" w:w="6336"/>
          </w:tcPr>
          <w:p>
            <w:r/>
            <w:r>
              <w:rPr>
                <w:sz w:val="19"/>
              </w:rPr>
              <w:t>The named policy shift → whether it changes the sector's risk profile.</w:t>
            </w:r>
          </w:p>
        </w:tc>
      </w:tr>
      <w:tr>
        <w:tc>
          <w:tcPr>
            <w:tcW w:type="dxa" w:w="1584"/>
          </w:tcPr>
          <w:p>
            <w:r/>
            <w:r>
              <w:rPr>
                <w:b/>
                <w:sz w:val="19"/>
              </w:rPr>
              <w:t>Team</w:t>
            </w:r>
          </w:p>
        </w:tc>
        <w:tc>
          <w:tcPr>
            <w:tcW w:type="dxa" w:w="1872"/>
          </w:tcPr>
          <w:p>
            <w:r/>
            <w:r>
              <w:rPr>
                <w:sz w:val="19"/>
              </w:rPr>
              <w:t>Investor</w:t>
            </w:r>
          </w:p>
        </w:tc>
        <w:tc>
          <w:tcPr>
            <w:tcW w:type="dxa" w:w="6336"/>
          </w:tcPr>
          <w:p>
            <w:r/>
            <w:r>
              <w:rPr>
                <w:sz w:val="19"/>
              </w:rPr>
              <w:t>The specific role or person who moved → what it signals.</w:t>
            </w:r>
          </w:p>
        </w:tc>
      </w:tr>
    </w:tbl>
    <w:p>
      <w:pPr>
        <w:spacing w:after="80"/>
      </w:pPr>
    </w:p>
    <w:p>
      <w:pPr>
        <w:spacing w:after="200"/>
      </w:pPr>
      <w:r>
        <w:rPr>
          <w:i/>
          <w:color w:val="7B8091"/>
          <w:sz w:val="18"/>
        </w:rPr>
        <w:t>Representative slice — the full 8-topic × persona grid follows the same logic.</w:t>
      </w:r>
    </w:p>
    <w:p>
      <w:pPr>
        <w:pStyle w:val="Heading2"/>
      </w:pPr>
      <w:r>
        <w:t>Pipeline, step by step</w:t>
      </w:r>
    </w:p>
    <w:p>
      <w:pPr>
        <w:pStyle w:val="ListNumber"/>
      </w:pPr>
      <w:r>
        <w:rPr>
          <w:sz w:val="21"/>
        </w:rPr>
        <w:t>Editor publishes an article, same as today.</w:t>
      </w:r>
    </w:p>
    <w:p>
      <w:pPr>
        <w:pStyle w:val="ListNumber"/>
      </w:pPr>
      <w:r>
        <w:rPr>
          <w:sz w:val="21"/>
        </w:rPr>
        <w:t>AI drafts one title per persona, using the rubric above, shown to the editor right there in the publish flow.</w:t>
      </w:r>
    </w:p>
    <w:p>
      <w:pPr>
        <w:pStyle w:val="ListNumber"/>
      </w:pPr>
      <w:r>
        <w:rPr>
          <w:sz w:val="21"/>
        </w:rPr>
        <w:t>Editor edits any title directly if it reads off, same as they’d fix a headline. Nothing further to approve.</w:t>
      </w:r>
    </w:p>
    <w:p>
      <w:pPr>
        <w:pStyle w:val="ListNumber"/>
      </w:pPr>
      <w:r>
        <w:rPr>
          <w:sz w:val="21"/>
        </w:rPr>
        <w:t>Article goes live with its titles attached.</w:t>
      </w:r>
    </w:p>
    <w:p>
      <w:pPr>
        <w:pStyle w:val="Heading2"/>
      </w:pPr>
      <w:r>
        <w:t>Functional spec</w:t>
      </w:r>
    </w:p>
    <w:tbl>
      <w:tblPr>
        <w:tblStyle w:val="TableGrid"/>
        <w:tblW w:type="auto" w:w="0"/>
        <w:jc w:val="left"/>
        <w:tblLayout w:type="fixed"/>
        <w:tblLook w:firstColumn="1" w:firstRow="1" w:lastColumn="0" w:lastRow="0" w:noHBand="0" w:noVBand="1" w:val="04A0"/>
      </w:tblPr>
      <w:tblGrid>
        <w:gridCol w:w="3456"/>
        <w:gridCol w:w="6336"/>
      </w:tblGrid>
      <w:tr>
        <w:tc>
          <w:tcPr>
            <w:tcW w:type="dxa" w:w="3456"/>
            <w:shd w:val="clear" w:color="auto" w:fill="EFEFE7"/>
          </w:tcPr>
          <w:p>
            <w:r/>
            <w:r>
              <w:rPr>
                <w:b/>
                <w:color w:val="7B8091"/>
                <w:sz w:val="17"/>
              </w:rPr>
              <w:t>SPEC ITEM</w:t>
            </w:r>
          </w:p>
        </w:tc>
        <w:tc>
          <w:tcPr>
            <w:tcW w:type="dxa" w:w="6336"/>
            <w:shd w:val="clear" w:color="auto" w:fill="EFEFE7"/>
          </w:tcPr>
          <w:p>
            <w:r/>
            <w:r>
              <w:rPr>
                <w:b/>
                <w:color w:val="7B8091"/>
                <w:sz w:val="17"/>
              </w:rPr>
              <w:t>VALUE, AND WHY</w:t>
            </w:r>
          </w:p>
        </w:tc>
      </w:tr>
      <w:tr>
        <w:tc>
          <w:tcPr>
            <w:tcW w:type="dxa" w:w="3456"/>
          </w:tcPr>
          <w:p>
            <w:r/>
            <w:r>
              <w:rPr>
                <w:b/>
                <w:sz w:val="19"/>
              </w:rPr>
              <w:t>Chips shown per surface</w:t>
            </w:r>
          </w:p>
        </w:tc>
        <w:tc>
          <w:tcPr>
            <w:tcW w:type="dxa" w:w="6336"/>
          </w:tcPr>
          <w:p>
            <w:r/>
            <w:r>
              <w:rPr>
                <w:sz w:val="19"/>
              </w:rPr>
              <w:t>1 on article/company/sector, 1 on story card. More than one competes for attention against the single-tap-and-done interaction this feature is built around (Section 01).</w:t>
            </w:r>
          </w:p>
        </w:tc>
      </w:tr>
      <w:tr>
        <w:tc>
          <w:tcPr>
            <w:tcW w:type="dxa" w:w="3456"/>
          </w:tcPr>
          <w:p>
            <w:r/>
            <w:r>
              <w:rPr>
                <w:b/>
                <w:sz w:val="19"/>
              </w:rPr>
              <w:t>Character limit</w:t>
            </w:r>
          </w:p>
        </w:tc>
        <w:tc>
          <w:tcPr>
            <w:tcW w:type="dxa" w:w="6336"/>
          </w:tcPr>
          <w:p>
            <w:r/>
            <w:r>
              <w:rPr>
                <w:sz w:val="19"/>
              </w:rPr>
              <w:t>~70 characters — fits one line at the card widths already mocked up (Appendix) without wrapping.</w:t>
            </w:r>
          </w:p>
        </w:tc>
      </w:tr>
      <w:tr>
        <w:tc>
          <w:tcPr>
            <w:tcW w:type="dxa" w:w="3456"/>
          </w:tcPr>
          <w:p>
            <w:r/>
            <w:r>
              <w:rPr>
                <w:b/>
                <w:sz w:val="19"/>
              </w:rPr>
              <w:t>Reader's persona changes after a title was drafted</w:t>
            </w:r>
          </w:p>
        </w:tc>
        <w:tc>
          <w:tcPr>
            <w:tcW w:type="dxa" w:w="6336"/>
          </w:tcPr>
          <w:p>
            <w:r/>
            <w:r>
              <w:rPr>
                <w:sz w:val="19"/>
              </w:rPr>
              <w:t>Re-select the already-drafted variant matching the new persona — all personas are drafted together at publish time, so this is a lookup, not a new generation event.</w:t>
            </w:r>
          </w:p>
        </w:tc>
      </w:tr>
    </w:tbl>
    <w:p>
      <w:pPr>
        <w:spacing w:after="80"/>
      </w:pPr>
    </w:p>
    <w:p>
      <w:pPr>
        <w:spacing w:after="160"/>
      </w:pPr>
      <w:r>
        <w:rPr>
          <w:i w:val="0"/>
          <w:sz w:val="21"/>
        </w:rPr>
        <w:t>D11 — The chatbot also needs to be trained on app-specific knowledge, not just article/Datalab content: Watchlist queries (“what’s happening in my tracked companies,” Section 02) require the model to reason over the reader’s own app state, not just published articles.</w:t>
      </w:r>
    </w:p>
    <w:p>
      <w:pPr>
        <w:pStyle w:val="Heading1"/>
      </w:pPr>
      <w:r>
        <w:t>07. How do we make it accessible?</w:t>
      </w:r>
    </w:p>
    <w:p>
      <w:pPr>
        <w:pStyle w:val="Heading2"/>
      </w:pPr>
      <w:r>
        <w:t>Logged in</w:t>
      </w:r>
    </w:p>
    <w:p>
      <w:pPr>
        <w:pStyle w:val="ListNumber"/>
      </w:pPr>
      <w:r>
        <w:rPr>
          <w:sz w:val="21"/>
        </w:rPr>
        <w:t>Reader taps a chip on any placed surface (Section 10).</w:t>
      </w:r>
    </w:p>
    <w:p>
      <w:pPr>
        <w:pStyle w:val="ListNumber"/>
      </w:pPr>
      <w:r>
        <w:rPr>
          <w:sz w:val="21"/>
        </w:rPr>
        <w:t>Chat opens and auto-fires immediately — no second tap.</w:t>
      </w:r>
    </w:p>
    <w:p>
      <w:pPr>
        <w:pStyle w:val="ListNumber"/>
      </w:pPr>
      <w:r>
        <w:rPr>
          <w:sz w:val="21"/>
        </w:rPr>
        <w:t>Response streams in; thumbs up/down available once it lands.</w:t>
      </w:r>
    </w:p>
    <w:p>
      <w:pPr>
        <w:pStyle w:val="Heading2"/>
      </w:pPr>
      <w:r>
        <w:t>Logged out</w:t>
      </w:r>
    </w:p>
    <w:p>
      <w:pPr>
        <w:pStyle w:val="ListNumber"/>
      </w:pPr>
      <w:r>
        <w:rPr>
          <w:sz w:val="21"/>
        </w:rPr>
        <w:t>Chip is visible and tappable — not hidden from logged-out readers.</w:t>
      </w:r>
    </w:p>
    <w:p>
      <w:pPr>
        <w:pStyle w:val="ListNumber"/>
      </w:pPr>
      <w:r>
        <w:rPr>
          <w:sz w:val="21"/>
        </w:rPr>
        <w:t>Tapping opens the chat with the question pre-filled in the composer, not sent.</w:t>
      </w:r>
    </w:p>
    <w:p>
      <w:pPr>
        <w:pStyle w:val="ListNumber"/>
      </w:pPr>
      <w:r>
        <w:rPr>
          <w:sz w:val="21"/>
        </w:rPr>
        <w:t>Message sends only when the reader hits Enter/Send themselves.</w:t>
      </w:r>
    </w:p>
    <w:p>
      <w:pPr>
        <w:pStyle w:val="Heading2"/>
      </w:pPr>
      <w:r>
        <w:t>Reader leaves before the response is ready</w:t>
      </w:r>
    </w:p>
    <w:p>
      <w:pPr>
        <w:pStyle w:val="ListNumber"/>
      </w:pPr>
      <w:r>
        <w:rPr>
          <w:sz w:val="21"/>
        </w:rPr>
        <w:t>Reader sends a question, then closes the app before the response finishes.</w:t>
      </w:r>
    </w:p>
    <w:p>
      <w:pPr>
        <w:pStyle w:val="ListNumber"/>
      </w:pPr>
      <w:r>
        <w:rPr>
          <w:sz w:val="21"/>
        </w:rPr>
        <w:t>Once it’s ready, a push notification is sent: “Your AskInc42 response is ready — tap to view.”</w:t>
      </w:r>
    </w:p>
    <w:p>
      <w:pPr>
        <w:pStyle w:val="ListNumber"/>
      </w:pPr>
      <w:r>
        <w:rPr>
          <w:sz w:val="21"/>
        </w:rPr>
        <w:t>Tapping the notification opens straight into that response.</w:t>
      </w:r>
    </w:p>
    <w:p>
      <w:pPr>
        <w:pStyle w:val="Heading1"/>
      </w:pPr>
      <w:r>
        <w:t>08. How gated is it?</w:t>
      </w:r>
    </w:p>
    <w:p>
      <w:pPr>
        <w:spacing w:after="160"/>
      </w:pPr>
      <w:r>
        <w:rPr>
          <w:i w:val="0"/>
          <w:sz w:val="21"/>
        </w:rPr>
        <w:t>No paid version (D8). There is no gating. Fast mode and Deep mode are both free to use, for now.</w:t>
      </w:r>
    </w:p>
    <w:p>
      <w:pPr>
        <w:pStyle w:val="Heading1"/>
      </w:pPr>
      <w:r>
        <w:t>09. Terms &amp; conditions, privacy policy</w:t>
      </w:r>
    </w:p>
    <w:tbl>
      <w:tblPr>
        <w:tblStyle w:val="TableGrid"/>
        <w:tblW w:type="auto" w:w="0"/>
        <w:jc w:val="left"/>
        <w:tblLayout w:type="fixed"/>
        <w:tblLook w:firstColumn="1" w:firstRow="1" w:lastColumn="0" w:lastRow="0" w:noHBand="0" w:noVBand="1" w:val="04A0"/>
      </w:tblPr>
      <w:tblGrid>
        <w:gridCol w:w="2592"/>
        <w:gridCol w:w="7200"/>
      </w:tblGrid>
      <w:tr>
        <w:tc>
          <w:tcPr>
            <w:tcW w:type="dxa" w:w="2592"/>
            <w:shd w:val="clear" w:color="auto" w:fill="EFEFE7"/>
          </w:tcPr>
          <w:p>
            <w:r/>
            <w:r>
              <w:rPr>
                <w:b/>
                <w:color w:val="7B8091"/>
                <w:sz w:val="17"/>
              </w:rPr>
              <w:t>ITEM</w:t>
            </w:r>
          </w:p>
        </w:tc>
        <w:tc>
          <w:tcPr>
            <w:tcW w:type="dxa" w:w="7200"/>
            <w:shd w:val="clear" w:color="auto" w:fill="EFEFE7"/>
          </w:tcPr>
          <w:p>
            <w:r/>
            <w:r>
              <w:rPr>
                <w:b/>
                <w:color w:val="7B8091"/>
                <w:sz w:val="17"/>
              </w:rPr>
              <w:t>WHAT CHANGES, WHERE, AND WHY</w:t>
            </w:r>
          </w:p>
        </w:tc>
      </w:tr>
      <w:tr>
        <w:tc>
          <w:tcPr>
            <w:tcW w:type="dxa" w:w="2592"/>
          </w:tcPr>
          <w:p>
            <w:r/>
            <w:r>
              <w:rPr>
                <w:b/>
                <w:sz w:val="19"/>
              </w:rPr>
              <w:t>AI disclaimer</w:t>
            </w:r>
          </w:p>
        </w:tc>
        <w:tc>
          <w:tcPr>
            <w:tcW w:type="dxa" w:w="7200"/>
          </w:tcPr>
          <w:p>
            <w:r/>
            <w:r>
              <w:rPr>
                <w:sz w:val="19"/>
              </w:rPr>
              <w:t>In-product, in the chat UI itself, and in Terms of Use: “AskInc42 is AI-generated and can make mistakes — verify anything important.” Needed because the positioning (Section 04) rests on trust.</w:t>
            </w:r>
          </w:p>
        </w:tc>
      </w:tr>
      <w:tr>
        <w:tc>
          <w:tcPr>
            <w:tcW w:type="dxa" w:w="2592"/>
          </w:tcPr>
          <w:p>
            <w:r/>
            <w:r>
              <w:rPr>
                <w:b/>
                <w:sz w:val="19"/>
              </w:rPr>
              <w:t>Privacy Policy §7.1 / §8</w:t>
            </w:r>
          </w:p>
        </w:tc>
        <w:tc>
          <w:tcPr>
            <w:tcW w:type="dxa" w:w="7200"/>
          </w:tcPr>
          <w:p>
            <w:r/>
            <w:r>
              <w:rPr>
                <w:sz w:val="19"/>
              </w:rPr>
              <w:t>Name the AI/LLM sub-processor once identified, with a data processing agreement and retention terms on file. The live Privacy Policy §5.1 already names Ask-style features as active, but no processor is named in §7.1 or §8 today. Bringing AskInc42 into the app increases what flows through that undisclosed processor (persona, Watchlist context, chat history).</w:t>
            </w:r>
          </w:p>
        </w:tc>
      </w:tr>
      <w:tr>
        <w:tc>
          <w:tcPr>
            <w:tcW w:type="dxa" w:w="2592"/>
          </w:tcPr>
          <w:p>
            <w:r/>
            <w:r>
              <w:rPr>
                <w:b/>
                <w:sz w:val="19"/>
              </w:rPr>
              <w:t>Account deletion — data categories</w:t>
            </w:r>
          </w:p>
        </w:tc>
        <w:tc>
          <w:tcPr>
            <w:tcW w:type="dxa" w:w="7200"/>
          </w:tcPr>
          <w:p>
            <w:r/>
            <w:r>
              <w:rPr>
                <w:sz w:val="19"/>
              </w:rPr>
              <w:t>Confirm Ask chat history (D2) is explicitly covered. It’s already grouped with “Saved articles” on the existing deletion screen — confirm that grouping is accurate once app-side history exists at real volume.</w:t>
            </w:r>
          </w:p>
        </w:tc>
      </w:tr>
      <w:tr>
        <w:tc>
          <w:tcPr>
            <w:tcW w:type="dxa" w:w="2592"/>
          </w:tcPr>
          <w:p>
            <w:r/>
            <w:r>
              <w:rPr>
                <w:b/>
                <w:sz w:val="19"/>
              </w:rPr>
              <w:t>Personalization disclosure</w:t>
            </w:r>
          </w:p>
        </w:tc>
        <w:tc>
          <w:tcPr>
            <w:tcW w:type="dxa" w:w="7200"/>
          </w:tcPr>
          <w:p>
            <w:r/>
            <w:r>
              <w:rPr>
                <w:sz w:val="19"/>
              </w:rPr>
              <w:t>Role/persona data now shapes AI-generated content shown to the reader (Section 06) — confirm existing personalization language covers this use, or write a line that does.</w:t>
            </w:r>
          </w:p>
        </w:tc>
      </w:tr>
    </w:tbl>
    <w:p>
      <w:pPr>
        <w:spacing w:after="80"/>
      </w:pPr>
    </w:p>
    <w:p>
      <w:pPr>
        <w:pStyle w:val="Heading1"/>
      </w:pPr>
      <w:r>
        <w:t>10. Placement</w:t>
      </w:r>
    </w:p>
    <w:p>
      <w:pPr>
        <w:pStyle w:val="Heading2"/>
      </w:pPr>
      <w:r>
        <w:t>Sector detail page vs. Watchlist’s Sectors sub-tab — two different jobs</w:t>
      </w:r>
    </w:p>
    <w:p>
      <w:pPr>
        <w:spacing w:after="160"/>
      </w:pPr>
      <w:r>
        <w:rPr>
          <w:i w:val="0"/>
          <w:sz w:val="21"/>
        </w:rPr>
        <w:t>The sector detail page is a browsable surface: open to any reader exploring that sector, listing every company in it, closer in job to a company page than to anything personal. The Watchlist Sectors sub-tab is a personal, tracked surface: it only ever shows sectors this specific reader has saved. Same word (“sector”), different reader intent — a browsing reader on the sector page is asking “what’s happening in this space broadly”; a Watchlist reader is asking “what’s new in what I’ve already decided to follow.” They need different question framing for that reason, not just different UI chrome.</w:t>
      </w:r>
    </w:p>
    <w:tbl>
      <w:tblPr>
        <w:tblStyle w:val="TableGrid"/>
        <w:tblW w:type="auto" w:w="0"/>
        <w:jc w:val="left"/>
        <w:tblLayout w:type="fixed"/>
        <w:tblLook w:firstColumn="1" w:firstRow="1" w:lastColumn="0" w:lastRow="0" w:noHBand="0" w:noVBand="1" w:val="04A0"/>
      </w:tblPr>
      <w:tblGrid>
        <w:gridCol w:w="2736"/>
        <w:gridCol w:w="1584"/>
        <w:gridCol w:w="5472"/>
      </w:tblGrid>
      <w:tr>
        <w:tc>
          <w:tcPr>
            <w:tcW w:type="dxa" w:w="2736"/>
            <w:shd w:val="clear" w:color="auto" w:fill="EFEFE7"/>
          </w:tcPr>
          <w:p>
            <w:r/>
            <w:r>
              <w:rPr>
                <w:b/>
                <w:color w:val="7B8091"/>
                <w:sz w:val="17"/>
              </w:rPr>
              <w:t>SURFACE</w:t>
            </w:r>
          </w:p>
        </w:tc>
        <w:tc>
          <w:tcPr>
            <w:tcW w:type="dxa" w:w="1584"/>
            <w:shd w:val="clear" w:color="auto" w:fill="EFEFE7"/>
          </w:tcPr>
          <w:p>
            <w:r/>
            <w:r>
              <w:rPr>
                <w:b/>
                <w:color w:val="7B8091"/>
                <w:sz w:val="17"/>
              </w:rPr>
              <w:t>STATUS</w:t>
            </w:r>
          </w:p>
        </w:tc>
        <w:tc>
          <w:tcPr>
            <w:tcW w:type="dxa" w:w="5472"/>
            <w:shd w:val="clear" w:color="auto" w:fill="EFEFE7"/>
          </w:tcPr>
          <w:p>
            <w:r/>
            <w:r>
              <w:rPr>
                <w:b/>
                <w:color w:val="7B8091"/>
                <w:sz w:val="17"/>
              </w:rPr>
              <w:t>NOTES</w:t>
            </w:r>
          </w:p>
        </w:tc>
      </w:tr>
      <w:tr>
        <w:tc>
          <w:tcPr>
            <w:tcW w:type="dxa" w:w="2736"/>
          </w:tcPr>
          <w:p>
            <w:r/>
            <w:r>
              <w:rPr>
                <w:b/>
                <w:sz w:val="19"/>
              </w:rPr>
              <w:t>Story card</w:t>
            </w:r>
          </w:p>
        </w:tc>
        <w:tc>
          <w:tcPr>
            <w:tcW w:type="dxa" w:w="1584"/>
          </w:tcPr>
          <w:p>
            <w:r/>
            <w:r>
              <w:rPr>
                <w:sz w:val="19"/>
              </w:rPr>
              <w:t>Ship</w:t>
            </w:r>
          </w:p>
        </w:tc>
        <w:tc>
          <w:tcPr>
            <w:tcW w:type="dxa" w:w="5472"/>
          </w:tcPr>
          <w:p>
            <w:r/>
            <w:r>
              <w:rPr>
                <w:sz w:val="19"/>
              </w:rPr>
              <w:t>Each individual story inside today's brief. Three finalist visual treatments already mocked up on a real screenshot — see Appendix.</w:t>
            </w:r>
          </w:p>
        </w:tc>
      </w:tr>
      <w:tr>
        <w:tc>
          <w:tcPr>
            <w:tcW w:type="dxa" w:w="2736"/>
          </w:tcPr>
          <w:p>
            <w:r/>
            <w:r>
              <w:rPr>
                <w:b/>
                <w:sz w:val="19"/>
              </w:rPr>
              <w:t>Article detail</w:t>
            </w:r>
          </w:p>
        </w:tc>
        <w:tc>
          <w:tcPr>
            <w:tcW w:type="dxa" w:w="1584"/>
          </w:tcPr>
          <w:p>
            <w:r/>
            <w:r>
              <w:rPr>
                <w:sz w:val="19"/>
              </w:rPr>
              <w:t>Ship</w:t>
            </w:r>
          </w:p>
        </w:tc>
        <w:tc>
          <w:tcPr>
            <w:tcW w:type="dxa" w:w="5472"/>
          </w:tcPr>
          <w:p>
            <w:r/>
            <w:r>
              <w:rPr>
                <w:sz w:val="19"/>
              </w:rPr>
              <w:t>Persona-reframed single-story question (Section 06).</w:t>
            </w:r>
          </w:p>
        </w:tc>
      </w:tr>
      <w:tr>
        <w:tc>
          <w:tcPr>
            <w:tcW w:type="dxa" w:w="2736"/>
          </w:tcPr>
          <w:p>
            <w:r/>
            <w:r>
              <w:rPr>
                <w:b/>
                <w:sz w:val="19"/>
              </w:rPr>
              <w:t>Company detail page</w:t>
            </w:r>
          </w:p>
        </w:tc>
        <w:tc>
          <w:tcPr>
            <w:tcW w:type="dxa" w:w="1584"/>
          </w:tcPr>
          <w:p>
            <w:r/>
            <w:r>
              <w:rPr>
                <w:sz w:val="19"/>
              </w:rPr>
              <w:t>Ship</w:t>
            </w:r>
          </w:p>
        </w:tc>
        <w:tc>
          <w:tcPr>
            <w:tcW w:type="dxa" w:w="5472"/>
          </w:tcPr>
          <w:p>
            <w:r/>
            <w:r>
              <w:rPr>
                <w:sz w:val="19"/>
              </w:rPr>
              <w:t>Persona-templated, entity name as the only variable.</w:t>
            </w:r>
          </w:p>
        </w:tc>
      </w:tr>
      <w:tr>
        <w:tc>
          <w:tcPr>
            <w:tcW w:type="dxa" w:w="2736"/>
          </w:tcPr>
          <w:p>
            <w:r/>
            <w:r>
              <w:rPr>
                <w:b/>
                <w:sz w:val="19"/>
              </w:rPr>
              <w:t>Sector detail page</w:t>
            </w:r>
          </w:p>
        </w:tc>
        <w:tc>
          <w:tcPr>
            <w:tcW w:type="dxa" w:w="1584"/>
          </w:tcPr>
          <w:p>
            <w:r/>
            <w:r>
              <w:rPr>
                <w:sz w:val="19"/>
              </w:rPr>
              <w:t>Ship</w:t>
            </w:r>
          </w:p>
        </w:tc>
        <w:tc>
          <w:tcPr>
            <w:tcW w:type="dxa" w:w="5472"/>
          </w:tcPr>
          <w:p>
            <w:r/>
            <w:r>
              <w:rPr>
                <w:sz w:val="19"/>
              </w:rPr>
              <w:t>Lists companies in that sector — see reasoning above.</w:t>
            </w:r>
          </w:p>
        </w:tc>
      </w:tr>
      <w:tr>
        <w:tc>
          <w:tcPr>
            <w:tcW w:type="dxa" w:w="2736"/>
          </w:tcPr>
          <w:p>
            <w:r/>
            <w:r>
              <w:rPr>
                <w:b/>
                <w:sz w:val="19"/>
              </w:rPr>
              <w:t>Watchlist — Companies / Articles / Sectors</w:t>
            </w:r>
          </w:p>
        </w:tc>
        <w:tc>
          <w:tcPr>
            <w:tcW w:type="dxa" w:w="1584"/>
          </w:tcPr>
          <w:p>
            <w:r/>
            <w:r>
              <w:rPr>
                <w:sz w:val="19"/>
              </w:rPr>
              <w:t>Ship</w:t>
            </w:r>
          </w:p>
        </w:tc>
        <w:tc>
          <w:tcPr>
            <w:tcW w:type="dxa" w:w="5472"/>
          </w:tcPr>
          <w:p>
            <w:r/>
            <w:r>
              <w:rPr>
                <w:sz w:val="19"/>
              </w:rPr>
              <w:t>Static rotating persona messages (D7, Section 11).</w:t>
            </w:r>
          </w:p>
        </w:tc>
      </w:tr>
      <w:tr>
        <w:tc>
          <w:tcPr>
            <w:tcW w:type="dxa" w:w="2736"/>
          </w:tcPr>
          <w:p>
            <w:r/>
            <w:r>
              <w:rPr>
                <w:b/>
                <w:sz w:val="19"/>
              </w:rPr>
              <w:t>Dedicated Ask tab</w:t>
            </w:r>
          </w:p>
        </w:tc>
        <w:tc>
          <w:tcPr>
            <w:tcW w:type="dxa" w:w="1584"/>
          </w:tcPr>
          <w:p>
            <w:r/>
            <w:r>
              <w:rPr>
                <w:sz w:val="19"/>
              </w:rPr>
              <w:t>Roadmap Phase 2</w:t>
            </w:r>
          </w:p>
        </w:tc>
        <w:tc>
          <w:tcPr>
            <w:tcW w:type="dxa" w:w="5472"/>
          </w:tcPr>
          <w:p>
            <w:r/>
            <w:r>
              <w:rPr>
                <w:sz w:val="19"/>
              </w:rPr>
              <w:t>No open bottom-nav slot in v1's confirmed 3-tab IA (Brief/Explore/Watchlist). Needs proven demand from Phase 1 first (Section 15).</w:t>
            </w:r>
          </w:p>
        </w:tc>
      </w:tr>
    </w:tbl>
    <w:p>
      <w:pPr>
        <w:spacing w:after="80"/>
      </w:pPr>
    </w:p>
    <w:p>
      <w:pPr>
        <w:pStyle w:val="Heading1"/>
      </w:pPr>
      <w:r>
        <w:t>11. What are the fallbacks?</w:t>
      </w:r>
    </w:p>
    <w:p>
      <w:pPr>
        <w:pStyle w:val="ListBullet"/>
      </w:pPr>
      <w:r>
        <w:rPr>
          <w:b/>
          <w:sz w:val="21"/>
        </w:rPr>
        <w:t>Watchlist has no single story to ground a question on →</w:t>
      </w:r>
      <w:r>
        <w:rPr>
          <w:sz w:val="21"/>
        </w:rPr>
        <w:t xml:space="preserve"> a rotating pool of 3–5 static persona messages, one shown per visit so it doesn't repeat (D7).</w:t>
      </w:r>
    </w:p>
    <w:p>
      <w:pPr>
        <w:pStyle w:val="ListBullet"/>
      </w:pPr>
      <w:r>
        <w:rPr>
          <w:b/>
          <w:sz w:val="21"/>
        </w:rPr>
        <w:t>Reader isn't logged in →</w:t>
      </w:r>
      <w:r>
        <w:rPr>
          <w:sz w:val="21"/>
        </w:rPr>
        <w:t xml:space="preserve"> chip still shows and opens the composer; sending requires Enter (Section 07). Access isn't blocked outright.</w:t>
      </w:r>
    </w:p>
    <w:p>
      <w:pPr>
        <w:pStyle w:val="ListBullet"/>
      </w:pPr>
      <w:r>
        <w:rPr>
          <w:b/>
          <w:sz w:val="21"/>
        </w:rPr>
        <w:t>Guardrail, not a numeric placement gate (D9):</w:t>
      </w:r>
      <w:r>
        <w:rPr>
          <w:sz w:val="21"/>
        </w:rPr>
        <w:t xml:space="preserve"> Ask usage must not reduce brief completion. If Ask-users complete the brief less often than non-users, that's the signal to revisit the story-card treatment.</w:t>
      </w:r>
    </w:p>
    <w:p>
      <w:pPr>
        <w:pStyle w:val="Heading1"/>
      </w:pPr>
      <w:r>
        <w:t>12. How do we monitor?</w:t>
      </w:r>
    </w:p>
    <w:tbl>
      <w:tblPr>
        <w:tblStyle w:val="TableGrid"/>
        <w:tblW w:type="auto" w:w="0"/>
        <w:jc w:val="left"/>
        <w:tblLayout w:type="fixed"/>
        <w:tblLook w:firstColumn="1" w:firstRow="1" w:lastColumn="0" w:lastRow="0" w:noHBand="0" w:noVBand="1" w:val="04A0"/>
      </w:tblPr>
      <w:tblGrid>
        <w:gridCol w:w="3456"/>
        <w:gridCol w:w="6336"/>
      </w:tblGrid>
      <w:tr>
        <w:tc>
          <w:tcPr>
            <w:tcW w:type="dxa" w:w="3456"/>
            <w:shd w:val="clear" w:color="auto" w:fill="EFEFE7"/>
          </w:tcPr>
          <w:p>
            <w:r/>
            <w:r>
              <w:rPr>
                <w:b/>
                <w:color w:val="7B8091"/>
                <w:sz w:val="17"/>
              </w:rPr>
              <w:t>EVENT</w:t>
            </w:r>
          </w:p>
        </w:tc>
        <w:tc>
          <w:tcPr>
            <w:tcW w:type="dxa" w:w="6336"/>
            <w:shd w:val="clear" w:color="auto" w:fill="EFEFE7"/>
          </w:tcPr>
          <w:p>
            <w:r/>
            <w:r>
              <w:rPr>
                <w:b/>
                <w:color w:val="7B8091"/>
                <w:sz w:val="17"/>
              </w:rPr>
              <w:t>WHAT IT TELLS US</w:t>
            </w:r>
          </w:p>
        </w:tc>
      </w:tr>
      <w:tr>
        <w:tc>
          <w:tcPr>
            <w:tcW w:type="dxa" w:w="3456"/>
          </w:tcPr>
          <w:p>
            <w:r/>
            <w:r>
              <w:rPr>
                <w:b/>
                <w:sz w:val="19"/>
              </w:rPr>
              <w:t>chip_impression</w:t>
            </w:r>
          </w:p>
        </w:tc>
        <w:tc>
          <w:tcPr>
            <w:tcW w:type="dxa" w:w="6336"/>
          </w:tcPr>
          <w:p>
            <w:r/>
            <w:r>
              <w:rPr>
                <w:sz w:val="19"/>
              </w:rPr>
              <w:t>Reach — did the chip render for this reader.</w:t>
            </w:r>
          </w:p>
        </w:tc>
      </w:tr>
      <w:tr>
        <w:tc>
          <w:tcPr>
            <w:tcW w:type="dxa" w:w="3456"/>
          </w:tcPr>
          <w:p>
            <w:r/>
            <w:r>
              <w:rPr>
                <w:b/>
                <w:sz w:val="19"/>
              </w:rPr>
              <w:t>chip_tap</w:t>
            </w:r>
          </w:p>
        </w:tc>
        <w:tc>
          <w:tcPr>
            <w:tcW w:type="dxa" w:w="6336"/>
          </w:tcPr>
          <w:p>
            <w:r/>
            <w:r>
              <w:rPr>
                <w:sz w:val="19"/>
              </w:rPr>
              <w:t>Interest, by surface — reach vs. actual taps tells us which of the five v1 placements is pulling its weight.</w:t>
            </w:r>
          </w:p>
        </w:tc>
      </w:tr>
      <w:tr>
        <w:tc>
          <w:tcPr>
            <w:tcW w:type="dxa" w:w="3456"/>
          </w:tcPr>
          <w:p>
            <w:r/>
            <w:r>
              <w:rPr>
                <w:b/>
                <w:sz w:val="19"/>
              </w:rPr>
              <w:t>chat_autofired / chat_manual_sent</w:t>
            </w:r>
          </w:p>
        </w:tc>
        <w:tc>
          <w:tcPr>
            <w:tcW w:type="dxa" w:w="6336"/>
          </w:tcPr>
          <w:p>
            <w:r/>
            <w:r>
              <w:rPr>
                <w:sz w:val="19"/>
              </w:rPr>
              <w:t>Splits logged-in vs. logged-out behavior (Section 07).</w:t>
            </w:r>
          </w:p>
        </w:tc>
      </w:tr>
      <w:tr>
        <w:tc>
          <w:tcPr>
            <w:tcW w:type="dxa" w:w="3456"/>
          </w:tcPr>
          <w:p>
            <w:r/>
            <w:r>
              <w:rPr>
                <w:b/>
                <w:sz w:val="19"/>
              </w:rPr>
              <w:t>response_thumbs_up / _down</w:t>
            </w:r>
          </w:p>
        </w:tc>
        <w:tc>
          <w:tcPr>
            <w:tcW w:type="dxa" w:w="6336"/>
          </w:tcPr>
          <w:p>
            <w:r/>
            <w:r>
              <w:rPr>
                <w:sz w:val="19"/>
              </w:rPr>
              <w:t>Quality signal, feeds the loop in Section 13.</w:t>
            </w:r>
          </w:p>
        </w:tc>
      </w:tr>
      <w:tr>
        <w:tc>
          <w:tcPr>
            <w:tcW w:type="dxa" w:w="3456"/>
          </w:tcPr>
          <w:p>
            <w:r/>
            <w:r>
              <w:rPr>
                <w:b/>
                <w:sz w:val="19"/>
              </w:rPr>
              <w:t>editorial_edit_rate</w:t>
            </w:r>
          </w:p>
        </w:tc>
        <w:tc>
          <w:tcPr>
            <w:tcW w:type="dxa" w:w="6336"/>
          </w:tcPr>
          <w:p>
            <w:r/>
            <w:r>
              <w:rPr>
                <w:sz w:val="19"/>
              </w:rPr>
              <w:t>How often an editor changes an AI-drafted title before publishing (Section 06) — the health check on generation quality.</w:t>
            </w:r>
          </w:p>
        </w:tc>
      </w:tr>
      <w:tr>
        <w:tc>
          <w:tcPr>
            <w:tcW w:type="dxa" w:w="3456"/>
          </w:tcPr>
          <w:p>
            <w:r/>
            <w:r>
              <w:rPr>
                <w:b/>
                <w:sz w:val="19"/>
              </w:rPr>
              <w:t>brief_completed, split by Ask-user vs. non-user</w:t>
            </w:r>
          </w:p>
        </w:tc>
        <w:tc>
          <w:tcPr>
            <w:tcW w:type="dxa" w:w="6336"/>
          </w:tcPr>
          <w:p>
            <w:r/>
            <w:r>
              <w:rPr>
                <w:sz w:val="19"/>
              </w:rPr>
              <w:t>The D9 guardrail, directly.</w:t>
            </w:r>
          </w:p>
        </w:tc>
      </w:tr>
    </w:tbl>
    <w:p>
      <w:pPr>
        <w:spacing w:after="80"/>
      </w:pPr>
    </w:p>
    <w:p>
      <w:pPr>
        <w:pStyle w:val="Heading1"/>
      </w:pPr>
      <w:r>
        <w:t>13. What is the feedback loop?</w:t>
      </w:r>
    </w:p>
    <w:p>
      <w:pPr>
        <w:pStyle w:val="ListNumber"/>
      </w:pPr>
      <w:r>
        <w:rPr>
          <w:sz w:val="21"/>
        </w:rPr>
        <w:t>Reader leaves a thumbs up/down on a response.</w:t>
      </w:r>
    </w:p>
    <w:p>
      <w:pPr>
        <w:pStyle w:val="ListNumber"/>
      </w:pPr>
      <w:r>
        <w:rPr>
          <w:sz w:val="21"/>
        </w:rPr>
        <w:t>Ranjith reviews the aggregate, alongside editorial_edit_rate from Section 12.</w:t>
      </w:r>
    </w:p>
    <w:p>
      <w:pPr>
        <w:pStyle w:val="ListNumber"/>
      </w:pPr>
      <w:r>
        <w:rPr>
          <w:sz w:val="21"/>
        </w:rPr>
        <w:t>Patterns feed back into the generation rubric (Section 06) if a specific Topic × Persona combination consistently underperforms.</w:t>
      </w:r>
    </w:p>
    <w:p>
      <w:pPr>
        <w:pStyle w:val="Heading1"/>
      </w:pPr>
      <w:r>
        <w:t>14. How do we improve the product?</w:t>
      </w:r>
    </w:p>
    <w:p>
      <w:pPr>
        <w:pStyle w:val="ListBullet"/>
      </w:pPr>
      <w:r>
        <w:rPr>
          <w:b/>
          <w:sz w:val="21"/>
        </w:rPr>
        <w:t>Weekly</w:t>
      </w:r>
      <w:r>
        <w:rPr>
          <w:sz w:val="21"/>
        </w:rPr>
        <w:t xml:space="preserve"> — thumbs ratio and editorial-edit-rate reviewed together.</w:t>
      </w:r>
    </w:p>
    <w:p>
      <w:pPr>
        <w:pStyle w:val="ListBullet"/>
      </w:pPr>
      <w:r>
        <w:rPr>
          <w:b/>
          <w:sz w:val="21"/>
        </w:rPr>
        <w:t>Monthly</w:t>
      </w:r>
      <w:r>
        <w:rPr>
          <w:sz w:val="21"/>
        </w:rPr>
        <w:t xml:space="preserve"> — per-surface engagement reviewed against the D9 guardrail. This is what decides when Roadmap Phase 2 triggers (Section 15), not a fixed date.</w:t>
      </w:r>
    </w:p>
    <w:p>
      <w:pPr>
        <w:pStyle w:val="Heading1"/>
      </w:pPr>
      <w:r>
        <w:t>15. Roadmap</w:t>
      </w:r>
    </w:p>
    <w:tbl>
      <w:tblPr>
        <w:tblStyle w:val="TableGrid"/>
        <w:tblW w:type="auto" w:w="0"/>
        <w:jc w:val="left"/>
        <w:tblLayout w:type="fixed"/>
        <w:tblLook w:firstColumn="1" w:firstRow="1" w:lastColumn="0" w:lastRow="0" w:noHBand="0" w:noVBand="1" w:val="04A0"/>
      </w:tblPr>
      <w:tblGrid>
        <w:gridCol w:w="2160"/>
        <w:gridCol w:w="2448"/>
        <w:gridCol w:w="5760"/>
      </w:tblGrid>
      <w:tr>
        <w:tc>
          <w:tcPr>
            <w:tcW w:type="dxa" w:w="2160"/>
            <w:shd w:val="clear" w:color="auto" w:fill="EFEFE7"/>
          </w:tcPr>
          <w:p>
            <w:r/>
            <w:r>
              <w:rPr>
                <w:b/>
                <w:color w:val="7B8091"/>
                <w:sz w:val="17"/>
              </w:rPr>
              <w:t>PHASE</w:t>
            </w:r>
          </w:p>
        </w:tc>
        <w:tc>
          <w:tcPr>
            <w:tcW w:type="dxa" w:w="2448"/>
            <w:shd w:val="clear" w:color="auto" w:fill="EFEFE7"/>
          </w:tcPr>
          <w:p>
            <w:r/>
            <w:r>
              <w:rPr>
                <w:b/>
                <w:color w:val="7B8091"/>
                <w:sz w:val="17"/>
              </w:rPr>
              <w:t>TITLE</w:t>
            </w:r>
          </w:p>
        </w:tc>
        <w:tc>
          <w:tcPr>
            <w:tcW w:type="dxa" w:w="5760"/>
            <w:shd w:val="clear" w:color="auto" w:fill="EFEFE7"/>
          </w:tcPr>
          <w:p>
            <w:r/>
            <w:r>
              <w:rPr>
                <w:b/>
                <w:color w:val="7B8091"/>
                <w:sz w:val="17"/>
              </w:rPr>
              <w:t>DESCRIPTION</w:t>
            </w:r>
          </w:p>
        </w:tc>
      </w:tr>
      <w:tr>
        <w:tc>
          <w:tcPr>
            <w:tcW w:type="dxa" w:w="2160"/>
          </w:tcPr>
          <w:p>
            <w:r/>
            <w:r>
              <w:rPr>
                <w:b/>
                <w:sz w:val="19"/>
              </w:rPr>
              <w:t>Phase 1 — this PRD</w:t>
            </w:r>
          </w:p>
        </w:tc>
        <w:tc>
          <w:tcPr>
            <w:tcW w:type="dxa" w:w="2448"/>
          </w:tcPr>
          <w:p>
            <w:r/>
            <w:r>
              <w:rPr>
                <w:sz w:val="19"/>
              </w:rPr>
              <w:t>Five placements, no paid version</w:t>
            </w:r>
          </w:p>
        </w:tc>
        <w:tc>
          <w:tcPr>
            <w:tcW w:type="dxa" w:w="5760"/>
          </w:tcPr>
          <w:p>
            <w:r/>
            <w:r>
              <w:rPr>
                <w:sz w:val="19"/>
              </w:rPr>
              <w:t>Story card, article detail, company page, sector page, Watchlist. Fast and Deep modes, both free.</w:t>
            </w:r>
          </w:p>
        </w:tc>
      </w:tr>
      <w:tr>
        <w:tc>
          <w:tcPr>
            <w:tcW w:type="dxa" w:w="2160"/>
          </w:tcPr>
          <w:p>
            <w:r/>
            <w:r>
              <w:rPr>
                <w:b/>
                <w:sz w:val="19"/>
              </w:rPr>
              <w:t>Phase 2</w:t>
            </w:r>
          </w:p>
        </w:tc>
        <w:tc>
          <w:tcPr>
            <w:tcW w:type="dxa" w:w="2448"/>
          </w:tcPr>
          <w:p>
            <w:r/>
            <w:r>
              <w:rPr>
                <w:sz w:val="19"/>
              </w:rPr>
              <w:t>Dedicated tab</w:t>
            </w:r>
          </w:p>
        </w:tc>
        <w:tc>
          <w:tcPr>
            <w:tcW w:type="dxa" w:w="5760"/>
          </w:tcPr>
          <w:p>
            <w:r/>
            <w:r>
              <w:rPr>
                <w:sz w:val="19"/>
              </w:rPr>
              <w:t>A standalone Ask tab, triggered by Phase 1 usage data (Section 14), not a fixed date.</w:t>
            </w:r>
          </w:p>
        </w:tc>
      </w:tr>
      <w:tr>
        <w:tc>
          <w:tcPr>
            <w:tcW w:type="dxa" w:w="2160"/>
          </w:tcPr>
          <w:p>
            <w:r/>
            <w:r>
              <w:rPr>
                <w:b/>
                <w:sz w:val="19"/>
              </w:rPr>
              <w:t>Phase 3</w:t>
            </w:r>
          </w:p>
        </w:tc>
        <w:tc>
          <w:tcPr>
            <w:tcW w:type="dxa" w:w="2448"/>
          </w:tcPr>
          <w:p>
            <w:r/>
            <w:r>
              <w:rPr>
                <w:sz w:val="19"/>
              </w:rPr>
              <w:t>Paywall — direction only</w:t>
            </w:r>
          </w:p>
        </w:tc>
        <w:tc>
          <w:tcPr>
            <w:tcW w:type="dxa" w:w="5760"/>
          </w:tcPr>
          <w:p>
            <w:r/>
            <w:r>
              <w:rPr>
                <w:sz w:val="19"/>
              </w:rPr>
              <w:t>No model or timing decided. Named so it isn't lost, not scoped further here.</w:t>
            </w:r>
          </w:p>
        </w:tc>
      </w:tr>
    </w:tbl>
    <w:p>
      <w:pPr>
        <w:spacing w:after="80"/>
      </w:pPr>
    </w:p>
    <w:p>
      <w:pPr>
        <w:pStyle w:val="Heading1"/>
      </w:pPr>
      <w:r>
        <w:t>Appendix — related artifacts</w:t>
      </w:r>
    </w:p>
    <w:p>
      <w:pPr>
        <w:pStyle w:val="ListBullet"/>
      </w:pPr>
      <w:r>
        <w:rPr>
          <w:b/>
          <w:sz w:val="21"/>
        </w:rPr>
        <w:t>Positioning &amp; Planning Memo</w:t>
      </w:r>
      <w:r>
        <w:rPr>
          <w:sz w:val="21"/>
        </w:rPr>
        <w:t xml:space="preserve"> — full framework, competitor scan: https://claude.ai/code/artifact/065326a9-7085-4241-b56d-573b0d49439c</w:t>
      </w:r>
    </w:p>
    <w:p>
      <w:pPr>
        <w:pStyle w:val="ListBullet"/>
      </w:pPr>
      <w:r>
        <w:rPr>
          <w:b/>
          <w:sz w:val="21"/>
        </w:rPr>
        <w:t>Card &amp; Share Mockup</w:t>
      </w:r>
      <w:r>
        <w:rPr>
          <w:sz w:val="21"/>
        </w:rPr>
        <w:t xml:space="preserve"> — in-app icon row vs. downloaded-image treatment: https://claude.ai/code/artifact/b1c5ca6b-03c4-47af-a79b-b2b83cb00db8</w:t>
      </w:r>
    </w:p>
    <w:p>
      <w:pPr>
        <w:pStyle w:val="ListBullet"/>
      </w:pPr>
      <w:r>
        <w:rPr>
          <w:b/>
          <w:sz w:val="21"/>
        </w:rPr>
        <w:t>“Why It Matters” Mockup</w:t>
      </w:r>
      <w:r>
        <w:rPr>
          <w:sz w:val="21"/>
        </w:rPr>
        <w:t xml:space="preserve"> — two low-clutter story-card placements: https://claude.ai/code/artifact/243328a9-e52a-4a09-bba2-c9a30f7cf0ce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026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0262F"/>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6E4A18"/>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6E4A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