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0262F"/>
          <w:sz w:val="44"/>
        </w:rPr>
        <w:t>AskInc42 — Product Requirements Document</w:t>
      </w:r>
    </w:p>
    <w:p>
      <w:pPr>
        <w:spacing w:after="200"/>
      </w:pPr>
      <w:r>
        <w:rPr>
          <w:i/>
          <w:color w:val="4A5160"/>
          <w:sz w:val="24"/>
        </w:rPr>
        <w:t>Bringing Inc42’s existing AI assistant into the app.</w:t>
      </w:r>
    </w:p>
    <w:tbl>
      <w:tblPr>
        <w:tblStyle w:val="TableGrid"/>
        <w:tblW w:type="auto" w:w="0"/>
        <w:tblLayout w:type="fixed"/>
        <w:tblLook w:firstColumn="1" w:firstRow="1" w:lastColumn="0" w:lastRow="0" w:noHBand="0" w:noVBand="1" w:val="04A0"/>
      </w:tblPr>
      <w:tblGrid>
        <w:gridCol w:w="2304"/>
        <w:gridCol w:w="7488"/>
      </w:tblGrid>
      <w:tr>
        <w:tc>
          <w:tcPr>
            <w:tcW w:type="dxa" w:w="2304"/>
            <w:shd w:val="clear" w:color="auto" w:fill="F8F8F2"/>
          </w:tcPr>
          <w:p>
            <w:r/>
            <w:r>
              <w:rPr>
                <w:b/>
                <w:sz w:val="19"/>
              </w:rPr>
              <w:t>Owner</w:t>
            </w:r>
          </w:p>
        </w:tc>
        <w:tc>
          <w:tcPr>
            <w:tcW w:type="dxa" w:w="7488"/>
          </w:tcPr>
          <w:p>
            <w:r/>
            <w:r>
              <w:rPr>
                <w:sz w:val="19"/>
              </w:rPr>
              <w:t>Ranjith</w:t>
            </w:r>
          </w:p>
        </w:tc>
      </w:tr>
      <w:tr>
        <w:tc>
          <w:tcPr>
            <w:tcW w:type="dxa" w:w="2304"/>
            <w:shd w:val="clear" w:color="auto" w:fill="F8F8F2"/>
          </w:tcPr>
          <w:p>
            <w:r/>
            <w:r>
              <w:rPr>
                <w:b/>
                <w:sz w:val="19"/>
              </w:rPr>
              <w:t>Contributors</w:t>
            </w:r>
          </w:p>
        </w:tc>
        <w:tc>
          <w:tcPr>
            <w:tcW w:type="dxa" w:w="7488"/>
          </w:tcPr>
          <w:p>
            <w:r/>
            <w:r>
              <w:rPr>
                <w:sz w:val="19"/>
              </w:rPr>
              <w:t>Utkarsh (launch infra/compliance) · Nityam (design) · Animesh (store) · Ritvi (feature flag, from Aug 3)</w:t>
            </w:r>
          </w:p>
        </w:tc>
      </w:tr>
      <w:tr>
        <w:tc>
          <w:tcPr>
            <w:tcW w:type="dxa" w:w="2304"/>
            <w:shd w:val="clear" w:color="auto" w:fill="F8F8F2"/>
          </w:tcPr>
          <w:p>
            <w:r/>
            <w:r>
              <w:rPr>
                <w:b/>
                <w:sz w:val="19"/>
              </w:rPr>
              <w:t>Eval review owner</w:t>
            </w:r>
          </w:p>
        </w:tc>
        <w:tc>
          <w:tcPr>
            <w:tcW w:type="dxa" w:w="7488"/>
          </w:tcPr>
          <w:p>
            <w:r/>
            <w:r>
              <w:rPr>
                <w:sz w:val="19"/>
              </w:rPr>
              <w:t>Ranjith</w:t>
            </w:r>
          </w:p>
        </w:tc>
      </w:tr>
      <w:tr>
        <w:tc>
          <w:tcPr>
            <w:tcW w:type="dxa" w:w="2304"/>
            <w:shd w:val="clear" w:color="auto" w:fill="F8F8F2"/>
          </w:tcPr>
          <w:p>
            <w:r/>
            <w:r>
              <w:rPr>
                <w:b/>
                <w:sz w:val="19"/>
              </w:rPr>
              <w:t>Sibling doc</w:t>
            </w:r>
          </w:p>
        </w:tc>
        <w:tc>
          <w:tcPr>
            <w:tcW w:type="dxa" w:w="7488"/>
          </w:tcPr>
          <w:p>
            <w:r/>
            <w:r>
              <w:rPr>
                <w:sz w:val="19"/>
              </w:rPr>
              <w:t>Pulse (Social Intelligence) PRD v2.0 — Ranjith + Utkarsh, 30 Jul 2026</w:t>
            </w:r>
          </w:p>
        </w:tc>
      </w:tr>
      <w:tr>
        <w:tc>
          <w:tcPr>
            <w:tcW w:type="dxa" w:w="2304"/>
            <w:shd w:val="clear" w:color="auto" w:fill="F8F8F2"/>
          </w:tcPr>
          <w:p>
            <w:r/>
            <w:r>
              <w:rPr>
                <w:b/>
                <w:sz w:val="19"/>
              </w:rPr>
              <w:t>Status</w:t>
            </w:r>
          </w:p>
        </w:tc>
        <w:tc>
          <w:tcPr>
            <w:tcW w:type="dxa" w:w="7488"/>
          </w:tcPr>
          <w:p>
            <w:r/>
            <w:r>
              <w:rPr>
                <w:sz w:val="19"/>
              </w:rPr>
              <w:t>Ships after app launch, before Pulse</w:t>
            </w:r>
          </w:p>
        </w:tc>
      </w:tr>
      <w:tr>
        <w:tc>
          <w:tcPr>
            <w:tcW w:type="dxa" w:w="2304"/>
            <w:shd w:val="clear" w:color="auto" w:fill="F8F8F2"/>
          </w:tcPr>
          <w:p>
            <w:r/>
            <w:r>
              <w:rPr>
                <w:b/>
                <w:sz w:val="19"/>
              </w:rPr>
              <w:t>Updated</w:t>
            </w:r>
          </w:p>
        </w:tc>
        <w:tc>
          <w:tcPr>
            <w:tcW w:type="dxa" w:w="7488"/>
          </w:tcPr>
          <w:p>
            <w:r/>
            <w:r>
              <w:rPr>
                <w:sz w:val="19"/>
              </w:rPr>
              <w:t>2 Aug 2026</w:t>
            </w:r>
          </w:p>
        </w:tc>
      </w:tr>
    </w:tbl>
    <w:p/>
    <w:p>
      <w:r>
        <w:br w:type="page"/>
      </w:r>
    </w:p>
    <w:p>
      <w:pPr>
        <w:pStyle w:val="Heading1"/>
      </w:pPr>
      <w:r>
        <w:t>01. Why are we doing this?</w:t>
      </w:r>
    </w:p>
    <w:p>
      <w:pPr>
        <w:spacing w:after="160"/>
      </w:pPr>
      <w:r>
        <w:rPr>
          <w:i w:val="0"/>
          <w:sz w:val="21"/>
        </w:rPr>
        <w:t>AskInc42 already exists and works — live on inc42.com, mostly inside Datalab. The app has no equivalent. That gap matters because app readers behave differently from web readers: they open the app to get through today’s brief, not to research a question they arrived with. Porting the web experience as-is — a blank chat box — fails for exactly that reason: a blank box only works when the question already exists in the reader’s head before the interface does, which is true on Datalab and untrue in the app.</w:t>
      </w:r>
    </w:p>
    <w:p>
      <w:pPr>
        <w:spacing w:after="160"/>
      </w:pPr>
      <w:r>
        <w:rPr>
          <w:i w:val="0"/>
          <w:sz w:val="21"/>
        </w:rPr>
        <w:t>The opportunity, then, isn’t “build a chatbot.” It’s extend a capability Inc42 has already built and proven into a surface where the same blank-box interface would fail — using content Inc42 already produces, with no new editorial production cost beyond the review step in Section 06.</w:t>
      </w:r>
    </w:p>
    <w:p>
      <w:pPr>
        <w:pStyle w:val="Heading2"/>
      </w:pPr>
      <w:r>
        <w:t>Problem statement</w:t>
      </w:r>
    </w:p>
    <w:p>
      <w:pPr>
        <w:spacing w:after="160"/>
      </w:pPr>
      <w:r>
        <w:rPr>
          <w:i w:val="0"/>
          <w:sz w:val="21"/>
        </w:rPr>
        <w:t>Bringing the existing AskInc42 backend into a native mobile app surfaces three concrete friction points, not just the abstract UX problem above:</w:t>
      </w:r>
    </w:p>
    <w:tbl>
      <w:tblPr>
        <w:tblStyle w:val="TableGrid"/>
        <w:tblW w:type="auto" w:w="0"/>
        <w:jc w:val="left"/>
        <w:tblLayout w:type="fixed"/>
        <w:tblLook w:firstColumn="1" w:firstRow="1" w:lastColumn="0" w:lastRow="0" w:noHBand="0" w:noVBand="1" w:val="04A0"/>
      </w:tblPr>
      <w:tblGrid>
        <w:gridCol w:w="2304"/>
        <w:gridCol w:w="5472"/>
        <w:gridCol w:w="2016"/>
      </w:tblGrid>
      <w:tr>
        <w:tc>
          <w:tcPr>
            <w:tcW w:type="dxa" w:w="2304"/>
            <w:shd w:val="clear" w:color="auto" w:fill="EFEFE7"/>
          </w:tcPr>
          <w:p>
            <w:r/>
            <w:r>
              <w:rPr>
                <w:b/>
                <w:color w:val="7B8091"/>
                <w:sz w:val="17"/>
              </w:rPr>
              <w:t>FRICTION</w:t>
            </w:r>
          </w:p>
        </w:tc>
        <w:tc>
          <w:tcPr>
            <w:tcW w:type="dxa" w:w="5472"/>
            <w:shd w:val="clear" w:color="auto" w:fill="EFEFE7"/>
          </w:tcPr>
          <w:p>
            <w:r/>
            <w:r>
              <w:rPr>
                <w:b/>
                <w:color w:val="7B8091"/>
                <w:sz w:val="17"/>
              </w:rPr>
              <w:t>THE PROBLEM</w:t>
            </w:r>
          </w:p>
        </w:tc>
        <w:tc>
          <w:tcPr>
            <w:tcW w:type="dxa" w:w="2016"/>
            <w:shd w:val="clear" w:color="auto" w:fill="EFEFE7"/>
          </w:tcPr>
          <w:p>
            <w:r/>
            <w:r>
              <w:rPr>
                <w:b/>
                <w:color w:val="7B8091"/>
                <w:sz w:val="17"/>
              </w:rPr>
              <w:t>ADDRESSED BY</w:t>
            </w:r>
          </w:p>
        </w:tc>
      </w:tr>
      <w:tr>
        <w:tc>
          <w:tcPr>
            <w:tcW w:type="dxa" w:w="2304"/>
          </w:tcPr>
          <w:p>
            <w:r/>
            <w:r>
              <w:rPr>
                <w:b/>
                <w:sz w:val="19"/>
              </w:rPr>
              <w:t>Unacceptable latency</w:t>
            </w:r>
          </w:p>
        </w:tc>
        <w:tc>
          <w:tcPr>
            <w:tcW w:type="dxa" w:w="5472"/>
          </w:tcPr>
          <w:p>
            <w:r/>
            <w:r>
              <w:rPr>
                <w:sz w:val="19"/>
              </w:rPr>
              <w:t>Mobile readers expect a response in a few seconds; the backend currently hangs well past that under load.</w:t>
            </w:r>
          </w:p>
        </w:tc>
        <w:tc>
          <w:tcPr>
            <w:tcW w:type="dxa" w:w="2016"/>
          </w:tcPr>
          <w:p>
            <w:r/>
            <w:r>
              <w:rPr>
                <w:sz w:val="19"/>
              </w:rPr>
              <w:t>D15, Section 06</w:t>
            </w:r>
          </w:p>
        </w:tc>
      </w:tr>
      <w:tr>
        <w:tc>
          <w:tcPr>
            <w:tcW w:type="dxa" w:w="2304"/>
          </w:tcPr>
          <w:p>
            <w:r/>
            <w:r>
              <w:rPr>
                <w:b/>
                <w:sz w:val="19"/>
              </w:rPr>
              <w:t>Context blindness</w:t>
            </w:r>
          </w:p>
        </w:tc>
        <w:tc>
          <w:tcPr>
            <w:tcW w:type="dxa" w:w="5472"/>
          </w:tcPr>
          <w:p>
            <w:r/>
            <w:r>
              <w:rPr>
                <w:sz w:val="19"/>
              </w:rPr>
              <w:t>The backend treats every query as a cold start, ignoring which screen the reader is actually on.</w:t>
            </w:r>
          </w:p>
        </w:tc>
        <w:tc>
          <w:tcPr>
            <w:tcW w:type="dxa" w:w="2016"/>
          </w:tcPr>
          <w:p>
            <w:r/>
            <w:r>
              <w:rPr>
                <w:sz w:val="19"/>
              </w:rPr>
              <w:t>D13, Section 06</w:t>
            </w:r>
          </w:p>
        </w:tc>
      </w:tr>
      <w:tr>
        <w:tc>
          <w:tcPr>
            <w:tcW w:type="dxa" w:w="2304"/>
          </w:tcPr>
          <w:p>
            <w:r/>
            <w:r>
              <w:rPr>
                <w:b/>
                <w:sz w:val="19"/>
              </w:rPr>
              <w:t>Hostile formatting</w:t>
            </w:r>
          </w:p>
        </w:tc>
        <w:tc>
          <w:tcPr>
            <w:tcW w:type="dxa" w:w="5472"/>
          </w:tcPr>
          <w:p>
            <w:r/>
            <w:r>
              <w:rPr>
                <w:sz w:val="19"/>
              </w:rPr>
              <w:t>Long text and Markdown tables don't render usably in a native mobile chat bubble; raw links aren't tappable widgets.</w:t>
            </w:r>
          </w:p>
        </w:tc>
        <w:tc>
          <w:tcPr>
            <w:tcW w:type="dxa" w:w="2016"/>
          </w:tcPr>
          <w:p>
            <w:r/>
            <w:r>
              <w:rPr>
                <w:sz w:val="19"/>
              </w:rPr>
              <w:t>D14, Section 06</w:t>
            </w:r>
          </w:p>
        </w:tc>
      </w:tr>
    </w:tbl>
    <w:p>
      <w:pPr>
        <w:spacing w:after="80"/>
      </w:pPr>
    </w:p>
    <w:p>
      <w:pPr>
        <w:pStyle w:val="Heading1"/>
      </w:pPr>
      <w:r>
        <w:t>02. The JTBD framework</w:t>
      </w:r>
    </w:p>
    <w:p>
      <w:pPr>
        <w:spacing w:after="160"/>
      </w:pPr>
      <w:r>
        <w:rPr>
          <w:i w:val="0"/>
          <w:sz w:val="21"/>
        </w:rPr>
        <w:t>Two rules, and they’re both load-bearing for every placement decision in this document:</w:t>
      </w:r>
    </w:p>
    <w:p>
      <w:pPr>
        <w:pStyle w:val="ListBullet"/>
      </w:pPr>
      <w:r>
        <w:rPr>
          <w:b/>
          <w:sz w:val="21"/>
        </w:rPr>
        <w:t>Never show a blank box.</w:t>
      </w:r>
      <w:r>
        <w:rPr>
          <w:sz w:val="21"/>
        </w:rPr>
        <w:t xml:space="preserve"> The reader is never asked “what do you want to know” — that puts the work of forming a question back on them, in the middle of a read.</w:t>
      </w:r>
    </w:p>
    <w:p>
      <w:pPr>
        <w:pStyle w:val="ListBullet"/>
      </w:pPr>
      <w:r>
        <w:rPr>
          <w:b/>
          <w:sz w:val="21"/>
        </w:rPr>
        <w:t>Every surface already implies a question.</w:t>
      </w:r>
      <w:r>
        <w:rPr>
          <w:sz w:val="21"/>
        </w:rPr>
        <w:t xml:space="preserve"> Ask should reflect the question a reader already has at that point, not invent one — the test every placement in Section 10 was run against.</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SURFACE</w:t>
            </w:r>
          </w:p>
        </w:tc>
        <w:tc>
          <w:tcPr>
            <w:tcW w:type="dxa" w:w="7200"/>
            <w:shd w:val="clear" w:color="auto" w:fill="EFEFE7"/>
          </w:tcPr>
          <w:p>
            <w:r/>
            <w:r>
              <w:rPr>
                <w:b/>
                <w:color w:val="7B8091"/>
                <w:sz w:val="17"/>
              </w:rPr>
              <w:t>THE QUESTION THE READER ALREADY HAS THERE</w:t>
            </w:r>
          </w:p>
        </w:tc>
      </w:tr>
      <w:tr>
        <w:tc>
          <w:tcPr>
            <w:tcW w:type="dxa" w:w="2592"/>
          </w:tcPr>
          <w:p>
            <w:r/>
            <w:r>
              <w:rPr>
                <w:b/>
                <w:sz w:val="19"/>
              </w:rPr>
              <w:t>Story card (in today's brief)</w:t>
            </w:r>
          </w:p>
        </w:tc>
        <w:tc>
          <w:tcPr>
            <w:tcW w:type="dxa" w:w="7200"/>
          </w:tcPr>
          <w:p>
            <w:r/>
            <w:r>
              <w:rPr>
                <w:sz w:val="19"/>
              </w:rPr>
              <w:t>"Tell me more about this one story."</w:t>
            </w:r>
          </w:p>
        </w:tc>
      </w:tr>
      <w:tr>
        <w:tc>
          <w:tcPr>
            <w:tcW w:type="dxa" w:w="2592"/>
          </w:tcPr>
          <w:p>
            <w:r/>
            <w:r>
              <w:rPr>
                <w:b/>
                <w:sz w:val="19"/>
              </w:rPr>
              <w:t>Article detail</w:t>
            </w:r>
          </w:p>
        </w:tc>
        <w:tc>
          <w:tcPr>
            <w:tcW w:type="dxa" w:w="7200"/>
          </w:tcPr>
          <w:p>
            <w:r/>
            <w:r>
              <w:rPr>
                <w:sz w:val="19"/>
              </w:rPr>
              <w:t>Same, deeper — they're already reading the full piece.</w:t>
            </w:r>
          </w:p>
        </w:tc>
      </w:tr>
      <w:tr>
        <w:tc>
          <w:tcPr>
            <w:tcW w:type="dxa" w:w="2592"/>
          </w:tcPr>
          <w:p>
            <w:r/>
            <w:r>
              <w:rPr>
                <w:b/>
                <w:sz w:val="19"/>
              </w:rPr>
              <w:t>Company page</w:t>
            </w:r>
          </w:p>
        </w:tc>
        <w:tc>
          <w:tcPr>
            <w:tcW w:type="dxa" w:w="7200"/>
          </w:tcPr>
          <w:p>
            <w:r/>
            <w:r>
              <w:rPr>
                <w:sz w:val="19"/>
              </w:rPr>
              <w:t>"What’s happening with this company?"</w:t>
            </w:r>
          </w:p>
        </w:tc>
      </w:tr>
      <w:tr>
        <w:tc>
          <w:tcPr>
            <w:tcW w:type="dxa" w:w="2592"/>
          </w:tcPr>
          <w:p>
            <w:r/>
            <w:r>
              <w:rPr>
                <w:b/>
                <w:sz w:val="19"/>
              </w:rPr>
              <w:t>Sector page</w:t>
            </w:r>
          </w:p>
        </w:tc>
        <w:tc>
          <w:tcPr>
            <w:tcW w:type="dxa" w:w="7200"/>
          </w:tcPr>
          <w:p>
            <w:r/>
            <w:r>
              <w:rPr>
                <w:sz w:val="19"/>
              </w:rPr>
              <w:t>"What’s happening in this sector, who’s in it?"</w:t>
            </w:r>
          </w:p>
        </w:tc>
      </w:tr>
      <w:tr>
        <w:tc>
          <w:tcPr>
            <w:tcW w:type="dxa" w:w="2592"/>
          </w:tcPr>
          <w:p>
            <w:r/>
            <w:r>
              <w:rPr>
                <w:b/>
                <w:sz w:val="19"/>
              </w:rPr>
              <w:t>Watchlist</w:t>
            </w:r>
          </w:p>
        </w:tc>
        <w:tc>
          <w:tcPr>
            <w:tcW w:type="dxa" w:w="7200"/>
          </w:tcPr>
          <w:p>
            <w:r/>
            <w:r>
              <w:rPr>
                <w:sz w:val="19"/>
              </w:rPr>
              <w:t>"What’s new in what I’m tracking?"</w:t>
            </w:r>
          </w:p>
        </w:tc>
      </w:tr>
    </w:tbl>
    <w:p>
      <w:pPr>
        <w:spacing w:after="80"/>
      </w:pPr>
    </w:p>
    <w:p>
      <w:pPr>
        <w:pStyle w:val="Heading1"/>
      </w:pPr>
      <w:r>
        <w:t>03. How we position it</w:t>
      </w:r>
    </w:p>
    <w:p>
      <w:pPr>
        <w:spacing w:after="160"/>
      </w:pPr>
      <w:r>
        <w:rPr>
          <w:i/>
          <w:sz w:val="21"/>
        </w:rPr>
        <w:t>Positioning line: “AskInc42 is the question your daily brief didn’t answer — grounded in what Inc42 has actually reported, surfaced exactly where curiosity already exists, never a blank box.”</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MODE</w:t>
            </w:r>
          </w:p>
        </w:tc>
        <w:tc>
          <w:tcPr>
            <w:tcW w:type="dxa" w:w="7200"/>
            <w:shd w:val="clear" w:color="auto" w:fill="EFEFE7"/>
          </w:tcPr>
          <w:p>
            <w:r/>
            <w:r>
              <w:rPr>
                <w:b/>
                <w:color w:val="7B8091"/>
                <w:sz w:val="17"/>
              </w:rPr>
              <w:t>DESCRIPTION</w:t>
            </w:r>
          </w:p>
        </w:tc>
      </w:tr>
      <w:tr>
        <w:tc>
          <w:tcPr>
            <w:tcW w:type="dxa" w:w="2592"/>
          </w:tcPr>
          <w:p>
            <w:r/>
            <w:r>
              <w:rPr>
                <w:b/>
                <w:sz w:val="19"/>
              </w:rPr>
              <w:t>Web — research mode</w:t>
            </w:r>
          </w:p>
        </w:tc>
        <w:tc>
          <w:tcPr>
            <w:tcW w:type="dxa" w:w="7200"/>
          </w:tcPr>
          <w:p>
            <w:r/>
            <w:r>
              <w:rPr>
                <w:sz w:val="19"/>
              </w:rPr>
              <w:t>A reader lands on Datalab with a question already in mind. A blank input works because the question arrived before the interface did.</w:t>
            </w:r>
          </w:p>
        </w:tc>
      </w:tr>
      <w:tr>
        <w:tc>
          <w:tcPr>
            <w:tcW w:type="dxa" w:w="2592"/>
          </w:tcPr>
          <w:p>
            <w:r/>
            <w:r>
              <w:rPr>
                <w:b/>
                <w:sz w:val="19"/>
              </w:rPr>
              <w:t>App — consumption mode</w:t>
            </w:r>
          </w:p>
        </w:tc>
        <w:tc>
          <w:tcPr>
            <w:tcW w:type="dxa" w:w="7200"/>
          </w:tcPr>
          <w:p>
            <w:r/>
            <w:r>
              <w:rPr>
                <w:sz w:val="19"/>
              </w:rPr>
              <w:t>A reader opens the app to get through the brief. No pre-formed question means Ask has to borrow intent from wherever it’s placed.</w:t>
            </w:r>
          </w:p>
        </w:tc>
      </w:tr>
    </w:tbl>
    <w:p>
      <w:pPr>
        <w:spacing w:after="80"/>
      </w:pPr>
    </w:p>
    <w:p>
      <w:pPr>
        <w:pStyle w:val="Heading1"/>
      </w:pPr>
      <w:r>
        <w:t>04. Why this positioning</w:t>
      </w:r>
    </w:p>
    <w:p>
      <w:pPr>
        <w:pStyle w:val="ListBullet"/>
      </w:pPr>
      <w:r>
        <w:rPr>
          <w:b/>
          <w:sz w:val="21"/>
        </w:rPr>
        <w:t>Trust.</w:t>
      </w:r>
      <w:r>
        <w:rPr>
          <w:sz w:val="21"/>
        </w:rPr>
        <w:t xml:space="preserve"> Grounded only in Inc42’s own reporting, not the open web — every answer stays traceable to something Inc42 actually published, which matters because this is a business/finance audience that will fact-check.</w:t>
      </w:r>
    </w:p>
    <w:p>
      <w:pPr>
        <w:pStyle w:val="ListBullet"/>
      </w:pPr>
      <w:r>
        <w:rPr>
          <w:b/>
          <w:sz w:val="21"/>
        </w:rPr>
        <w:t>Editors see and can edit the AI-drafted questions when they publish</w:t>
      </w:r>
      <w:r>
        <w:rPr>
          <w:sz w:val="21"/>
        </w:rPr>
        <w:t xml:space="preserve"> — not a separate verification layer, part of the same publish action (Section 06).</w:t>
      </w:r>
    </w:p>
    <w:p>
      <w:pPr>
        <w:pStyle w:val="ListBullet"/>
      </w:pPr>
      <w:r>
        <w:rPr>
          <w:b/>
          <w:sz w:val="21"/>
        </w:rPr>
        <w:t>Category precedent</w:t>
      </w:r>
      <w:r>
        <w:rPr>
          <w:sz w:val="21"/>
        </w:rPr>
        <w:t xml:space="preserve"> exists for grounded, surfaced-in-context assistants beating general chatbots: Crunchbase Scout (per-company assistant), Robinhood Cortex (per-stock digest, Gold-gated, 95% positive feedback), Arc XP’s Ask The News (Washington Post, publisher’s-own-reporting only). Full competitor scan in the Appendix.</w:t>
      </w:r>
    </w:p>
    <w:p>
      <w:pPr>
        <w:pStyle w:val="Heading1"/>
      </w:pPr>
      <w:r>
        <w:t>05. Locked decisions, indexed</w:t>
      </w:r>
    </w:p>
    <w:p>
      <w:pPr>
        <w:spacing w:after="160"/>
      </w:pPr>
      <w:r>
        <w:rPr>
          <w:i/>
          <w:color w:val="4A5160"/>
          <w:sz w:val="21"/>
        </w:rPr>
        <w:t>A fast-reference index — every decision links to the section where its full detail lives.</w:t>
      </w:r>
    </w:p>
    <w:tbl>
      <w:tblPr>
        <w:tblStyle w:val="TableGrid"/>
        <w:tblW w:type="auto" w:w="0"/>
        <w:jc w:val="left"/>
        <w:tblLayout w:type="fixed"/>
        <w:tblLook w:firstColumn="1" w:firstRow="1" w:lastColumn="0" w:lastRow="0" w:noHBand="0" w:noVBand="1" w:val="04A0"/>
      </w:tblPr>
      <w:tblGrid>
        <w:gridCol w:w="864"/>
        <w:gridCol w:w="7776"/>
        <w:gridCol w:w="1728"/>
      </w:tblGrid>
      <w:tr>
        <w:tc>
          <w:tcPr>
            <w:tcW w:type="dxa" w:w="864"/>
            <w:shd w:val="clear" w:color="auto" w:fill="EFEFE7"/>
          </w:tcPr>
          <w:p>
            <w:r/>
            <w:r>
              <w:rPr>
                <w:b/>
                <w:color w:val="7B8091"/>
                <w:sz w:val="17"/>
              </w:rPr>
              <w:t>ID</w:t>
            </w:r>
          </w:p>
        </w:tc>
        <w:tc>
          <w:tcPr>
            <w:tcW w:type="dxa" w:w="7776"/>
            <w:shd w:val="clear" w:color="auto" w:fill="EFEFE7"/>
          </w:tcPr>
          <w:p>
            <w:r/>
            <w:r>
              <w:rPr>
                <w:b/>
                <w:color w:val="7B8091"/>
                <w:sz w:val="17"/>
              </w:rPr>
              <w:t>DECISION</w:t>
            </w:r>
          </w:p>
        </w:tc>
        <w:tc>
          <w:tcPr>
            <w:tcW w:type="dxa" w:w="1728"/>
            <w:shd w:val="clear" w:color="auto" w:fill="EFEFE7"/>
          </w:tcPr>
          <w:p>
            <w:r/>
            <w:r>
              <w:rPr>
                <w:b/>
                <w:color w:val="7B8091"/>
                <w:sz w:val="17"/>
              </w:rPr>
              <w:t>REFERENCE</w:t>
            </w:r>
          </w:p>
        </w:tc>
      </w:tr>
      <w:tr>
        <w:tc>
          <w:tcPr>
            <w:tcW w:type="dxa" w:w="864"/>
          </w:tcPr>
          <w:p>
            <w:r/>
            <w:r>
              <w:rPr>
                <w:b/>
                <w:sz w:val="19"/>
              </w:rPr>
              <w:t>D1</w:t>
            </w:r>
          </w:p>
        </w:tc>
        <w:tc>
          <w:tcPr>
            <w:tcW w:type="dxa" w:w="7776"/>
          </w:tcPr>
          <w:p>
            <w:r/>
            <w:r>
              <w:rPr>
                <w:sz w:val="19"/>
              </w:rPr>
              <w:t>Ask is visible to every reader, logged in or not; the two flows behave differently.</w:t>
            </w:r>
          </w:p>
        </w:tc>
        <w:tc>
          <w:tcPr>
            <w:tcW w:type="dxa" w:w="1728"/>
          </w:tcPr>
          <w:p>
            <w:r/>
            <w:r>
              <w:rPr>
                <w:sz w:val="19"/>
              </w:rPr>
              <w:t>Section 07</w:t>
            </w:r>
          </w:p>
        </w:tc>
      </w:tr>
      <w:tr>
        <w:tc>
          <w:tcPr>
            <w:tcW w:type="dxa" w:w="864"/>
          </w:tcPr>
          <w:p>
            <w:r/>
            <w:r>
              <w:rPr>
                <w:b/>
                <w:sz w:val="19"/>
              </w:rPr>
              <w:t>D2</w:t>
            </w:r>
          </w:p>
        </w:tc>
        <w:tc>
          <w:tcPr>
            <w:tcW w:type="dxa" w:w="7776"/>
          </w:tcPr>
          <w:p>
            <w:r/>
            <w:r>
              <w:rPr>
                <w:sz w:val="19"/>
              </w:rPr>
              <w:t>Chat history is persistent, user-visible, and explicitly a Terms/Privacy commitment, not just a UX choice.</w:t>
            </w:r>
          </w:p>
        </w:tc>
        <w:tc>
          <w:tcPr>
            <w:tcW w:type="dxa" w:w="1728"/>
          </w:tcPr>
          <w:p>
            <w:r/>
            <w:r>
              <w:rPr>
                <w:sz w:val="19"/>
              </w:rPr>
              <w:t>Section 09</w:t>
            </w:r>
          </w:p>
        </w:tc>
      </w:tr>
      <w:tr>
        <w:tc>
          <w:tcPr>
            <w:tcW w:type="dxa" w:w="864"/>
          </w:tcPr>
          <w:p>
            <w:r/>
            <w:r>
              <w:rPr>
                <w:b/>
                <w:sz w:val="19"/>
              </w:rPr>
              <w:t>D3</w:t>
            </w:r>
          </w:p>
        </w:tc>
        <w:tc>
          <w:tcPr>
            <w:tcW w:type="dxa" w:w="7776"/>
          </w:tcPr>
          <w:p>
            <w:r/>
            <w:r>
              <w:rPr>
                <w:sz w:val="19"/>
              </w:rPr>
              <w:t>Thumbs up / down on every response, feeding a defined loop back into generation.</w:t>
            </w:r>
          </w:p>
        </w:tc>
        <w:tc>
          <w:tcPr>
            <w:tcW w:type="dxa" w:w="1728"/>
          </w:tcPr>
          <w:p>
            <w:r/>
            <w:r>
              <w:rPr>
                <w:sz w:val="19"/>
              </w:rPr>
              <w:t>Section 13</w:t>
            </w:r>
          </w:p>
        </w:tc>
      </w:tr>
      <w:tr>
        <w:tc>
          <w:tcPr>
            <w:tcW w:type="dxa" w:w="864"/>
          </w:tcPr>
          <w:p>
            <w:r/>
            <w:r>
              <w:rPr>
                <w:b/>
                <w:sz w:val="19"/>
              </w:rPr>
              <w:t>D4</w:t>
            </w:r>
          </w:p>
        </w:tc>
        <w:tc>
          <w:tcPr>
            <w:tcW w:type="dxa" w:w="7776"/>
          </w:tcPr>
          <w:p>
            <w:r/>
            <w:r>
              <w:rPr>
                <w:sz w:val="19"/>
              </w:rPr>
              <w:t>Generation is AI-drafted at publish time; the editor sees and can edit it as part of publishing.</w:t>
            </w:r>
          </w:p>
        </w:tc>
        <w:tc>
          <w:tcPr>
            <w:tcW w:type="dxa" w:w="1728"/>
          </w:tcPr>
          <w:p>
            <w:r/>
            <w:r>
              <w:rPr>
                <w:sz w:val="19"/>
              </w:rPr>
              <w:t>Section 06</w:t>
            </w:r>
          </w:p>
        </w:tc>
      </w:tr>
      <w:tr>
        <w:tc>
          <w:tcPr>
            <w:tcW w:type="dxa" w:w="864"/>
          </w:tcPr>
          <w:p>
            <w:r/>
            <w:r>
              <w:rPr>
                <w:b/>
                <w:sz w:val="19"/>
              </w:rPr>
              <w:t>D5</w:t>
            </w:r>
          </w:p>
        </w:tc>
        <w:tc>
          <w:tcPr>
            <w:tcW w:type="dxa" w:w="7776"/>
          </w:tcPr>
          <w:p>
            <w:r/>
            <w:r>
              <w:rPr>
                <w:sz w:val="19"/>
              </w:rPr>
              <w:t>Five placements in v1: story card, article detail, company page, sector page, Watchlist. No dedicated tab.</w:t>
            </w:r>
          </w:p>
        </w:tc>
        <w:tc>
          <w:tcPr>
            <w:tcW w:type="dxa" w:w="1728"/>
          </w:tcPr>
          <w:p>
            <w:r/>
            <w:r>
              <w:rPr>
                <w:sz w:val="19"/>
              </w:rPr>
              <w:t>Sections 10, 15</w:t>
            </w:r>
          </w:p>
        </w:tc>
      </w:tr>
      <w:tr>
        <w:tc>
          <w:tcPr>
            <w:tcW w:type="dxa" w:w="864"/>
          </w:tcPr>
          <w:p>
            <w:r/>
            <w:r>
              <w:rPr>
                <w:b/>
                <w:sz w:val="19"/>
              </w:rPr>
              <w:t>D6</w:t>
            </w:r>
          </w:p>
        </w:tc>
        <w:tc>
          <w:tcPr>
            <w:tcW w:type="dxa" w:w="7776"/>
          </w:tcPr>
          <w:p>
            <w:r/>
            <w:r>
              <w:rPr>
                <w:sz w:val="19"/>
              </w:rPr>
              <w:t>Sector detail page and Watchlist's Sectors sub-tab are different surfaces with different jobs.</w:t>
            </w:r>
          </w:p>
        </w:tc>
        <w:tc>
          <w:tcPr>
            <w:tcW w:type="dxa" w:w="1728"/>
          </w:tcPr>
          <w:p>
            <w:r/>
            <w:r>
              <w:rPr>
                <w:sz w:val="19"/>
              </w:rPr>
              <w:t>Section 10</w:t>
            </w:r>
          </w:p>
        </w:tc>
      </w:tr>
      <w:tr>
        <w:tc>
          <w:tcPr>
            <w:tcW w:type="dxa" w:w="864"/>
          </w:tcPr>
          <w:p>
            <w:r/>
            <w:r>
              <w:rPr>
                <w:b/>
                <w:sz w:val="19"/>
              </w:rPr>
              <w:t>D7</w:t>
            </w:r>
          </w:p>
        </w:tc>
        <w:tc>
          <w:tcPr>
            <w:tcW w:type="dxa" w:w="7776"/>
          </w:tcPr>
          <w:p>
            <w:r/>
            <w:r>
              <w:rPr>
                <w:sz w:val="19"/>
              </w:rPr>
              <w:t>Watchlist uses a rotating pool of static persona messages, not per-item generation.</w:t>
            </w:r>
          </w:p>
        </w:tc>
        <w:tc>
          <w:tcPr>
            <w:tcW w:type="dxa" w:w="1728"/>
          </w:tcPr>
          <w:p>
            <w:r/>
            <w:r>
              <w:rPr>
                <w:sz w:val="19"/>
              </w:rPr>
              <w:t>Section 11</w:t>
            </w:r>
          </w:p>
        </w:tc>
      </w:tr>
      <w:tr>
        <w:tc>
          <w:tcPr>
            <w:tcW w:type="dxa" w:w="864"/>
          </w:tcPr>
          <w:p>
            <w:r/>
            <w:r>
              <w:rPr>
                <w:b/>
                <w:sz w:val="19"/>
              </w:rPr>
              <w:t>D8</w:t>
            </w:r>
          </w:p>
        </w:tc>
        <w:tc>
          <w:tcPr>
            <w:tcW w:type="dxa" w:w="7776"/>
          </w:tcPr>
          <w:p>
            <w:r/>
            <w:r>
              <w:rPr>
                <w:sz w:val="19"/>
              </w:rPr>
              <w:t>No paid version. Fast and Deep modes are both free to use.</w:t>
            </w:r>
          </w:p>
        </w:tc>
        <w:tc>
          <w:tcPr>
            <w:tcW w:type="dxa" w:w="1728"/>
          </w:tcPr>
          <w:p>
            <w:r/>
            <w:r>
              <w:rPr>
                <w:sz w:val="19"/>
              </w:rPr>
              <w:t>Section 08</w:t>
            </w:r>
          </w:p>
        </w:tc>
      </w:tr>
      <w:tr>
        <w:tc>
          <w:tcPr>
            <w:tcW w:type="dxa" w:w="864"/>
          </w:tcPr>
          <w:p>
            <w:r/>
            <w:r>
              <w:rPr>
                <w:b/>
                <w:sz w:val="19"/>
              </w:rPr>
              <w:t>D9</w:t>
            </w:r>
          </w:p>
        </w:tc>
        <w:tc>
          <w:tcPr>
            <w:tcW w:type="dxa" w:w="7776"/>
          </w:tcPr>
          <w:p>
            <w:r/>
            <w:r>
              <w:rPr>
                <w:sz w:val="19"/>
              </w:rPr>
              <w:t>Primary guardrail: Ask must not reduce brief completion, measured as a cohort comparison.</w:t>
            </w:r>
          </w:p>
        </w:tc>
        <w:tc>
          <w:tcPr>
            <w:tcW w:type="dxa" w:w="1728"/>
          </w:tcPr>
          <w:p>
            <w:r/>
            <w:r>
              <w:rPr>
                <w:sz w:val="19"/>
              </w:rPr>
              <w:t>Section 11</w:t>
            </w:r>
          </w:p>
        </w:tc>
      </w:tr>
      <w:tr>
        <w:tc>
          <w:tcPr>
            <w:tcW w:type="dxa" w:w="864"/>
          </w:tcPr>
          <w:p>
            <w:r/>
            <w:r>
              <w:rPr>
                <w:b/>
                <w:sz w:val="19"/>
              </w:rPr>
              <w:t>D10</w:t>
            </w:r>
          </w:p>
        </w:tc>
        <w:tc>
          <w:tcPr>
            <w:tcW w:type="dxa" w:w="7776"/>
          </w:tcPr>
          <w:p>
            <w:r/>
            <w:r>
              <w:rPr>
                <w:sz w:val="19"/>
              </w:rPr>
              <w:t>Eval review owner: Ranjith, directly.</w:t>
            </w:r>
          </w:p>
        </w:tc>
        <w:tc>
          <w:tcPr>
            <w:tcW w:type="dxa" w:w="1728"/>
          </w:tcPr>
          <w:p>
            <w:r/>
            <w:r>
              <w:rPr>
                <w:sz w:val="19"/>
              </w:rPr>
              <w:t>Section 13</w:t>
            </w:r>
          </w:p>
        </w:tc>
      </w:tr>
      <w:tr>
        <w:tc>
          <w:tcPr>
            <w:tcW w:type="dxa" w:w="864"/>
          </w:tcPr>
          <w:p>
            <w:r/>
            <w:r>
              <w:rPr>
                <w:b/>
                <w:sz w:val="19"/>
              </w:rPr>
              <w:t>D11</w:t>
            </w:r>
          </w:p>
        </w:tc>
        <w:tc>
          <w:tcPr>
            <w:tcW w:type="dxa" w:w="7776"/>
          </w:tcPr>
          <w:p>
            <w:r/>
            <w:r>
              <w:rPr>
                <w:sz w:val="19"/>
              </w:rPr>
              <w:t>The chatbot must be trained on app-specific knowledge, not just article/Datalab content.</w:t>
            </w:r>
          </w:p>
        </w:tc>
        <w:tc>
          <w:tcPr>
            <w:tcW w:type="dxa" w:w="1728"/>
          </w:tcPr>
          <w:p>
            <w:r/>
            <w:r>
              <w:rPr>
                <w:sz w:val="19"/>
              </w:rPr>
              <w:t>Section 06</w:t>
            </w:r>
          </w:p>
        </w:tc>
      </w:tr>
      <w:tr>
        <w:tc>
          <w:tcPr>
            <w:tcW w:type="dxa" w:w="864"/>
          </w:tcPr>
          <w:p>
            <w:r/>
            <w:r>
              <w:rPr>
                <w:b/>
                <w:sz w:val="19"/>
              </w:rPr>
              <w:t>D12</w:t>
            </w:r>
          </w:p>
        </w:tc>
        <w:tc>
          <w:tcPr>
            <w:tcW w:type="dxa" w:w="7776"/>
          </w:tcPr>
          <w:p>
            <w:r/>
            <w:r>
              <w:rPr>
                <w:sz w:val="19"/>
              </w:rPr>
              <w:t>If a reader closes the app before a response finishes, a push notification tells them it's ready.</w:t>
            </w:r>
          </w:p>
        </w:tc>
        <w:tc>
          <w:tcPr>
            <w:tcW w:type="dxa" w:w="1728"/>
          </w:tcPr>
          <w:p>
            <w:r/>
            <w:r>
              <w:rPr>
                <w:sz w:val="19"/>
              </w:rPr>
              <w:t>Section 07</w:t>
            </w:r>
          </w:p>
        </w:tc>
      </w:tr>
      <w:tr>
        <w:tc>
          <w:tcPr>
            <w:tcW w:type="dxa" w:w="864"/>
          </w:tcPr>
          <w:p>
            <w:r/>
            <w:r>
              <w:rPr>
                <w:b/>
                <w:sz w:val="19"/>
              </w:rPr>
              <w:t>D13</w:t>
            </w:r>
          </w:p>
        </w:tc>
        <w:tc>
          <w:tcPr>
            <w:tcW w:type="dxa" w:w="7776"/>
          </w:tcPr>
          <w:p>
            <w:r/>
            <w:r>
              <w:rPr>
                <w:sz w:val="19"/>
              </w:rPr>
              <w:t>Each surface's entity is the primary context for the entire thread, not just the first message — every surface behaves the same way, until the reader explicitly diverts to a different topic.</w:t>
            </w:r>
          </w:p>
        </w:tc>
        <w:tc>
          <w:tcPr>
            <w:tcW w:type="dxa" w:w="1728"/>
          </w:tcPr>
          <w:p>
            <w:r/>
            <w:r>
              <w:rPr>
                <w:sz w:val="19"/>
              </w:rPr>
              <w:t>Section 06</w:t>
            </w:r>
          </w:p>
        </w:tc>
      </w:tr>
      <w:tr>
        <w:tc>
          <w:tcPr>
            <w:tcW w:type="dxa" w:w="864"/>
          </w:tcPr>
          <w:p>
            <w:r/>
            <w:r>
              <w:rPr>
                <w:b/>
                <w:sz w:val="19"/>
              </w:rPr>
              <w:t>D14</w:t>
            </w:r>
          </w:p>
        </w:tc>
        <w:tc>
          <w:tcPr>
            <w:tcW w:type="dxa" w:w="7776"/>
          </w:tcPr>
          <w:p>
            <w:r/>
            <w:r>
              <w:rPr>
                <w:sz w:val="19"/>
              </w:rPr>
              <w:t>Every response is capped around 150-200 words, no Markdown tables, sources shown as tappable citation cards instead of inline links.</w:t>
            </w:r>
          </w:p>
        </w:tc>
        <w:tc>
          <w:tcPr>
            <w:tcW w:type="dxa" w:w="1728"/>
          </w:tcPr>
          <w:p>
            <w:r/>
            <w:r>
              <w:rPr>
                <w:sz w:val="19"/>
              </w:rPr>
              <w:t>Section 06</w:t>
            </w:r>
          </w:p>
        </w:tc>
      </w:tr>
      <w:tr>
        <w:tc>
          <w:tcPr>
            <w:tcW w:type="dxa" w:w="864"/>
          </w:tcPr>
          <w:p>
            <w:r/>
            <w:r>
              <w:rPr>
                <w:b/>
                <w:sz w:val="19"/>
              </w:rPr>
              <w:t>D15</w:t>
            </w:r>
          </w:p>
        </w:tc>
        <w:tc>
          <w:tcPr>
            <w:tcW w:type="dxa" w:w="7776"/>
          </w:tcPr>
          <w:p>
            <w:r/>
            <w:r>
              <w:rPr>
                <w:sz w:val="19"/>
              </w:rPr>
              <w:t>Latency guardrails: Fast mode targets 5s, never exceeds 10s. Deep mode never exceeds 30s.</w:t>
            </w:r>
          </w:p>
        </w:tc>
        <w:tc>
          <w:tcPr>
            <w:tcW w:type="dxa" w:w="1728"/>
          </w:tcPr>
          <w:p>
            <w:r/>
            <w:r>
              <w:rPr>
                <w:sz w:val="19"/>
              </w:rPr>
              <w:t>Sections 06, 11</w:t>
            </w:r>
          </w:p>
        </w:tc>
      </w:tr>
      <w:tr>
        <w:tc>
          <w:tcPr>
            <w:tcW w:type="dxa" w:w="864"/>
          </w:tcPr>
          <w:p>
            <w:r/>
            <w:r>
              <w:rPr>
                <w:b/>
                <w:sz w:val="19"/>
              </w:rPr>
              <w:t>D16</w:t>
            </w:r>
          </w:p>
        </w:tc>
        <w:tc>
          <w:tcPr>
            <w:tcW w:type="dxa" w:w="7776"/>
          </w:tcPr>
          <w:p>
            <w:r/>
            <w:r>
              <w:rPr>
                <w:sz w:val="19"/>
              </w:rPr>
              <w:t>Personas are the five real Edit Role values: Founder, Investor, Operator, BD &amp; Partnerships, Other.</w:t>
            </w:r>
          </w:p>
        </w:tc>
        <w:tc>
          <w:tcPr>
            <w:tcW w:type="dxa" w:w="1728"/>
          </w:tcPr>
          <w:p>
            <w:r/>
            <w:r>
              <w:rPr>
                <w:sz w:val="19"/>
              </w:rPr>
              <w:t>Section 06</w:t>
            </w:r>
          </w:p>
        </w:tc>
      </w:tr>
      <w:tr>
        <w:tc>
          <w:tcPr>
            <w:tcW w:type="dxa" w:w="864"/>
          </w:tcPr>
          <w:p>
            <w:r/>
            <w:r>
              <w:rPr>
                <w:b/>
                <w:sz w:val="19"/>
              </w:rPr>
              <w:t>D17</w:t>
            </w:r>
          </w:p>
        </w:tc>
        <w:tc>
          <w:tcPr>
            <w:tcW w:type="dxa" w:w="7776"/>
          </w:tcPr>
          <w:p>
            <w:r/>
            <w:r>
              <w:rPr>
                <w:sz w:val="19"/>
              </w:rPr>
              <w:t>Each persona has a fixed lens - what they're always trying to learn, independent of topic - that combines with the topic-specific rubric to produce the actual question.</w:t>
            </w:r>
          </w:p>
        </w:tc>
        <w:tc>
          <w:tcPr>
            <w:tcW w:type="dxa" w:w="1728"/>
          </w:tcPr>
          <w:p>
            <w:r/>
            <w:r>
              <w:rPr>
                <w:sz w:val="19"/>
              </w:rPr>
              <w:t>Section 06</w:t>
            </w:r>
          </w:p>
        </w:tc>
      </w:tr>
    </w:tbl>
    <w:p>
      <w:pPr>
        <w:spacing w:after="80"/>
      </w:pPr>
    </w:p>
    <w:p>
      <w:pPr>
        <w:pStyle w:val="Heading1"/>
      </w:pPr>
      <w:r>
        <w:t>06. How do we generate?</w:t>
      </w:r>
    </w:p>
    <w:p>
      <w:pPr>
        <w:spacing w:after="160"/>
      </w:pPr>
      <w:r>
        <w:rPr>
          <w:i w:val="0"/>
          <w:sz w:val="21"/>
        </w:rPr>
        <w:t>When an article is published, AI drafts one title per persona using the Topic × Persona rubric below. The editor sees these titles at the same time they publish the article — same action, not a separate queue or approval step — and can edit any of them directly if the phrasing is off. Whatever’s on the article when it publishes is what ships. That’s it.</w:t>
      </w:r>
    </w:p>
    <w:p>
      <w:pPr>
        <w:pStyle w:val="Heading2"/>
      </w:pPr>
      <w:r>
        <w:t>Personas — D16, confirmed from the real onboarding screen (Edit Role)</w:t>
      </w:r>
    </w:p>
    <w:p>
      <w:pPr>
        <w:spacing w:after="160"/>
      </w:pPr>
      <w:r>
        <w:rPr>
          <w:i w:val="0"/>
          <w:sz w:val="21"/>
        </w:rPr>
        <w:t>Five values, not three — this replaces every earlier placeholder guess (Founder/Investor/Operator, or Founder/Investor/Partnership) with what the app actually asks at onboarding.</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PERSONA</w:t>
            </w:r>
          </w:p>
        </w:tc>
        <w:tc>
          <w:tcPr>
            <w:tcW w:type="dxa" w:w="7200"/>
            <w:shd w:val="clear" w:color="auto" w:fill="EFEFE7"/>
          </w:tcPr>
          <w:p>
            <w:r/>
            <w:r>
              <w:rPr>
                <w:b/>
                <w:color w:val="7B8091"/>
                <w:sz w:val="17"/>
              </w:rPr>
              <w:t>AS DESCRIBED ON THE ROLE-SELECTION SCREEN</w:t>
            </w:r>
          </w:p>
        </w:tc>
      </w:tr>
      <w:tr>
        <w:tc>
          <w:tcPr>
            <w:tcW w:type="dxa" w:w="2592"/>
          </w:tcPr>
          <w:p>
            <w:r/>
            <w:r>
              <w:rPr>
                <w:b/>
                <w:sz w:val="19"/>
              </w:rPr>
              <w:t>Founder</w:t>
            </w:r>
          </w:p>
        </w:tc>
        <w:tc>
          <w:tcPr>
            <w:tcW w:type="dxa" w:w="7200"/>
          </w:tcPr>
          <w:p>
            <w:r/>
            <w:r>
              <w:rPr>
                <w:sz w:val="19"/>
              </w:rPr>
              <w:t>“Track startups, competitors, funding, and market opportunities.”</w:t>
            </w:r>
          </w:p>
        </w:tc>
      </w:tr>
      <w:tr>
        <w:tc>
          <w:tcPr>
            <w:tcW w:type="dxa" w:w="2592"/>
          </w:tcPr>
          <w:p>
            <w:r/>
            <w:r>
              <w:rPr>
                <w:b/>
                <w:sz w:val="19"/>
              </w:rPr>
              <w:t>Investor</w:t>
            </w:r>
          </w:p>
        </w:tc>
        <w:tc>
          <w:tcPr>
            <w:tcW w:type="dxa" w:w="7200"/>
          </w:tcPr>
          <w:p>
            <w:r/>
            <w:r>
              <w:rPr>
                <w:sz w:val="19"/>
              </w:rPr>
              <w:t>“Discover investment opportunities with trusted startup intelligence.”</w:t>
            </w:r>
          </w:p>
        </w:tc>
      </w:tr>
      <w:tr>
        <w:tc>
          <w:tcPr>
            <w:tcW w:type="dxa" w:w="2592"/>
          </w:tcPr>
          <w:p>
            <w:r/>
            <w:r>
              <w:rPr>
                <w:b/>
                <w:sz w:val="19"/>
              </w:rPr>
              <w:t>Operator</w:t>
            </w:r>
          </w:p>
        </w:tc>
        <w:tc>
          <w:tcPr>
            <w:tcW w:type="dxa" w:w="7200"/>
          </w:tcPr>
          <w:p>
            <w:r/>
            <w:r>
              <w:rPr>
                <w:sz w:val="19"/>
              </w:rPr>
              <w:t>“Stay ahead with market signals, industry trends, and company updates.”</w:t>
            </w:r>
          </w:p>
        </w:tc>
      </w:tr>
      <w:tr>
        <w:tc>
          <w:tcPr>
            <w:tcW w:type="dxa" w:w="2592"/>
          </w:tcPr>
          <w:p>
            <w:r/>
            <w:r>
              <w:rPr>
                <w:b/>
                <w:sz w:val="19"/>
              </w:rPr>
              <w:t>BD &amp; Partnerships</w:t>
            </w:r>
          </w:p>
        </w:tc>
        <w:tc>
          <w:tcPr>
            <w:tcW w:type="dxa" w:w="7200"/>
          </w:tcPr>
          <w:p>
            <w:r/>
            <w:r>
              <w:rPr>
                <w:sz w:val="19"/>
              </w:rPr>
              <w:t>“Find companies, decision-makers, and potential business partners.”</w:t>
            </w:r>
          </w:p>
        </w:tc>
      </w:tr>
      <w:tr>
        <w:tc>
          <w:tcPr>
            <w:tcW w:type="dxa" w:w="2592"/>
          </w:tcPr>
          <w:p>
            <w:r/>
            <w:r>
              <w:rPr>
                <w:b/>
                <w:sz w:val="19"/>
              </w:rPr>
              <w:t>Other</w:t>
            </w:r>
          </w:p>
        </w:tc>
        <w:tc>
          <w:tcPr>
            <w:tcW w:type="dxa" w:w="7200"/>
          </w:tcPr>
          <w:p>
            <w:r/>
            <w:r>
              <w:rPr>
                <w:sz w:val="19"/>
              </w:rPr>
              <w:t>“Explore startup data tailored to your interests and goals.” No role-based angle — but not generic either, see D17.</w:t>
            </w:r>
          </w:p>
        </w:tc>
      </w:tr>
    </w:tbl>
    <w:p>
      <w:pPr>
        <w:spacing w:after="80"/>
      </w:pPr>
    </w:p>
    <w:p>
      <w:pPr>
        <w:pStyle w:val="Heading2"/>
      </w:pPr>
      <w:r>
        <w:t>Persona lens — D17, the pattern behind every generated question</w:t>
      </w:r>
    </w:p>
    <w:p>
      <w:pPr>
        <w:spacing w:after="160"/>
      </w:pPr>
      <w:r>
        <w:rPr>
          <w:i w:val="0"/>
          <w:sz w:val="21"/>
        </w:rPr>
        <w:t>The layer that applies regardless of topic — what each persona is always trying to learn, independent of the specific story. The Topic × Persona rubric below is this lens refined per story type: lens + topic-specific fact = the actual question.</w:t>
      </w:r>
    </w:p>
    <w:tbl>
      <w:tblPr>
        <w:tblStyle w:val="TableGrid"/>
        <w:tblW w:type="auto" w:w="0"/>
        <w:jc w:val="left"/>
        <w:tblLayout w:type="fixed"/>
        <w:tblLook w:firstColumn="1" w:firstRow="1" w:lastColumn="0" w:lastRow="0" w:noHBand="0" w:noVBand="1" w:val="04A0"/>
      </w:tblPr>
      <w:tblGrid>
        <w:gridCol w:w="1584"/>
        <w:gridCol w:w="2736"/>
        <w:gridCol w:w="2448"/>
        <w:gridCol w:w="3024"/>
      </w:tblGrid>
      <w:tr>
        <w:tc>
          <w:tcPr>
            <w:tcW w:type="dxa" w:w="1584"/>
            <w:shd w:val="clear" w:color="auto" w:fill="EFEFE7"/>
          </w:tcPr>
          <w:p>
            <w:r/>
            <w:r>
              <w:rPr>
                <w:b/>
                <w:color w:val="7B8091"/>
                <w:sz w:val="17"/>
              </w:rPr>
              <w:t>PERSONA</w:t>
            </w:r>
          </w:p>
        </w:tc>
        <w:tc>
          <w:tcPr>
            <w:tcW w:type="dxa" w:w="2736"/>
            <w:shd w:val="clear" w:color="auto" w:fill="EFEFE7"/>
          </w:tcPr>
          <w:p>
            <w:r/>
            <w:r>
              <w:rPr>
                <w:b/>
                <w:color w:val="7B8091"/>
                <w:sz w:val="17"/>
              </w:rPr>
              <w:t>LENS — WHAT THEY'RE ALWAYS TRYING TO LEARN</w:t>
            </w:r>
          </w:p>
        </w:tc>
        <w:tc>
          <w:tcPr>
            <w:tcW w:type="dxa" w:w="2448"/>
            <w:shd w:val="clear" w:color="auto" w:fill="EFEFE7"/>
          </w:tcPr>
          <w:p>
            <w:r/>
            <w:r>
              <w:rPr>
                <w:b/>
                <w:color w:val="7B8091"/>
                <w:sz w:val="17"/>
              </w:rPr>
              <w:t>QUESTION PATTERN</w:t>
            </w:r>
          </w:p>
        </w:tc>
        <w:tc>
          <w:tcPr>
            <w:tcW w:type="dxa" w:w="3024"/>
            <w:shd w:val="clear" w:color="auto" w:fill="EFEFE7"/>
          </w:tcPr>
          <w:p>
            <w:r/>
            <w:r>
              <w:rPr>
                <w:b/>
                <w:color w:val="7B8091"/>
                <w:sz w:val="17"/>
              </w:rPr>
              <w:t>EXAMPLE — ZEPTO'S $350M RAISE</w:t>
            </w:r>
          </w:p>
        </w:tc>
      </w:tr>
      <w:tr>
        <w:tc>
          <w:tcPr>
            <w:tcW w:type="dxa" w:w="1584"/>
          </w:tcPr>
          <w:p>
            <w:r/>
            <w:r>
              <w:rPr>
                <w:b/>
                <w:sz w:val="19"/>
              </w:rPr>
              <w:t>Founder</w:t>
            </w:r>
          </w:p>
        </w:tc>
        <w:tc>
          <w:tcPr>
            <w:tcW w:type="dxa" w:w="2736"/>
          </w:tcPr>
          <w:p>
            <w:r/>
            <w:r>
              <w:rPr>
                <w:sz w:val="19"/>
              </w:rPr>
              <w:t>What this means for running or growing their own company.</w:t>
            </w:r>
          </w:p>
        </w:tc>
        <w:tc>
          <w:tcPr>
            <w:tcW w:type="dxa" w:w="2448"/>
          </w:tcPr>
          <w:p>
            <w:r/>
            <w:r>
              <w:rPr>
                <w:sz w:val="19"/>
              </w:rPr>
              <w:t>[Fact] → what strategic or operational move does this reveal?</w:t>
            </w:r>
          </w:p>
        </w:tc>
        <w:tc>
          <w:tcPr>
            <w:tcW w:type="dxa" w:w="3024"/>
          </w:tcPr>
          <w:p>
            <w:r/>
            <w:r>
              <w:rPr>
                <w:sz w:val="19"/>
              </w:rPr>
              <w:t>“What's the playbook Zepto ran to close this round?”</w:t>
            </w:r>
          </w:p>
        </w:tc>
      </w:tr>
      <w:tr>
        <w:tc>
          <w:tcPr>
            <w:tcW w:type="dxa" w:w="1584"/>
          </w:tcPr>
          <w:p>
            <w:r/>
            <w:r>
              <w:rPr>
                <w:b/>
                <w:sz w:val="19"/>
              </w:rPr>
              <w:t>Investor</w:t>
            </w:r>
          </w:p>
        </w:tc>
        <w:tc>
          <w:tcPr>
            <w:tcW w:type="dxa" w:w="2736"/>
          </w:tcPr>
          <w:p>
            <w:r/>
            <w:r>
              <w:rPr>
                <w:sz w:val="19"/>
              </w:rPr>
              <w:t>Whether this changes conviction, risk, or valuation logic.</w:t>
            </w:r>
          </w:p>
        </w:tc>
        <w:tc>
          <w:tcPr>
            <w:tcW w:type="dxa" w:w="2448"/>
          </w:tcPr>
          <w:p>
            <w:r/>
            <w:r>
              <w:rPr>
                <w:sz w:val="19"/>
              </w:rPr>
              <w:t>[Fact] → what does this signal about risk or opportunity?</w:t>
            </w:r>
          </w:p>
        </w:tc>
        <w:tc>
          <w:tcPr>
            <w:tcW w:type="dxa" w:w="3024"/>
          </w:tcPr>
          <w:p>
            <w:r/>
            <w:r>
              <w:rPr>
                <w:sz w:val="19"/>
              </w:rPr>
              <w:t>“Why did investors bet $350M on Zepto right now?”</w:t>
            </w:r>
          </w:p>
        </w:tc>
      </w:tr>
      <w:tr>
        <w:tc>
          <w:tcPr>
            <w:tcW w:type="dxa" w:w="1584"/>
          </w:tcPr>
          <w:p>
            <w:r/>
            <w:r>
              <w:rPr>
                <w:b/>
                <w:sz w:val="19"/>
              </w:rPr>
              <w:t>Operator</w:t>
            </w:r>
          </w:p>
        </w:tc>
        <w:tc>
          <w:tcPr>
            <w:tcW w:type="dxa" w:w="2736"/>
          </w:tcPr>
          <w:p>
            <w:r/>
            <w:r>
              <w:rPr>
                <w:sz w:val="19"/>
              </w:rPr>
              <w:t>The broader market/industry signal, not the deal itself.</w:t>
            </w:r>
          </w:p>
        </w:tc>
        <w:tc>
          <w:tcPr>
            <w:tcW w:type="dxa" w:w="2448"/>
          </w:tcPr>
          <w:p>
            <w:r/>
            <w:r>
              <w:rPr>
                <w:sz w:val="19"/>
              </w:rPr>
              <w:t>[Fact] → what trend or shift does this represent?</w:t>
            </w:r>
          </w:p>
        </w:tc>
        <w:tc>
          <w:tcPr>
            <w:tcW w:type="dxa" w:w="3024"/>
          </w:tcPr>
          <w:p>
            <w:r/>
            <w:r>
              <w:rPr>
                <w:sz w:val="19"/>
              </w:rPr>
              <w:t>“What does this raise signal about momentum in quick-commerce?”</w:t>
            </w:r>
          </w:p>
        </w:tc>
      </w:tr>
      <w:tr>
        <w:tc>
          <w:tcPr>
            <w:tcW w:type="dxa" w:w="1584"/>
          </w:tcPr>
          <w:p>
            <w:r/>
            <w:r>
              <w:rPr>
                <w:b/>
                <w:sz w:val="19"/>
              </w:rPr>
              <w:t>BD &amp; Partnerships</w:t>
            </w:r>
          </w:p>
        </w:tc>
        <w:tc>
          <w:tcPr>
            <w:tcW w:type="dxa" w:w="2736"/>
          </w:tcPr>
          <w:p>
            <w:r/>
            <w:r>
              <w:rPr>
                <w:sz w:val="19"/>
              </w:rPr>
              <w:t>Who's involved, and what relationship doors this opens or closes.</w:t>
            </w:r>
          </w:p>
        </w:tc>
        <w:tc>
          <w:tcPr>
            <w:tcW w:type="dxa" w:w="2448"/>
          </w:tcPr>
          <w:p>
            <w:r/>
            <w:r>
              <w:rPr>
                <w:sz w:val="19"/>
              </w:rPr>
              <w:t>[Fact] → what partnership or collaboration angle does this create?</w:t>
            </w:r>
          </w:p>
        </w:tc>
        <w:tc>
          <w:tcPr>
            <w:tcW w:type="dxa" w:w="3024"/>
          </w:tcPr>
          <w:p>
            <w:r/>
            <w:r>
              <w:rPr>
                <w:sz w:val="19"/>
              </w:rPr>
              <w:t>“Does this change who's worth approaching for a quick-commerce partnership?”</w:t>
            </w:r>
          </w:p>
        </w:tc>
      </w:tr>
      <w:tr>
        <w:tc>
          <w:tcPr>
            <w:tcW w:type="dxa" w:w="1584"/>
          </w:tcPr>
          <w:p>
            <w:r/>
            <w:r>
              <w:rPr>
                <w:b/>
                <w:sz w:val="19"/>
              </w:rPr>
              <w:t>Other</w:t>
            </w:r>
          </w:p>
        </w:tc>
        <w:tc>
          <w:tcPr>
            <w:tcW w:type="dxa" w:w="2736"/>
          </w:tcPr>
          <w:p>
            <w:r/>
            <w:r>
              <w:rPr>
                <w:sz w:val="19"/>
              </w:rPr>
              <w:t>No role to lean on — but their followed topics/sectors from onboarding are already known (same data the brief ranking engine uses).</w:t>
            </w:r>
          </w:p>
        </w:tc>
        <w:tc>
          <w:tcPr>
            <w:tcW w:type="dxa" w:w="2448"/>
          </w:tcPr>
          <w:p>
            <w:r/>
            <w:r>
              <w:rPr>
                <w:sz w:val="19"/>
              </w:rPr>
              <w:t>[Fact] → framed through whichever followed topic/sector the story actually matches, not a role.</w:t>
            </w:r>
          </w:p>
        </w:tc>
        <w:tc>
          <w:tcPr>
            <w:tcW w:type="dxa" w:w="3024"/>
          </w:tcPr>
          <w:p>
            <w:r/>
            <w:r>
              <w:rPr>
                <w:sz w:val="19"/>
              </w:rPr>
              <w:t>Reader follows Consumer &amp; Ecommerce: “What does Zepto's raise mean for the quick-commerce names you're tracking?”</w:t>
            </w:r>
          </w:p>
        </w:tc>
      </w:tr>
    </w:tbl>
    <w:p>
      <w:pPr>
        <w:spacing w:after="80"/>
      </w:pPr>
    </w:p>
    <w:p>
      <w:pPr>
        <w:spacing w:after="160"/>
      </w:pPr>
      <w:r>
        <w:rPr>
          <w:i w:val="0"/>
          <w:sz w:val="21"/>
        </w:rPr>
        <w:t>Correction: “Other” doesn't mean unknown. Followed topics and sectors are captured at onboarding for every reader regardless of role — that's real signal, and D17's job for “Other” is to use it. The plain generic template is reserved for the actual error case: a reader with no role and no followed topics/sectors, or a generation failure with nothing to fall back on — not the normal path for an entire persona segment.</w:t>
      </w:r>
    </w:p>
    <w:tbl>
      <w:tblPr>
        <w:tblStyle w:val="TableGrid"/>
        <w:tblW w:type="auto" w:w="0"/>
        <w:jc w:val="left"/>
        <w:tblLayout w:type="fixed"/>
        <w:tblLook w:firstColumn="1" w:firstRow="1" w:lastColumn="0" w:lastRow="0" w:noHBand="0" w:noVBand="1" w:val="04A0"/>
      </w:tblPr>
      <w:tblGrid>
        <w:gridCol w:w="3168"/>
        <w:gridCol w:w="6624"/>
      </w:tblGrid>
      <w:tr>
        <w:tc>
          <w:tcPr>
            <w:tcW w:type="dxa" w:w="3168"/>
            <w:shd w:val="clear" w:color="auto" w:fill="EFEFE7"/>
          </w:tcPr>
          <w:p>
            <w:r/>
            <w:r>
              <w:rPr>
                <w:b/>
                <w:color w:val="7B8091"/>
                <w:sz w:val="17"/>
              </w:rPr>
              <w:t>SURFACE TYPE</w:t>
            </w:r>
          </w:p>
        </w:tc>
        <w:tc>
          <w:tcPr>
            <w:tcW w:type="dxa" w:w="6624"/>
            <w:shd w:val="clear" w:color="auto" w:fill="EFEFE7"/>
          </w:tcPr>
          <w:p>
            <w:r/>
            <w:r>
              <w:rPr>
                <w:b/>
                <w:color w:val="7B8091"/>
                <w:sz w:val="17"/>
              </w:rPr>
              <w:t>MECHANISM</w:t>
            </w:r>
          </w:p>
        </w:tc>
      </w:tr>
      <w:tr>
        <w:tc>
          <w:tcPr>
            <w:tcW w:type="dxa" w:w="3168"/>
          </w:tcPr>
          <w:p>
            <w:r/>
            <w:r>
              <w:rPr>
                <w:b/>
                <w:sz w:val="19"/>
              </w:rPr>
              <w:t>Company / sector — templated</w:t>
            </w:r>
          </w:p>
        </w:tc>
        <w:tc>
          <w:tcPr>
            <w:tcW w:type="dxa" w:w="6624"/>
          </w:tcPr>
          <w:p>
            <w:r/>
            <w:r>
              <w:rPr>
                <w:sz w:val="19"/>
              </w:rPr>
              <w:t>Persona sets the whole question; only the entity name varies. Low risk, no review bottleneck needed — the question is supposed to be category-level (“how is [Company] performing”), not story-specific.</w:t>
            </w:r>
          </w:p>
        </w:tc>
      </w:tr>
      <w:tr>
        <w:tc>
          <w:tcPr>
            <w:tcW w:type="dxa" w:w="3168"/>
          </w:tcPr>
          <w:p>
            <w:r/>
            <w:r>
              <w:rPr>
                <w:b/>
                <w:sz w:val="19"/>
              </w:rPr>
              <w:t>Article / story card — AI draft + editor review</w:t>
            </w:r>
          </w:p>
        </w:tc>
        <w:tc>
          <w:tcPr>
            <w:tcW w:type="dxa" w:w="6624"/>
          </w:tcPr>
          <w:p>
            <w:r/>
            <w:r>
              <w:rPr>
                <w:sz w:val="19"/>
              </w:rPr>
              <w:t>Persona + the article’s existing Topic tag (News/Deals/Financials/Trends/Regulatory/IPO/Team/Startups — already populated by the ranking engine, no new tagging infrastructure needed) set the generation rubric.</w:t>
            </w:r>
          </w:p>
        </w:tc>
      </w:tr>
    </w:tbl>
    <w:p>
      <w:pPr>
        <w:spacing w:after="80"/>
      </w:pPr>
    </w:p>
    <w:p>
      <w:pPr>
        <w:pStyle w:val="Heading2"/>
      </w:pPr>
      <w:r>
        <w:t>Topic × Persona rubric (representative slice)</w:t>
      </w:r>
    </w:p>
    <w:tbl>
      <w:tblPr>
        <w:tblStyle w:val="TableGrid"/>
        <w:tblW w:type="auto" w:w="0"/>
        <w:jc w:val="left"/>
        <w:tblLayout w:type="fixed"/>
        <w:tblLook w:firstColumn="1" w:firstRow="1" w:lastColumn="0" w:lastRow="0" w:noHBand="0" w:noVBand="1" w:val="04A0"/>
      </w:tblPr>
      <w:tblGrid>
        <w:gridCol w:w="1584"/>
        <w:gridCol w:w="1872"/>
        <w:gridCol w:w="6336"/>
      </w:tblGrid>
      <w:tr>
        <w:tc>
          <w:tcPr>
            <w:tcW w:type="dxa" w:w="1584"/>
            <w:shd w:val="clear" w:color="auto" w:fill="EFEFE7"/>
          </w:tcPr>
          <w:p>
            <w:r/>
            <w:r>
              <w:rPr>
                <w:b/>
                <w:color w:val="7B8091"/>
                <w:sz w:val="17"/>
              </w:rPr>
              <w:t>TOPIC</w:t>
            </w:r>
          </w:p>
        </w:tc>
        <w:tc>
          <w:tcPr>
            <w:tcW w:type="dxa" w:w="1872"/>
            <w:shd w:val="clear" w:color="auto" w:fill="EFEFE7"/>
          </w:tcPr>
          <w:p>
            <w:r/>
            <w:r>
              <w:rPr>
                <w:b/>
                <w:color w:val="7B8091"/>
                <w:sz w:val="17"/>
              </w:rPr>
              <w:t>PERSONA</w:t>
            </w:r>
          </w:p>
        </w:tc>
        <w:tc>
          <w:tcPr>
            <w:tcW w:type="dxa" w:w="6336"/>
            <w:shd w:val="clear" w:color="auto" w:fill="EFEFE7"/>
          </w:tcPr>
          <w:p>
            <w:r/>
            <w:r>
              <w:rPr>
                <w:b/>
                <w:color w:val="7B8091"/>
                <w:sz w:val="17"/>
              </w:rPr>
              <w:t>RUBRIC — WHAT THE DRAFT MUST FIND BEFORE AN EDITOR SEES IT</w:t>
            </w:r>
          </w:p>
        </w:tc>
      </w:tr>
      <w:tr>
        <w:tc>
          <w:tcPr>
            <w:tcW w:type="dxa" w:w="1584"/>
          </w:tcPr>
          <w:p>
            <w:r/>
            <w:r>
              <w:rPr>
                <w:b/>
                <w:sz w:val="19"/>
              </w:rPr>
              <w:t>Deals</w:t>
            </w:r>
          </w:p>
        </w:tc>
        <w:tc>
          <w:tcPr>
            <w:tcW w:type="dxa" w:w="1872"/>
          </w:tcPr>
          <w:p>
            <w:r/>
            <w:r>
              <w:rPr>
                <w:sz w:val="19"/>
              </w:rPr>
              <w:t>Investor</w:t>
            </w:r>
          </w:p>
        </w:tc>
        <w:tc>
          <w:tcPr>
            <w:tcW w:type="dxa" w:w="6336"/>
          </w:tcPr>
          <w:p>
            <w:r/>
            <w:r>
              <w:rPr>
                <w:sz w:val="19"/>
              </w:rPr>
              <w:t>The deal's specific number (size, valuation, multiple) → what it implies about investor conviction.</w:t>
            </w:r>
          </w:p>
        </w:tc>
      </w:tr>
      <w:tr>
        <w:tc>
          <w:tcPr>
            <w:tcW w:type="dxa" w:w="1584"/>
          </w:tcPr>
          <w:p>
            <w:r/>
            <w:r>
              <w:rPr>
                <w:b/>
                <w:sz w:val="19"/>
              </w:rPr>
              <w:t>Deals</w:t>
            </w:r>
          </w:p>
        </w:tc>
        <w:tc>
          <w:tcPr>
            <w:tcW w:type="dxa" w:w="1872"/>
          </w:tcPr>
          <w:p>
            <w:r/>
            <w:r>
              <w:rPr>
                <w:sz w:val="19"/>
              </w:rPr>
              <w:t>Founder</w:t>
            </w:r>
          </w:p>
        </w:tc>
        <w:tc>
          <w:tcPr>
            <w:tcW w:type="dxa" w:w="6336"/>
          </w:tcPr>
          <w:p>
            <w:r/>
            <w:r>
              <w:rPr>
                <w:sz w:val="19"/>
              </w:rPr>
              <w:t>The structure or terms named → what playbook it reveals.</w:t>
            </w:r>
          </w:p>
        </w:tc>
      </w:tr>
      <w:tr>
        <w:tc>
          <w:tcPr>
            <w:tcW w:type="dxa" w:w="1584"/>
          </w:tcPr>
          <w:p>
            <w:r/>
            <w:r>
              <w:rPr>
                <w:b/>
                <w:sz w:val="19"/>
              </w:rPr>
              <w:t>Regulatory</w:t>
            </w:r>
          </w:p>
        </w:tc>
        <w:tc>
          <w:tcPr>
            <w:tcW w:type="dxa" w:w="1872"/>
          </w:tcPr>
          <w:p>
            <w:r/>
            <w:r>
              <w:rPr>
                <w:sz w:val="19"/>
              </w:rPr>
              <w:t>Founder</w:t>
            </w:r>
          </w:p>
        </w:tc>
        <w:tc>
          <w:tcPr>
            <w:tcW w:type="dxa" w:w="6336"/>
          </w:tcPr>
          <w:p>
            <w:r/>
            <w:r>
              <w:rPr>
                <w:sz w:val="19"/>
              </w:rPr>
              <w:t>The specific rule or deadline named → what it forces the founder to change.</w:t>
            </w:r>
          </w:p>
        </w:tc>
      </w:tr>
      <w:tr>
        <w:tc>
          <w:tcPr>
            <w:tcW w:type="dxa" w:w="1584"/>
          </w:tcPr>
          <w:p>
            <w:r/>
            <w:r>
              <w:rPr>
                <w:b/>
                <w:sz w:val="19"/>
              </w:rPr>
              <w:t>Regulatory</w:t>
            </w:r>
          </w:p>
        </w:tc>
        <w:tc>
          <w:tcPr>
            <w:tcW w:type="dxa" w:w="1872"/>
          </w:tcPr>
          <w:p>
            <w:r/>
            <w:r>
              <w:rPr>
                <w:sz w:val="19"/>
              </w:rPr>
              <w:t>Investor</w:t>
            </w:r>
          </w:p>
        </w:tc>
        <w:tc>
          <w:tcPr>
            <w:tcW w:type="dxa" w:w="6336"/>
          </w:tcPr>
          <w:p>
            <w:r/>
            <w:r>
              <w:rPr>
                <w:sz w:val="19"/>
              </w:rPr>
              <w:t>The named policy shift → whether it changes the sector's risk profile.</w:t>
            </w:r>
          </w:p>
        </w:tc>
      </w:tr>
      <w:tr>
        <w:tc>
          <w:tcPr>
            <w:tcW w:type="dxa" w:w="1584"/>
          </w:tcPr>
          <w:p>
            <w:r/>
            <w:r>
              <w:rPr>
                <w:b/>
                <w:sz w:val="19"/>
              </w:rPr>
              <w:t>Team</w:t>
            </w:r>
          </w:p>
        </w:tc>
        <w:tc>
          <w:tcPr>
            <w:tcW w:type="dxa" w:w="1872"/>
          </w:tcPr>
          <w:p>
            <w:r/>
            <w:r>
              <w:rPr>
                <w:sz w:val="19"/>
              </w:rPr>
              <w:t>Investor</w:t>
            </w:r>
          </w:p>
        </w:tc>
        <w:tc>
          <w:tcPr>
            <w:tcW w:type="dxa" w:w="6336"/>
          </w:tcPr>
          <w:p>
            <w:r/>
            <w:r>
              <w:rPr>
                <w:sz w:val="19"/>
              </w:rPr>
              <w:t>The specific role or person who moved → what it signals.</w:t>
            </w:r>
          </w:p>
        </w:tc>
      </w:tr>
    </w:tbl>
    <w:p>
      <w:pPr>
        <w:spacing w:after="80"/>
      </w:pPr>
    </w:p>
    <w:p>
      <w:pPr>
        <w:spacing w:after="200"/>
      </w:pPr>
      <w:r>
        <w:rPr>
          <w:i/>
          <w:color w:val="7B8091"/>
          <w:sz w:val="18"/>
        </w:rPr>
        <w:t>Representative slice — the full 8-topic × persona grid follows the same logic.</w:t>
      </w:r>
    </w:p>
    <w:p>
      <w:pPr>
        <w:pStyle w:val="Heading2"/>
      </w:pPr>
      <w:r>
        <w:t>Pipeline, step by step</w:t>
      </w:r>
    </w:p>
    <w:p>
      <w:pPr>
        <w:pStyle w:val="ListNumber"/>
      </w:pPr>
      <w:r>
        <w:rPr>
          <w:sz w:val="21"/>
        </w:rPr>
        <w:t>Editor publishes an article, same as today.</w:t>
      </w:r>
    </w:p>
    <w:p>
      <w:pPr>
        <w:pStyle w:val="ListNumber"/>
      </w:pPr>
      <w:r>
        <w:rPr>
          <w:sz w:val="21"/>
        </w:rPr>
        <w:t>AI drafts one title per persona, using the rubric above, shown to the editor right there in the publish flow.</w:t>
      </w:r>
    </w:p>
    <w:p>
      <w:pPr>
        <w:pStyle w:val="ListNumber"/>
      </w:pPr>
      <w:r>
        <w:rPr>
          <w:sz w:val="21"/>
        </w:rPr>
        <w:t>Editor edits any title directly if it reads off, same as they’d fix a headline. Nothing further to approve.</w:t>
      </w:r>
    </w:p>
    <w:p>
      <w:pPr>
        <w:pStyle w:val="ListNumber"/>
      </w:pPr>
      <w:r>
        <w:rPr>
          <w:sz w:val="21"/>
        </w:rPr>
        <w:t>Article goes live with its titles attached.</w:t>
      </w:r>
    </w:p>
    <w:p>
      <w:pPr>
        <w:pStyle w:val="Heading2"/>
      </w:pPr>
      <w:r>
        <w:t>Functional spec</w:t>
      </w:r>
    </w:p>
    <w:tbl>
      <w:tblPr>
        <w:tblStyle w:val="TableGrid"/>
        <w:tblW w:type="auto" w:w="0"/>
        <w:jc w:val="left"/>
        <w:tblLayout w:type="fixed"/>
        <w:tblLook w:firstColumn="1" w:firstRow="1" w:lastColumn="0" w:lastRow="0" w:noHBand="0" w:noVBand="1" w:val="04A0"/>
      </w:tblPr>
      <w:tblGrid>
        <w:gridCol w:w="3456"/>
        <w:gridCol w:w="6336"/>
      </w:tblGrid>
      <w:tr>
        <w:tc>
          <w:tcPr>
            <w:tcW w:type="dxa" w:w="3456"/>
            <w:shd w:val="clear" w:color="auto" w:fill="EFEFE7"/>
          </w:tcPr>
          <w:p>
            <w:r/>
            <w:r>
              <w:rPr>
                <w:b/>
                <w:color w:val="7B8091"/>
                <w:sz w:val="17"/>
              </w:rPr>
              <w:t>SPEC ITEM</w:t>
            </w:r>
          </w:p>
        </w:tc>
        <w:tc>
          <w:tcPr>
            <w:tcW w:type="dxa" w:w="6336"/>
            <w:shd w:val="clear" w:color="auto" w:fill="EFEFE7"/>
          </w:tcPr>
          <w:p>
            <w:r/>
            <w:r>
              <w:rPr>
                <w:b/>
                <w:color w:val="7B8091"/>
                <w:sz w:val="17"/>
              </w:rPr>
              <w:t>VALUE, AND WHY</w:t>
            </w:r>
          </w:p>
        </w:tc>
      </w:tr>
      <w:tr>
        <w:tc>
          <w:tcPr>
            <w:tcW w:type="dxa" w:w="3456"/>
          </w:tcPr>
          <w:p>
            <w:r/>
            <w:r>
              <w:rPr>
                <w:b/>
                <w:sz w:val="19"/>
              </w:rPr>
              <w:t>Chips shown per surface</w:t>
            </w:r>
          </w:p>
        </w:tc>
        <w:tc>
          <w:tcPr>
            <w:tcW w:type="dxa" w:w="6336"/>
          </w:tcPr>
          <w:p>
            <w:r/>
            <w:r>
              <w:rPr>
                <w:sz w:val="19"/>
              </w:rPr>
              <w:t>1 on article/company/sector, 1 on story card. More than one competes for attention against the single-tap-and-done interaction this feature is built around (Section 01).</w:t>
            </w:r>
          </w:p>
        </w:tc>
      </w:tr>
      <w:tr>
        <w:tc>
          <w:tcPr>
            <w:tcW w:type="dxa" w:w="3456"/>
          </w:tcPr>
          <w:p>
            <w:r/>
            <w:r>
              <w:rPr>
                <w:b/>
                <w:sz w:val="19"/>
              </w:rPr>
              <w:t>Character limit</w:t>
            </w:r>
          </w:p>
        </w:tc>
        <w:tc>
          <w:tcPr>
            <w:tcW w:type="dxa" w:w="6336"/>
          </w:tcPr>
          <w:p>
            <w:r/>
            <w:r>
              <w:rPr>
                <w:sz w:val="19"/>
              </w:rPr>
              <w:t>~70 characters — fits one line at the card widths already mocked up (Appendix) without wrapping.</w:t>
            </w:r>
          </w:p>
        </w:tc>
      </w:tr>
      <w:tr>
        <w:tc>
          <w:tcPr>
            <w:tcW w:type="dxa" w:w="3456"/>
          </w:tcPr>
          <w:p>
            <w:r/>
            <w:r>
              <w:rPr>
                <w:b/>
                <w:sz w:val="19"/>
              </w:rPr>
              <w:t>Reader's persona changes after a title was drafted</w:t>
            </w:r>
          </w:p>
        </w:tc>
        <w:tc>
          <w:tcPr>
            <w:tcW w:type="dxa" w:w="6336"/>
          </w:tcPr>
          <w:p>
            <w:r/>
            <w:r>
              <w:rPr>
                <w:sz w:val="19"/>
              </w:rPr>
              <w:t>Re-select the already-drafted variant matching the new persona — all personas are drafted together at publish time, so this is a lookup, not a new generation event.</w:t>
            </w:r>
          </w:p>
        </w:tc>
      </w:tr>
    </w:tbl>
    <w:p>
      <w:pPr>
        <w:spacing w:after="80"/>
      </w:pPr>
    </w:p>
    <w:p>
      <w:pPr>
        <w:spacing w:after="160"/>
      </w:pPr>
      <w:r>
        <w:rPr>
          <w:i w:val="0"/>
          <w:sz w:val="21"/>
        </w:rPr>
        <w:t>D11 — The chatbot also needs to be trained on app-specific knowledge, not just article/Datalab content: Watchlist queries (“what’s happening in my tracked companies,” Section 02) require the model to reason over the reader’s own app state, not just published articles.</w:t>
      </w:r>
    </w:p>
    <w:p>
      <w:pPr>
        <w:pStyle w:val="Heading2"/>
      </w:pPr>
      <w:r>
        <w:t>Context resolution — how a surface’s implicit question actually reaches the model</w:t>
      </w:r>
    </w:p>
    <w:p>
      <w:pPr>
        <w:spacing w:after="160"/>
      </w:pPr>
      <w:r>
        <w:rPr>
          <w:i w:val="0"/>
          <w:sz w:val="21"/>
        </w:rPr>
        <w:t>Every surface in Section 02/10 is built on the assumption that the system already knows what the reader is looking at. Mechanically, that means each surface passes what page it is and which entity is on it — a company page passes company = Zepto, a sector page passes sector = Fintech.</w:t>
      </w:r>
    </w:p>
    <w:p>
      <w:pPr>
        <w:spacing w:after="160"/>
      </w:pPr>
      <w:r>
        <w:rPr>
          <w:i w:val="0"/>
          <w:sz w:val="21"/>
        </w:rPr>
        <w:t>That context is the primary frame for the entire thread, not just the seeded first question. If a reader taps the Founder chip on Zepto's company page (“How will this help me?”), every follow-up in that same conversation is still about Zepto by default — the reader doesn't have to keep repeating the company name. This is the same rule on every surface: story card, article, company, sector. Context only shifts away from the original entity when the reader explicitly asks about something else within the thread — at that point the new topic takes over as the primary frame. The exact detection logic for “explicitly asks about something else” is engineering's call, not specified here; the product rule — sticky by default, overridden only on an explicit topic change — is what's locked.</w:t>
      </w:r>
    </w:p>
    <w:tbl>
      <w:tblPr>
        <w:tblStyle w:val="TableGrid"/>
        <w:tblW w:type="auto" w:w="0"/>
        <w:jc w:val="left"/>
        <w:tblLayout w:type="fixed"/>
        <w:tblLook w:firstColumn="1" w:firstRow="1" w:lastColumn="0" w:lastRow="0" w:noHBand="0" w:noVBand="1" w:val="04A0"/>
      </w:tblPr>
      <w:tblGrid>
        <w:gridCol w:w="3168"/>
        <w:gridCol w:w="6624"/>
      </w:tblGrid>
      <w:tr>
        <w:tc>
          <w:tcPr>
            <w:tcW w:type="dxa" w:w="3168"/>
            <w:shd w:val="clear" w:color="auto" w:fill="EFEFE7"/>
          </w:tcPr>
          <w:p>
            <w:r/>
            <w:r>
              <w:rPr>
                <w:b/>
                <w:color w:val="7B8091"/>
                <w:sz w:val="17"/>
              </w:rPr>
              <w:t>SURFACE</w:t>
            </w:r>
          </w:p>
        </w:tc>
        <w:tc>
          <w:tcPr>
            <w:tcW w:type="dxa" w:w="6624"/>
            <w:shd w:val="clear" w:color="auto" w:fill="EFEFE7"/>
          </w:tcPr>
          <w:p>
            <w:r/>
            <w:r>
              <w:rPr>
                <w:b/>
                <w:color w:val="7B8091"/>
                <w:sz w:val="17"/>
              </w:rPr>
              <w:t>WHAT GETS PASSED AUTOMATICALLY</w:t>
            </w:r>
          </w:p>
        </w:tc>
      </w:tr>
      <w:tr>
        <w:tc>
          <w:tcPr>
            <w:tcW w:type="dxa" w:w="3168"/>
          </w:tcPr>
          <w:p>
            <w:r/>
            <w:r>
              <w:rPr>
                <w:b/>
                <w:sz w:val="19"/>
              </w:rPr>
              <w:t>Story card / article</w:t>
            </w:r>
          </w:p>
        </w:tc>
        <w:tc>
          <w:tcPr>
            <w:tcW w:type="dxa" w:w="6624"/>
          </w:tcPr>
          <w:p>
            <w:r/>
            <w:r>
              <w:rPr>
                <w:sz w:val="19"/>
              </w:rPr>
              <w:t>The article itself.</w:t>
            </w:r>
          </w:p>
        </w:tc>
      </w:tr>
      <w:tr>
        <w:tc>
          <w:tcPr>
            <w:tcW w:type="dxa" w:w="3168"/>
          </w:tcPr>
          <w:p>
            <w:r/>
            <w:r>
              <w:rPr>
                <w:b/>
                <w:sz w:val="19"/>
              </w:rPr>
              <w:t>Company page</w:t>
            </w:r>
          </w:p>
        </w:tc>
        <w:tc>
          <w:tcPr>
            <w:tcW w:type="dxa" w:w="6624"/>
          </w:tcPr>
          <w:p>
            <w:r/>
            <w:r>
              <w:rPr>
                <w:sz w:val="19"/>
              </w:rPr>
              <w:t>The company.</w:t>
            </w:r>
          </w:p>
        </w:tc>
      </w:tr>
      <w:tr>
        <w:tc>
          <w:tcPr>
            <w:tcW w:type="dxa" w:w="3168"/>
          </w:tcPr>
          <w:p>
            <w:r/>
            <w:r>
              <w:rPr>
                <w:b/>
                <w:sz w:val="19"/>
              </w:rPr>
              <w:t>Sector page</w:t>
            </w:r>
          </w:p>
        </w:tc>
        <w:tc>
          <w:tcPr>
            <w:tcW w:type="dxa" w:w="6624"/>
          </w:tcPr>
          <w:p>
            <w:r/>
            <w:r>
              <w:rPr>
                <w:sz w:val="19"/>
              </w:rPr>
              <w:t>The sector.</w:t>
            </w:r>
          </w:p>
        </w:tc>
      </w:tr>
      <w:tr>
        <w:tc>
          <w:tcPr>
            <w:tcW w:type="dxa" w:w="3168"/>
          </w:tcPr>
          <w:p>
            <w:r/>
            <w:r>
              <w:rPr>
                <w:b/>
                <w:sz w:val="19"/>
              </w:rPr>
              <w:t>Watchlist</w:t>
            </w:r>
          </w:p>
        </w:tc>
        <w:tc>
          <w:tcPr>
            <w:tcW w:type="dxa" w:w="6624"/>
          </w:tcPr>
          <w:p>
            <w:r/>
            <w:r>
              <w:rPr>
                <w:sz w:val="19"/>
              </w:rPr>
              <w:t>Not entity-specific — the rotating message pool (D7) doesn't need this.</w:t>
            </w:r>
          </w:p>
        </w:tc>
      </w:tr>
    </w:tbl>
    <w:p>
      <w:pPr>
        <w:spacing w:after="80"/>
      </w:pPr>
    </w:p>
    <w:p>
      <w:pPr>
        <w:pStyle w:val="Heading2"/>
      </w:pPr>
      <w:r>
        <w:t>Response format</w:t>
      </w:r>
    </w:p>
    <w:p>
      <w:pPr>
        <w:spacing w:after="160"/>
      </w:pPr>
      <w:r>
        <w:rPr>
          <w:i w:val="0"/>
          <w:sz w:val="21"/>
        </w:rPr>
        <w:t>Applies to every AskInc42 response in the app, not a toggle — mobile is the only context this ships in.</w:t>
      </w:r>
    </w:p>
    <w:tbl>
      <w:tblPr>
        <w:tblStyle w:val="TableGrid"/>
        <w:tblW w:type="auto" w:w="0"/>
        <w:jc w:val="left"/>
        <w:tblLayout w:type="fixed"/>
        <w:tblLook w:firstColumn="1" w:firstRow="1" w:lastColumn="0" w:lastRow="0" w:noHBand="0" w:noVBand="1" w:val="04A0"/>
      </w:tblPr>
      <w:tblGrid>
        <w:gridCol w:w="3744"/>
        <w:gridCol w:w="6048"/>
      </w:tblGrid>
      <w:tr>
        <w:tc>
          <w:tcPr>
            <w:tcW w:type="dxa" w:w="3744"/>
            <w:shd w:val="clear" w:color="auto" w:fill="EFEFE7"/>
          </w:tcPr>
          <w:p>
            <w:r/>
            <w:r>
              <w:rPr>
                <w:b/>
                <w:color w:val="7B8091"/>
                <w:sz w:val="17"/>
              </w:rPr>
              <w:t>CONSTRAINT</w:t>
            </w:r>
          </w:p>
        </w:tc>
        <w:tc>
          <w:tcPr>
            <w:tcW w:type="dxa" w:w="6048"/>
            <w:shd w:val="clear" w:color="auto" w:fill="EFEFE7"/>
          </w:tcPr>
          <w:p>
            <w:r/>
            <w:r>
              <w:rPr>
                <w:b/>
                <w:color w:val="7B8091"/>
                <w:sz w:val="17"/>
              </w:rPr>
              <w:t>WHY</w:t>
            </w:r>
          </w:p>
        </w:tc>
      </w:tr>
      <w:tr>
        <w:tc>
          <w:tcPr>
            <w:tcW w:type="dxa" w:w="3744"/>
          </w:tcPr>
          <w:p>
            <w:r/>
            <w:r>
              <w:rPr>
                <w:b/>
                <w:sz w:val="19"/>
              </w:rPr>
              <w:t>~150–200 words per response</w:t>
            </w:r>
          </w:p>
        </w:tc>
        <w:tc>
          <w:tcPr>
            <w:tcW w:type="dxa" w:w="6048"/>
          </w:tcPr>
          <w:p>
            <w:r/>
            <w:r>
              <w:rPr>
                <w:sz w:val="19"/>
              </w:rPr>
              <w:t>A “wall of text” doesn't render as a usable answer on a phone screen.</w:t>
            </w:r>
          </w:p>
        </w:tc>
      </w:tr>
      <w:tr>
        <w:tc>
          <w:tcPr>
            <w:tcW w:type="dxa" w:w="3744"/>
          </w:tcPr>
          <w:p>
            <w:r/>
            <w:r>
              <w:rPr>
                <w:b/>
                <w:sz w:val="19"/>
              </w:rPr>
              <w:t>No Markdown tables — bullet points instead</w:t>
            </w:r>
          </w:p>
        </w:tc>
        <w:tc>
          <w:tcPr>
            <w:tcW w:type="dxa" w:w="6048"/>
          </w:tcPr>
          <w:p>
            <w:r/>
            <w:r>
              <w:rPr>
                <w:sz w:val="19"/>
              </w:rPr>
              <w:t>Tables break native mobile UI renderers.</w:t>
            </w:r>
          </w:p>
        </w:tc>
      </w:tr>
      <w:tr>
        <w:tc>
          <w:tcPr>
            <w:tcW w:type="dxa" w:w="3744"/>
          </w:tcPr>
          <w:p>
            <w:r/>
            <w:r>
              <w:rPr>
                <w:b/>
                <w:sz w:val="19"/>
              </w:rPr>
              <w:t>Sources as tappable citation cards, not inline links</w:t>
            </w:r>
          </w:p>
        </w:tc>
        <w:tc>
          <w:tcPr>
            <w:tcW w:type="dxa" w:w="6048"/>
          </w:tcPr>
          <w:p>
            <w:r/>
            <w:r>
              <w:rPr>
                <w:sz w:val="19"/>
              </w:rPr>
              <w:t>Sources are extracted separately and rendered as cards, not left as raw links in the text — this is what makes the trust positioning in Section 04 visible, not just claimed.</w:t>
            </w:r>
          </w:p>
        </w:tc>
      </w:tr>
    </w:tbl>
    <w:p>
      <w:pPr>
        <w:spacing w:after="80"/>
      </w:pPr>
    </w:p>
    <w:p>
      <w:pPr>
        <w:pStyle w:val="Heading2"/>
      </w:pPr>
      <w:r>
        <w:t>Latency guardrails — D15</w:t>
      </w:r>
    </w:p>
    <w:tbl>
      <w:tblPr>
        <w:tblStyle w:val="TableGrid"/>
        <w:tblW w:type="auto" w:w="0"/>
        <w:jc w:val="left"/>
        <w:tblLayout w:type="fixed"/>
        <w:tblLook w:firstColumn="1" w:firstRow="1" w:lastColumn="0" w:lastRow="0" w:noHBand="0" w:noVBand="1" w:val="04A0"/>
      </w:tblPr>
      <w:tblGrid>
        <w:gridCol w:w="1584"/>
        <w:gridCol w:w="1872"/>
        <w:gridCol w:w="1872"/>
        <w:gridCol w:w="4464"/>
      </w:tblGrid>
      <w:tr>
        <w:tc>
          <w:tcPr>
            <w:tcW w:type="dxa" w:w="1584"/>
            <w:shd w:val="clear" w:color="auto" w:fill="EFEFE7"/>
          </w:tcPr>
          <w:p>
            <w:r/>
            <w:r>
              <w:rPr>
                <w:b/>
                <w:color w:val="7B8091"/>
                <w:sz w:val="17"/>
              </w:rPr>
              <w:t>MODE</w:t>
            </w:r>
          </w:p>
        </w:tc>
        <w:tc>
          <w:tcPr>
            <w:tcW w:type="dxa" w:w="1872"/>
            <w:shd w:val="clear" w:color="auto" w:fill="EFEFE7"/>
          </w:tcPr>
          <w:p>
            <w:r/>
            <w:r>
              <w:rPr>
                <w:b/>
                <w:color w:val="7B8091"/>
                <w:sz w:val="17"/>
              </w:rPr>
              <w:t>TARGET</w:t>
            </w:r>
          </w:p>
        </w:tc>
        <w:tc>
          <w:tcPr>
            <w:tcW w:type="dxa" w:w="1872"/>
            <w:shd w:val="clear" w:color="auto" w:fill="EFEFE7"/>
          </w:tcPr>
          <w:p>
            <w:r/>
            <w:r>
              <w:rPr>
                <w:b/>
                <w:color w:val="7B8091"/>
                <w:sz w:val="17"/>
              </w:rPr>
              <w:t>HARD MAX</w:t>
            </w:r>
          </w:p>
        </w:tc>
        <w:tc>
          <w:tcPr>
            <w:tcW w:type="dxa" w:w="4464"/>
            <w:shd w:val="clear" w:color="auto" w:fill="EFEFE7"/>
          </w:tcPr>
          <w:p>
            <w:r/>
            <w:r>
              <w:rPr>
                <w:b/>
                <w:color w:val="7B8091"/>
                <w:sz w:val="17"/>
              </w:rPr>
              <w:t>NOTES</w:t>
            </w:r>
          </w:p>
        </w:tc>
      </w:tr>
      <w:tr>
        <w:tc>
          <w:tcPr>
            <w:tcW w:type="dxa" w:w="1584"/>
          </w:tcPr>
          <w:p>
            <w:r/>
            <w:r>
              <w:rPr>
                <w:b/>
                <w:sz w:val="19"/>
              </w:rPr>
              <w:t>Fast</w:t>
            </w:r>
          </w:p>
        </w:tc>
        <w:tc>
          <w:tcPr>
            <w:tcW w:type="dxa" w:w="1872"/>
          </w:tcPr>
          <w:p>
            <w:r/>
            <w:r>
              <w:rPr>
                <w:sz w:val="19"/>
              </w:rPr>
              <w:t>5 seconds</w:t>
            </w:r>
          </w:p>
        </w:tc>
        <w:tc>
          <w:tcPr>
            <w:tcW w:type="dxa" w:w="1872"/>
          </w:tcPr>
          <w:p>
            <w:r/>
            <w:r>
              <w:rPr>
                <w:sz w:val="19"/>
              </w:rPr>
              <w:t>10 seconds</w:t>
            </w:r>
          </w:p>
        </w:tc>
        <w:tc>
          <w:tcPr>
            <w:tcW w:type="dxa" w:w="4464"/>
          </w:tcPr>
          <w:p>
            <w:r/>
            <w:r>
              <w:rPr>
                <w:sz w:val="19"/>
              </w:rPr>
              <w:t>Fast mode exists specifically to feel instant — 10s is a ceiling, not a normal case.</w:t>
            </w:r>
          </w:p>
        </w:tc>
      </w:tr>
      <w:tr>
        <w:tc>
          <w:tcPr>
            <w:tcW w:type="dxa" w:w="1584"/>
          </w:tcPr>
          <w:p>
            <w:r/>
            <w:r>
              <w:rPr>
                <w:b/>
                <w:sz w:val="19"/>
              </w:rPr>
              <w:t>Deep</w:t>
            </w:r>
          </w:p>
        </w:tc>
        <w:tc>
          <w:tcPr>
            <w:tcW w:type="dxa" w:w="1872"/>
          </w:tcPr>
          <w:p>
            <w:r/>
            <w:r>
              <w:rPr>
                <w:sz w:val="19"/>
              </w:rPr>
              <w:t>—</w:t>
            </w:r>
          </w:p>
        </w:tc>
        <w:tc>
          <w:tcPr>
            <w:tcW w:type="dxa" w:w="1872"/>
          </w:tcPr>
          <w:p>
            <w:r/>
            <w:r>
              <w:rPr>
                <w:sz w:val="19"/>
              </w:rPr>
              <w:t>30 seconds</w:t>
            </w:r>
          </w:p>
        </w:tc>
        <w:tc>
          <w:tcPr>
            <w:tcW w:type="dxa" w:w="4464"/>
          </w:tcPr>
          <w:p>
            <w:r/>
            <w:r>
              <w:rPr>
                <w:sz w:val="19"/>
              </w:rPr>
              <w:t>Deep mode trades speed for Datalab-grounded depth; 30s is the outer bound, not a target to hit exactly.</w:t>
            </w:r>
          </w:p>
        </w:tc>
      </w:tr>
    </w:tbl>
    <w:p>
      <w:pPr>
        <w:spacing w:after="80"/>
      </w:pPr>
    </w:p>
    <w:p>
      <w:pPr>
        <w:spacing w:after="160"/>
      </w:pPr>
      <w:r>
        <w:rPr>
          <w:i/>
          <w:color w:val="7B8091"/>
          <w:sz w:val="18"/>
        </w:rPr>
        <w:t>Current backend latency runs 8–25 seconds under load — already over the Fast mode ceiling. Closing that gap is an engineering dependency, not something this document solves, but Section 03's “faster than web” positioning is only true once it does.</w:t>
      </w:r>
    </w:p>
    <w:p>
      <w:pPr>
        <w:pStyle w:val="Heading1"/>
      </w:pPr>
      <w:r>
        <w:t>07. How do we make it accessible?</w:t>
      </w:r>
    </w:p>
    <w:p>
      <w:pPr>
        <w:pStyle w:val="Heading2"/>
      </w:pPr>
      <w:r>
        <w:t>Logged in</w:t>
      </w:r>
    </w:p>
    <w:p>
      <w:pPr>
        <w:pStyle w:val="ListNumber"/>
      </w:pPr>
      <w:r>
        <w:rPr>
          <w:sz w:val="21"/>
        </w:rPr>
        <w:t>Reader taps a chip on any placed surface (Section 10).</w:t>
      </w:r>
    </w:p>
    <w:p>
      <w:pPr>
        <w:pStyle w:val="ListNumber"/>
      </w:pPr>
      <w:r>
        <w:rPr>
          <w:sz w:val="21"/>
        </w:rPr>
        <w:t>Chat opens and auto-fires immediately — no second tap.</w:t>
      </w:r>
    </w:p>
    <w:p>
      <w:pPr>
        <w:pStyle w:val="ListNumber"/>
      </w:pPr>
      <w:r>
        <w:rPr>
          <w:sz w:val="21"/>
        </w:rPr>
        <w:t>Response streams in; thumbs up/down available once it lands.</w:t>
      </w:r>
    </w:p>
    <w:p>
      <w:pPr>
        <w:pStyle w:val="Heading2"/>
      </w:pPr>
      <w:r>
        <w:t>Logged out</w:t>
      </w:r>
    </w:p>
    <w:p>
      <w:pPr>
        <w:pStyle w:val="ListNumber"/>
      </w:pPr>
      <w:r>
        <w:rPr>
          <w:sz w:val="21"/>
        </w:rPr>
        <w:t>Chip is visible and tappable — not hidden from logged-out readers.</w:t>
      </w:r>
    </w:p>
    <w:p>
      <w:pPr>
        <w:pStyle w:val="ListNumber"/>
      </w:pPr>
      <w:r>
        <w:rPr>
          <w:sz w:val="21"/>
        </w:rPr>
        <w:t>Tapping opens the chat with the question pre-filled in the composer, not sent.</w:t>
      </w:r>
    </w:p>
    <w:p>
      <w:pPr>
        <w:pStyle w:val="ListNumber"/>
      </w:pPr>
      <w:r>
        <w:rPr>
          <w:sz w:val="21"/>
        </w:rPr>
        <w:t>Message sends only when the reader hits Enter/Send themselves.</w:t>
      </w:r>
    </w:p>
    <w:p>
      <w:pPr>
        <w:pStyle w:val="Heading2"/>
      </w:pPr>
      <w:r>
        <w:t>Reader leaves before the response is ready</w:t>
      </w:r>
    </w:p>
    <w:p>
      <w:pPr>
        <w:pStyle w:val="ListNumber"/>
      </w:pPr>
      <w:r>
        <w:rPr>
          <w:sz w:val="21"/>
        </w:rPr>
        <w:t>Reader sends a question, then closes the app before the response finishes.</w:t>
      </w:r>
    </w:p>
    <w:p>
      <w:pPr>
        <w:pStyle w:val="ListNumber"/>
      </w:pPr>
      <w:r>
        <w:rPr>
          <w:sz w:val="21"/>
        </w:rPr>
        <w:t>Once it’s ready, a push notification is sent: “Your AskInc42 response is ready — tap to view.”</w:t>
      </w:r>
    </w:p>
    <w:p>
      <w:pPr>
        <w:pStyle w:val="ListNumber"/>
      </w:pPr>
      <w:r>
        <w:rPr>
          <w:sz w:val="21"/>
        </w:rPr>
        <w:t>Tapping the notification opens straight into that response.</w:t>
      </w:r>
    </w:p>
    <w:p>
      <w:pPr>
        <w:pStyle w:val="Heading1"/>
      </w:pPr>
      <w:r>
        <w:t>08. How gated is it?</w:t>
      </w:r>
    </w:p>
    <w:p>
      <w:pPr>
        <w:spacing w:after="160"/>
      </w:pPr>
      <w:r>
        <w:rPr>
          <w:i w:val="0"/>
          <w:sz w:val="21"/>
        </w:rPr>
        <w:t>No paid version (D8). There is no gating. Fast mode and Deep mode are both free to use, for now.</w:t>
      </w:r>
    </w:p>
    <w:p>
      <w:pPr>
        <w:pStyle w:val="Heading1"/>
      </w:pPr>
      <w:r>
        <w:t>09. Terms &amp; conditions, privacy policy</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ITEM</w:t>
            </w:r>
          </w:p>
        </w:tc>
        <w:tc>
          <w:tcPr>
            <w:tcW w:type="dxa" w:w="7200"/>
            <w:shd w:val="clear" w:color="auto" w:fill="EFEFE7"/>
          </w:tcPr>
          <w:p>
            <w:r/>
            <w:r>
              <w:rPr>
                <w:b/>
                <w:color w:val="7B8091"/>
                <w:sz w:val="17"/>
              </w:rPr>
              <w:t>WHAT CHANGES, WHERE, AND WHY</w:t>
            </w:r>
          </w:p>
        </w:tc>
      </w:tr>
      <w:tr>
        <w:tc>
          <w:tcPr>
            <w:tcW w:type="dxa" w:w="2592"/>
          </w:tcPr>
          <w:p>
            <w:r/>
            <w:r>
              <w:rPr>
                <w:b/>
                <w:sz w:val="19"/>
              </w:rPr>
              <w:t>AI disclaimer</w:t>
            </w:r>
          </w:p>
        </w:tc>
        <w:tc>
          <w:tcPr>
            <w:tcW w:type="dxa" w:w="7200"/>
          </w:tcPr>
          <w:p>
            <w:r/>
            <w:r>
              <w:rPr>
                <w:sz w:val="19"/>
              </w:rPr>
              <w:t>In-product, in the chat UI itself, and in Terms of Use: “AskInc42 is AI-generated and can make mistakes — verify anything important.” Needed because the positioning (Section 04) rests on trust.</w:t>
            </w:r>
          </w:p>
        </w:tc>
      </w:tr>
      <w:tr>
        <w:tc>
          <w:tcPr>
            <w:tcW w:type="dxa" w:w="2592"/>
          </w:tcPr>
          <w:p>
            <w:r/>
            <w:r>
              <w:rPr>
                <w:b/>
                <w:sz w:val="19"/>
              </w:rPr>
              <w:t>Privacy Policy §7.1 / §8</w:t>
            </w:r>
          </w:p>
        </w:tc>
        <w:tc>
          <w:tcPr>
            <w:tcW w:type="dxa" w:w="7200"/>
          </w:tcPr>
          <w:p>
            <w:r/>
            <w:r>
              <w:rPr>
                <w:sz w:val="19"/>
              </w:rPr>
              <w:t>Name the AI/LLM sub-processor once identified, with a data processing agreement and retention terms on file. The live Privacy Policy §5.1 already names Ask-style features as active, but no processor is named in §7.1 or §8 today. Bringing AskInc42 into the app increases what flows through that undisclosed processor (persona, Watchlist context, chat history).</w:t>
            </w:r>
          </w:p>
        </w:tc>
      </w:tr>
      <w:tr>
        <w:tc>
          <w:tcPr>
            <w:tcW w:type="dxa" w:w="2592"/>
          </w:tcPr>
          <w:p>
            <w:r/>
            <w:r>
              <w:rPr>
                <w:b/>
                <w:sz w:val="19"/>
              </w:rPr>
              <w:t>Account deletion — data categories</w:t>
            </w:r>
          </w:p>
        </w:tc>
        <w:tc>
          <w:tcPr>
            <w:tcW w:type="dxa" w:w="7200"/>
          </w:tcPr>
          <w:p>
            <w:r/>
            <w:r>
              <w:rPr>
                <w:sz w:val="19"/>
              </w:rPr>
              <w:t>Confirm Ask chat history (D2) is explicitly covered. It’s already grouped with “Saved articles” on the existing deletion screen — confirm that grouping is accurate once app-side history exists at real volume.</w:t>
            </w:r>
          </w:p>
        </w:tc>
      </w:tr>
      <w:tr>
        <w:tc>
          <w:tcPr>
            <w:tcW w:type="dxa" w:w="2592"/>
          </w:tcPr>
          <w:p>
            <w:r/>
            <w:r>
              <w:rPr>
                <w:b/>
                <w:sz w:val="19"/>
              </w:rPr>
              <w:t>Personalization disclosure</w:t>
            </w:r>
          </w:p>
        </w:tc>
        <w:tc>
          <w:tcPr>
            <w:tcW w:type="dxa" w:w="7200"/>
          </w:tcPr>
          <w:p>
            <w:r/>
            <w:r>
              <w:rPr>
                <w:sz w:val="19"/>
              </w:rPr>
              <w:t>Role/persona data now shapes AI-generated content shown to the reader (Section 06) — confirm existing personalization language covers this use, or write a line that does.</w:t>
            </w:r>
          </w:p>
        </w:tc>
      </w:tr>
    </w:tbl>
    <w:p>
      <w:pPr>
        <w:spacing w:after="80"/>
      </w:pPr>
    </w:p>
    <w:p>
      <w:pPr>
        <w:pStyle w:val="Heading1"/>
      </w:pPr>
      <w:r>
        <w:t>10. Placement</w:t>
      </w:r>
    </w:p>
    <w:p>
      <w:pPr>
        <w:pStyle w:val="Heading2"/>
      </w:pPr>
      <w:r>
        <w:t>Sector detail page vs. Watchlist’s Sectors sub-tab — two different jobs</w:t>
      </w:r>
    </w:p>
    <w:p>
      <w:pPr>
        <w:spacing w:after="160"/>
      </w:pPr>
      <w:r>
        <w:rPr>
          <w:i w:val="0"/>
          <w:sz w:val="21"/>
        </w:rPr>
        <w:t>The sector detail page is a browsable surface: open to any reader exploring that sector, listing every company in it, closer in job to a company page than to anything personal. The Watchlist Sectors sub-tab is a personal, tracked surface: it only ever shows sectors this specific reader has saved. Same word (“sector”), different reader intent — a browsing reader on the sector page is asking “what’s happening in this space broadly”; a Watchlist reader is asking “what’s new in what I’ve already decided to follow.” They need different question framing for that reason, not just different UI chrome.</w:t>
      </w:r>
    </w:p>
    <w:tbl>
      <w:tblPr>
        <w:tblStyle w:val="TableGrid"/>
        <w:tblW w:type="auto" w:w="0"/>
        <w:jc w:val="left"/>
        <w:tblLayout w:type="fixed"/>
        <w:tblLook w:firstColumn="1" w:firstRow="1" w:lastColumn="0" w:lastRow="0" w:noHBand="0" w:noVBand="1" w:val="04A0"/>
      </w:tblPr>
      <w:tblGrid>
        <w:gridCol w:w="2736"/>
        <w:gridCol w:w="1584"/>
        <w:gridCol w:w="5472"/>
      </w:tblGrid>
      <w:tr>
        <w:tc>
          <w:tcPr>
            <w:tcW w:type="dxa" w:w="2736"/>
            <w:shd w:val="clear" w:color="auto" w:fill="EFEFE7"/>
          </w:tcPr>
          <w:p>
            <w:r/>
            <w:r>
              <w:rPr>
                <w:b/>
                <w:color w:val="7B8091"/>
                <w:sz w:val="17"/>
              </w:rPr>
              <w:t>SURFACE</w:t>
            </w:r>
          </w:p>
        </w:tc>
        <w:tc>
          <w:tcPr>
            <w:tcW w:type="dxa" w:w="1584"/>
            <w:shd w:val="clear" w:color="auto" w:fill="EFEFE7"/>
          </w:tcPr>
          <w:p>
            <w:r/>
            <w:r>
              <w:rPr>
                <w:b/>
                <w:color w:val="7B8091"/>
                <w:sz w:val="17"/>
              </w:rPr>
              <w:t>STATUS</w:t>
            </w:r>
          </w:p>
        </w:tc>
        <w:tc>
          <w:tcPr>
            <w:tcW w:type="dxa" w:w="5472"/>
            <w:shd w:val="clear" w:color="auto" w:fill="EFEFE7"/>
          </w:tcPr>
          <w:p>
            <w:r/>
            <w:r>
              <w:rPr>
                <w:b/>
                <w:color w:val="7B8091"/>
                <w:sz w:val="17"/>
              </w:rPr>
              <w:t>NOTES</w:t>
            </w:r>
          </w:p>
        </w:tc>
      </w:tr>
      <w:tr>
        <w:tc>
          <w:tcPr>
            <w:tcW w:type="dxa" w:w="2736"/>
          </w:tcPr>
          <w:p>
            <w:r/>
            <w:r>
              <w:rPr>
                <w:b/>
                <w:sz w:val="19"/>
              </w:rPr>
              <w:t>Story card</w:t>
            </w:r>
          </w:p>
        </w:tc>
        <w:tc>
          <w:tcPr>
            <w:tcW w:type="dxa" w:w="1584"/>
          </w:tcPr>
          <w:p>
            <w:r/>
            <w:r>
              <w:rPr>
                <w:sz w:val="19"/>
              </w:rPr>
              <w:t>Ship</w:t>
            </w:r>
          </w:p>
        </w:tc>
        <w:tc>
          <w:tcPr>
            <w:tcW w:type="dxa" w:w="5472"/>
          </w:tcPr>
          <w:p>
            <w:r/>
            <w:r>
              <w:rPr>
                <w:sz w:val="19"/>
              </w:rPr>
              <w:t>Each individual story inside today's brief. Three finalist visual treatments already mocked up on a real screenshot — see Appendix.</w:t>
            </w:r>
          </w:p>
        </w:tc>
      </w:tr>
      <w:tr>
        <w:tc>
          <w:tcPr>
            <w:tcW w:type="dxa" w:w="2736"/>
          </w:tcPr>
          <w:p>
            <w:r/>
            <w:r>
              <w:rPr>
                <w:b/>
                <w:sz w:val="19"/>
              </w:rPr>
              <w:t>Article detail</w:t>
            </w:r>
          </w:p>
        </w:tc>
        <w:tc>
          <w:tcPr>
            <w:tcW w:type="dxa" w:w="1584"/>
          </w:tcPr>
          <w:p>
            <w:r/>
            <w:r>
              <w:rPr>
                <w:sz w:val="19"/>
              </w:rPr>
              <w:t>Ship</w:t>
            </w:r>
          </w:p>
        </w:tc>
        <w:tc>
          <w:tcPr>
            <w:tcW w:type="dxa" w:w="5472"/>
          </w:tcPr>
          <w:p>
            <w:r/>
            <w:r>
              <w:rPr>
                <w:sz w:val="19"/>
              </w:rPr>
              <w:t>Persona-reframed single-story question (Section 06).</w:t>
            </w:r>
          </w:p>
        </w:tc>
      </w:tr>
      <w:tr>
        <w:tc>
          <w:tcPr>
            <w:tcW w:type="dxa" w:w="2736"/>
          </w:tcPr>
          <w:p>
            <w:r/>
            <w:r>
              <w:rPr>
                <w:b/>
                <w:sz w:val="19"/>
              </w:rPr>
              <w:t>Company detail page</w:t>
            </w:r>
          </w:p>
        </w:tc>
        <w:tc>
          <w:tcPr>
            <w:tcW w:type="dxa" w:w="1584"/>
          </w:tcPr>
          <w:p>
            <w:r/>
            <w:r>
              <w:rPr>
                <w:sz w:val="19"/>
              </w:rPr>
              <w:t>Ship</w:t>
            </w:r>
          </w:p>
        </w:tc>
        <w:tc>
          <w:tcPr>
            <w:tcW w:type="dxa" w:w="5472"/>
          </w:tcPr>
          <w:p>
            <w:r/>
            <w:r>
              <w:rPr>
                <w:sz w:val="19"/>
              </w:rPr>
              <w:t>Persona-templated, entity name as the only variable.</w:t>
            </w:r>
          </w:p>
        </w:tc>
      </w:tr>
      <w:tr>
        <w:tc>
          <w:tcPr>
            <w:tcW w:type="dxa" w:w="2736"/>
          </w:tcPr>
          <w:p>
            <w:r/>
            <w:r>
              <w:rPr>
                <w:b/>
                <w:sz w:val="19"/>
              </w:rPr>
              <w:t>Sector detail page</w:t>
            </w:r>
          </w:p>
        </w:tc>
        <w:tc>
          <w:tcPr>
            <w:tcW w:type="dxa" w:w="1584"/>
          </w:tcPr>
          <w:p>
            <w:r/>
            <w:r>
              <w:rPr>
                <w:sz w:val="19"/>
              </w:rPr>
              <w:t>Ship</w:t>
            </w:r>
          </w:p>
        </w:tc>
        <w:tc>
          <w:tcPr>
            <w:tcW w:type="dxa" w:w="5472"/>
          </w:tcPr>
          <w:p>
            <w:r/>
            <w:r>
              <w:rPr>
                <w:sz w:val="19"/>
              </w:rPr>
              <w:t>Lists companies in that sector — see reasoning above.</w:t>
            </w:r>
          </w:p>
        </w:tc>
      </w:tr>
      <w:tr>
        <w:tc>
          <w:tcPr>
            <w:tcW w:type="dxa" w:w="2736"/>
          </w:tcPr>
          <w:p>
            <w:r/>
            <w:r>
              <w:rPr>
                <w:b/>
                <w:sz w:val="19"/>
              </w:rPr>
              <w:t>Watchlist — Companies / Articles / Sectors</w:t>
            </w:r>
          </w:p>
        </w:tc>
        <w:tc>
          <w:tcPr>
            <w:tcW w:type="dxa" w:w="1584"/>
          </w:tcPr>
          <w:p>
            <w:r/>
            <w:r>
              <w:rPr>
                <w:sz w:val="19"/>
              </w:rPr>
              <w:t>Ship</w:t>
            </w:r>
          </w:p>
        </w:tc>
        <w:tc>
          <w:tcPr>
            <w:tcW w:type="dxa" w:w="5472"/>
          </w:tcPr>
          <w:p>
            <w:r/>
            <w:r>
              <w:rPr>
                <w:sz w:val="19"/>
              </w:rPr>
              <w:t>Static rotating persona messages (D7, Section 11).</w:t>
            </w:r>
          </w:p>
        </w:tc>
      </w:tr>
      <w:tr>
        <w:tc>
          <w:tcPr>
            <w:tcW w:type="dxa" w:w="2736"/>
          </w:tcPr>
          <w:p>
            <w:r/>
            <w:r>
              <w:rPr>
                <w:b/>
                <w:sz w:val="19"/>
              </w:rPr>
              <w:t>Dedicated Ask tab</w:t>
            </w:r>
          </w:p>
        </w:tc>
        <w:tc>
          <w:tcPr>
            <w:tcW w:type="dxa" w:w="1584"/>
          </w:tcPr>
          <w:p>
            <w:r/>
            <w:r>
              <w:rPr>
                <w:sz w:val="19"/>
              </w:rPr>
              <w:t>Roadmap Phase 2</w:t>
            </w:r>
          </w:p>
        </w:tc>
        <w:tc>
          <w:tcPr>
            <w:tcW w:type="dxa" w:w="5472"/>
          </w:tcPr>
          <w:p>
            <w:r/>
            <w:r>
              <w:rPr>
                <w:sz w:val="19"/>
              </w:rPr>
              <w:t>No open bottom-nav slot in v1's confirmed 3-tab IA (Brief/Explore/Watchlist). Needs proven demand from Phase 1 first (Section 15).</w:t>
            </w:r>
          </w:p>
        </w:tc>
      </w:tr>
    </w:tbl>
    <w:p>
      <w:pPr>
        <w:spacing w:after="80"/>
      </w:pPr>
    </w:p>
    <w:p>
      <w:pPr>
        <w:pStyle w:val="Heading1"/>
      </w:pPr>
      <w:r>
        <w:t>11. What are the fallbacks?</w:t>
      </w:r>
    </w:p>
    <w:p>
      <w:pPr>
        <w:pStyle w:val="ListBullet"/>
      </w:pPr>
      <w:r>
        <w:rPr>
          <w:b/>
          <w:sz w:val="21"/>
        </w:rPr>
        <w:t>Watchlist has no single story to ground a question on →</w:t>
      </w:r>
      <w:r>
        <w:rPr>
          <w:sz w:val="21"/>
        </w:rPr>
        <w:t xml:space="preserve"> a rotating pool of 3–5 static persona messages, one shown per visit so it doesn't repeat (D7).</w:t>
      </w:r>
    </w:p>
    <w:p>
      <w:pPr>
        <w:pStyle w:val="ListBullet"/>
      </w:pPr>
      <w:r>
        <w:rPr>
          <w:b/>
          <w:sz w:val="21"/>
        </w:rPr>
        <w:t>Reader has no role and no followed topics/sectors →</w:t>
      </w:r>
      <w:r>
        <w:rPr>
          <w:sz w:val="21"/>
        </w:rPr>
        <w:t xml:space="preserve"> the actual generic template, reserved for this case only (D17). Not the normal path for “Other” or any other persona.</w:t>
      </w:r>
    </w:p>
    <w:p>
      <w:pPr>
        <w:pStyle w:val="ListBullet"/>
      </w:pPr>
      <w:r>
        <w:rPr>
          <w:b/>
          <w:sz w:val="21"/>
        </w:rPr>
        <w:t>Reader isn't logged in →</w:t>
      </w:r>
      <w:r>
        <w:rPr>
          <w:sz w:val="21"/>
        </w:rPr>
        <w:t xml:space="preserve"> chip still shows and opens the composer; sending requires Enter (Section 07). Access isn't blocked outright.</w:t>
      </w:r>
    </w:p>
    <w:p>
      <w:pPr>
        <w:pStyle w:val="ListBullet"/>
      </w:pPr>
      <w:r>
        <w:rPr>
          <w:b/>
          <w:sz w:val="21"/>
        </w:rPr>
        <w:t>Guardrail, not a numeric placement gate (D9):</w:t>
      </w:r>
      <w:r>
        <w:rPr>
          <w:sz w:val="21"/>
        </w:rPr>
        <w:t xml:space="preserve"> Ask usage must not reduce brief completion. If Ask-users complete the brief less often than non-users, that's the signal to revisit the story-card treatment.</w:t>
      </w:r>
    </w:p>
    <w:p>
      <w:pPr>
        <w:pStyle w:val="ListBullet"/>
      </w:pPr>
      <w:r>
        <w:rPr>
          <w:b/>
          <w:sz w:val="21"/>
        </w:rPr>
        <w:t>Latency guardrail, Fast mode (D15):</w:t>
      </w:r>
      <w:r>
        <w:rPr>
          <w:sz w:val="21"/>
        </w:rPr>
        <w:t xml:space="preserve"> target 5 seconds, never exceeds 10.</w:t>
      </w:r>
    </w:p>
    <w:p>
      <w:pPr>
        <w:pStyle w:val="ListBullet"/>
      </w:pPr>
      <w:r>
        <w:rPr>
          <w:b/>
          <w:sz w:val="21"/>
        </w:rPr>
        <w:t>Latency guardrail, Deep mode (D15):</w:t>
      </w:r>
      <w:r>
        <w:rPr>
          <w:sz w:val="21"/>
        </w:rPr>
        <w:t xml:space="preserve"> never exceeds 30 seconds.</w:t>
      </w:r>
    </w:p>
    <w:p>
      <w:pPr>
        <w:pStyle w:val="Heading1"/>
      </w:pPr>
      <w:r>
        <w:t>12. How do we monitor?</w:t>
      </w:r>
    </w:p>
    <w:tbl>
      <w:tblPr>
        <w:tblStyle w:val="TableGrid"/>
        <w:tblW w:type="auto" w:w="0"/>
        <w:jc w:val="left"/>
        <w:tblLayout w:type="fixed"/>
        <w:tblLook w:firstColumn="1" w:firstRow="1" w:lastColumn="0" w:lastRow="0" w:noHBand="0" w:noVBand="1" w:val="04A0"/>
      </w:tblPr>
      <w:tblGrid>
        <w:gridCol w:w="3456"/>
        <w:gridCol w:w="6336"/>
      </w:tblGrid>
      <w:tr>
        <w:tc>
          <w:tcPr>
            <w:tcW w:type="dxa" w:w="3456"/>
            <w:shd w:val="clear" w:color="auto" w:fill="EFEFE7"/>
          </w:tcPr>
          <w:p>
            <w:r/>
            <w:r>
              <w:rPr>
                <w:b/>
                <w:color w:val="7B8091"/>
                <w:sz w:val="17"/>
              </w:rPr>
              <w:t>EVENT</w:t>
            </w:r>
          </w:p>
        </w:tc>
        <w:tc>
          <w:tcPr>
            <w:tcW w:type="dxa" w:w="6336"/>
            <w:shd w:val="clear" w:color="auto" w:fill="EFEFE7"/>
          </w:tcPr>
          <w:p>
            <w:r/>
            <w:r>
              <w:rPr>
                <w:b/>
                <w:color w:val="7B8091"/>
                <w:sz w:val="17"/>
              </w:rPr>
              <w:t>WHAT IT TELLS US</w:t>
            </w:r>
          </w:p>
        </w:tc>
      </w:tr>
      <w:tr>
        <w:tc>
          <w:tcPr>
            <w:tcW w:type="dxa" w:w="3456"/>
          </w:tcPr>
          <w:p>
            <w:r/>
            <w:r>
              <w:rPr>
                <w:b/>
                <w:sz w:val="19"/>
              </w:rPr>
              <w:t>chip_impression</w:t>
            </w:r>
          </w:p>
        </w:tc>
        <w:tc>
          <w:tcPr>
            <w:tcW w:type="dxa" w:w="6336"/>
          </w:tcPr>
          <w:p>
            <w:r/>
            <w:r>
              <w:rPr>
                <w:sz w:val="19"/>
              </w:rPr>
              <w:t>Reach — did the chip render for this reader.</w:t>
            </w:r>
          </w:p>
        </w:tc>
      </w:tr>
      <w:tr>
        <w:tc>
          <w:tcPr>
            <w:tcW w:type="dxa" w:w="3456"/>
          </w:tcPr>
          <w:p>
            <w:r/>
            <w:r>
              <w:rPr>
                <w:b/>
                <w:sz w:val="19"/>
              </w:rPr>
              <w:t>chip_tap</w:t>
            </w:r>
          </w:p>
        </w:tc>
        <w:tc>
          <w:tcPr>
            <w:tcW w:type="dxa" w:w="6336"/>
          </w:tcPr>
          <w:p>
            <w:r/>
            <w:r>
              <w:rPr>
                <w:sz w:val="19"/>
              </w:rPr>
              <w:t>Interest, by surface — reach vs. actual taps tells us which of the five v1 placements is pulling its weight.</w:t>
            </w:r>
          </w:p>
        </w:tc>
      </w:tr>
      <w:tr>
        <w:tc>
          <w:tcPr>
            <w:tcW w:type="dxa" w:w="3456"/>
          </w:tcPr>
          <w:p>
            <w:r/>
            <w:r>
              <w:rPr>
                <w:b/>
                <w:sz w:val="19"/>
              </w:rPr>
              <w:t>chat_autofired / chat_manual_sent</w:t>
            </w:r>
          </w:p>
        </w:tc>
        <w:tc>
          <w:tcPr>
            <w:tcW w:type="dxa" w:w="6336"/>
          </w:tcPr>
          <w:p>
            <w:r/>
            <w:r>
              <w:rPr>
                <w:sz w:val="19"/>
              </w:rPr>
              <w:t>Splits logged-in vs. logged-out behavior (Section 07).</w:t>
            </w:r>
          </w:p>
        </w:tc>
      </w:tr>
      <w:tr>
        <w:tc>
          <w:tcPr>
            <w:tcW w:type="dxa" w:w="3456"/>
          </w:tcPr>
          <w:p>
            <w:r/>
            <w:r>
              <w:rPr>
                <w:b/>
                <w:sz w:val="19"/>
              </w:rPr>
              <w:t>response_thumbs_up / _down</w:t>
            </w:r>
          </w:p>
        </w:tc>
        <w:tc>
          <w:tcPr>
            <w:tcW w:type="dxa" w:w="6336"/>
          </w:tcPr>
          <w:p>
            <w:r/>
            <w:r>
              <w:rPr>
                <w:sz w:val="19"/>
              </w:rPr>
              <w:t>Quality signal, feeds the loop in Section 13.</w:t>
            </w:r>
          </w:p>
        </w:tc>
      </w:tr>
      <w:tr>
        <w:tc>
          <w:tcPr>
            <w:tcW w:type="dxa" w:w="3456"/>
          </w:tcPr>
          <w:p>
            <w:r/>
            <w:r>
              <w:rPr>
                <w:b/>
                <w:sz w:val="19"/>
              </w:rPr>
              <w:t>editorial_edit_rate</w:t>
            </w:r>
          </w:p>
        </w:tc>
        <w:tc>
          <w:tcPr>
            <w:tcW w:type="dxa" w:w="6336"/>
          </w:tcPr>
          <w:p>
            <w:r/>
            <w:r>
              <w:rPr>
                <w:sz w:val="19"/>
              </w:rPr>
              <w:t>How often an editor changes an AI-drafted title before publishing (Section 06) — the health check on generation quality.</w:t>
            </w:r>
          </w:p>
        </w:tc>
      </w:tr>
      <w:tr>
        <w:tc>
          <w:tcPr>
            <w:tcW w:type="dxa" w:w="3456"/>
          </w:tcPr>
          <w:p>
            <w:r/>
            <w:r>
              <w:rPr>
                <w:b/>
                <w:sz w:val="19"/>
              </w:rPr>
              <w:t>brief_completed, split by Ask-user vs. non-user</w:t>
            </w:r>
          </w:p>
        </w:tc>
        <w:tc>
          <w:tcPr>
            <w:tcW w:type="dxa" w:w="6336"/>
          </w:tcPr>
          <w:p>
            <w:r/>
            <w:r>
              <w:rPr>
                <w:sz w:val="19"/>
              </w:rPr>
              <w:t>The D9 guardrail, directly.</w:t>
            </w:r>
          </w:p>
        </w:tc>
      </w:tr>
    </w:tbl>
    <w:p>
      <w:pPr>
        <w:spacing w:after="80"/>
      </w:pPr>
    </w:p>
    <w:p>
      <w:pPr>
        <w:pStyle w:val="Heading1"/>
      </w:pPr>
      <w:r>
        <w:t>13. What is the feedback loop?</w:t>
      </w:r>
    </w:p>
    <w:p>
      <w:pPr>
        <w:pStyle w:val="ListNumber"/>
      </w:pPr>
      <w:r>
        <w:rPr>
          <w:sz w:val="21"/>
        </w:rPr>
        <w:t>Reader leaves a thumbs up/down on a response.</w:t>
      </w:r>
    </w:p>
    <w:p>
      <w:pPr>
        <w:pStyle w:val="ListNumber"/>
      </w:pPr>
      <w:r>
        <w:rPr>
          <w:sz w:val="21"/>
        </w:rPr>
        <w:t>Ranjith reviews the aggregate, alongside editorial_edit_rate from Section 12.</w:t>
      </w:r>
    </w:p>
    <w:p>
      <w:pPr>
        <w:pStyle w:val="ListNumber"/>
      </w:pPr>
      <w:r>
        <w:rPr>
          <w:sz w:val="21"/>
        </w:rPr>
        <w:t>Patterns feed back into the generation rubric (Section 06) if a specific Topic × Persona combination consistently underperforms.</w:t>
      </w:r>
    </w:p>
    <w:p>
      <w:pPr>
        <w:pStyle w:val="Heading1"/>
      </w:pPr>
      <w:r>
        <w:t>14. How do we improve the product?</w:t>
      </w:r>
    </w:p>
    <w:p>
      <w:pPr>
        <w:pStyle w:val="ListBullet"/>
      </w:pPr>
      <w:r>
        <w:rPr>
          <w:b/>
          <w:sz w:val="21"/>
        </w:rPr>
        <w:t>Weekly</w:t>
      </w:r>
      <w:r>
        <w:rPr>
          <w:sz w:val="21"/>
        </w:rPr>
        <w:t xml:space="preserve"> — thumbs ratio and editorial-edit-rate reviewed together.</w:t>
      </w:r>
    </w:p>
    <w:p>
      <w:pPr>
        <w:pStyle w:val="ListBullet"/>
      </w:pPr>
      <w:r>
        <w:rPr>
          <w:b/>
          <w:sz w:val="21"/>
        </w:rPr>
        <w:t>Monthly</w:t>
      </w:r>
      <w:r>
        <w:rPr>
          <w:sz w:val="21"/>
        </w:rPr>
        <w:t xml:space="preserve"> — per-surface engagement reviewed against the D9 guardrail. This is what decides when Roadmap Phase 2 triggers (Section 15), not a fixed date.</w:t>
      </w:r>
    </w:p>
    <w:p>
      <w:pPr>
        <w:pStyle w:val="Heading1"/>
      </w:pPr>
      <w:r>
        <w:t>15. Roadmap</w:t>
      </w:r>
    </w:p>
    <w:tbl>
      <w:tblPr>
        <w:tblStyle w:val="TableGrid"/>
        <w:tblW w:type="auto" w:w="0"/>
        <w:jc w:val="left"/>
        <w:tblLayout w:type="fixed"/>
        <w:tblLook w:firstColumn="1" w:firstRow="1" w:lastColumn="0" w:lastRow="0" w:noHBand="0" w:noVBand="1" w:val="04A0"/>
      </w:tblPr>
      <w:tblGrid>
        <w:gridCol w:w="2160"/>
        <w:gridCol w:w="2448"/>
        <w:gridCol w:w="5760"/>
      </w:tblGrid>
      <w:tr>
        <w:tc>
          <w:tcPr>
            <w:tcW w:type="dxa" w:w="2160"/>
            <w:shd w:val="clear" w:color="auto" w:fill="EFEFE7"/>
          </w:tcPr>
          <w:p>
            <w:r/>
            <w:r>
              <w:rPr>
                <w:b/>
                <w:color w:val="7B8091"/>
                <w:sz w:val="17"/>
              </w:rPr>
              <w:t>PHASE</w:t>
            </w:r>
          </w:p>
        </w:tc>
        <w:tc>
          <w:tcPr>
            <w:tcW w:type="dxa" w:w="2448"/>
            <w:shd w:val="clear" w:color="auto" w:fill="EFEFE7"/>
          </w:tcPr>
          <w:p>
            <w:r/>
            <w:r>
              <w:rPr>
                <w:b/>
                <w:color w:val="7B8091"/>
                <w:sz w:val="17"/>
              </w:rPr>
              <w:t>TITLE</w:t>
            </w:r>
          </w:p>
        </w:tc>
        <w:tc>
          <w:tcPr>
            <w:tcW w:type="dxa" w:w="5760"/>
            <w:shd w:val="clear" w:color="auto" w:fill="EFEFE7"/>
          </w:tcPr>
          <w:p>
            <w:r/>
            <w:r>
              <w:rPr>
                <w:b/>
                <w:color w:val="7B8091"/>
                <w:sz w:val="17"/>
              </w:rPr>
              <w:t>DESCRIPTION</w:t>
            </w:r>
          </w:p>
        </w:tc>
      </w:tr>
      <w:tr>
        <w:tc>
          <w:tcPr>
            <w:tcW w:type="dxa" w:w="2160"/>
          </w:tcPr>
          <w:p>
            <w:r/>
            <w:r>
              <w:rPr>
                <w:b/>
                <w:sz w:val="19"/>
              </w:rPr>
              <w:t>Phase 1 — this PRD</w:t>
            </w:r>
          </w:p>
        </w:tc>
        <w:tc>
          <w:tcPr>
            <w:tcW w:type="dxa" w:w="2448"/>
          </w:tcPr>
          <w:p>
            <w:r/>
            <w:r>
              <w:rPr>
                <w:sz w:val="19"/>
              </w:rPr>
              <w:t>Five placements, no paid version</w:t>
            </w:r>
          </w:p>
        </w:tc>
        <w:tc>
          <w:tcPr>
            <w:tcW w:type="dxa" w:w="5760"/>
          </w:tcPr>
          <w:p>
            <w:r/>
            <w:r>
              <w:rPr>
                <w:sz w:val="19"/>
              </w:rPr>
              <w:t>Story card, article detail, company page, sector page, Watchlist. Fast and Deep modes, both free.</w:t>
            </w:r>
          </w:p>
        </w:tc>
      </w:tr>
      <w:tr>
        <w:tc>
          <w:tcPr>
            <w:tcW w:type="dxa" w:w="2160"/>
          </w:tcPr>
          <w:p>
            <w:r/>
            <w:r>
              <w:rPr>
                <w:b/>
                <w:sz w:val="19"/>
              </w:rPr>
              <w:t>Phase 2</w:t>
            </w:r>
          </w:p>
        </w:tc>
        <w:tc>
          <w:tcPr>
            <w:tcW w:type="dxa" w:w="2448"/>
          </w:tcPr>
          <w:p>
            <w:r/>
            <w:r>
              <w:rPr>
                <w:sz w:val="19"/>
              </w:rPr>
              <w:t>Dedicated tab</w:t>
            </w:r>
          </w:p>
        </w:tc>
        <w:tc>
          <w:tcPr>
            <w:tcW w:type="dxa" w:w="5760"/>
          </w:tcPr>
          <w:p>
            <w:r/>
            <w:r>
              <w:rPr>
                <w:sz w:val="19"/>
              </w:rPr>
              <w:t>A standalone Ask tab, triggered by Phase 1 usage data (Section 14), not a fixed date.</w:t>
            </w:r>
          </w:p>
        </w:tc>
      </w:tr>
      <w:tr>
        <w:tc>
          <w:tcPr>
            <w:tcW w:type="dxa" w:w="2160"/>
          </w:tcPr>
          <w:p>
            <w:r/>
            <w:r>
              <w:rPr>
                <w:b/>
                <w:sz w:val="19"/>
              </w:rPr>
              <w:t>Phase 3</w:t>
            </w:r>
          </w:p>
        </w:tc>
        <w:tc>
          <w:tcPr>
            <w:tcW w:type="dxa" w:w="2448"/>
          </w:tcPr>
          <w:p>
            <w:r/>
            <w:r>
              <w:rPr>
                <w:sz w:val="19"/>
              </w:rPr>
              <w:t>Paywall — direction only</w:t>
            </w:r>
          </w:p>
        </w:tc>
        <w:tc>
          <w:tcPr>
            <w:tcW w:type="dxa" w:w="5760"/>
          </w:tcPr>
          <w:p>
            <w:r/>
            <w:r>
              <w:rPr>
                <w:sz w:val="19"/>
              </w:rPr>
              <w:t>No model or timing decided. Named so it isn't lost, not scoped further here.</w:t>
            </w:r>
          </w:p>
        </w:tc>
      </w:tr>
    </w:tbl>
    <w:p>
      <w:pPr>
        <w:spacing w:after="80"/>
      </w:pPr>
    </w:p>
    <w:p>
      <w:pPr>
        <w:pStyle w:val="Heading1"/>
      </w:pPr>
      <w:r>
        <w:t>Appendix — related artifacts</w:t>
      </w:r>
    </w:p>
    <w:p>
      <w:pPr>
        <w:pStyle w:val="ListBullet"/>
      </w:pPr>
      <w:r>
        <w:rPr>
          <w:b/>
          <w:sz w:val="21"/>
        </w:rPr>
        <w:t>Positioning &amp; Planning Memo</w:t>
      </w:r>
      <w:r>
        <w:rPr>
          <w:sz w:val="21"/>
        </w:rPr>
        <w:t xml:space="preserve"> — full framework, competitor scan: https://claude.ai/code/artifact/065326a9-7085-4241-b56d-573b0d49439c</w:t>
      </w:r>
    </w:p>
    <w:p>
      <w:pPr>
        <w:pStyle w:val="ListBullet"/>
      </w:pPr>
      <w:r>
        <w:rPr>
          <w:b/>
          <w:sz w:val="21"/>
        </w:rPr>
        <w:t>Card &amp; Share Mockup</w:t>
      </w:r>
      <w:r>
        <w:rPr>
          <w:sz w:val="21"/>
        </w:rPr>
        <w:t xml:space="preserve"> — in-app icon row vs. downloaded-image treatment: https://claude.ai/code/artifact/b1c5ca6b-03c4-47af-a79b-b2b83cb00db8</w:t>
      </w:r>
    </w:p>
    <w:p>
      <w:pPr>
        <w:pStyle w:val="ListBullet"/>
      </w:pPr>
      <w:r>
        <w:rPr>
          <w:b/>
          <w:sz w:val="21"/>
        </w:rPr>
        <w:t>“Why It Matters” Mockup</w:t>
      </w:r>
      <w:r>
        <w:rPr>
          <w:sz w:val="21"/>
        </w:rPr>
        <w:t xml:space="preserve"> — two low-clutter story-card placements: https://claude.ai/code/artifact/243328a9-e52a-4a09-bba2-c9a30f7cf0ce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02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0262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6E4A18"/>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6E4A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