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aps/>
          <w:color w:val="B4740E"/>
          <w:sz w:val="17"/>
        </w:rPr>
        <w:t>INC42 APP  /  OUTSIDE-IN TEARDOWN  /  21 AUG 2026</w:t>
      </w:r>
    </w:p>
    <w:p>
      <w:pPr>
        <w:spacing w:after="80"/>
      </w:pPr>
      <w:r>
        <w:rPr>
          <w:b/>
          <w:color w:val="14181F"/>
          <w:sz w:val="48"/>
        </w:rPr>
        <w:t>Ravi's App Teardown</w:t>
      </w:r>
    </w:p>
    <w:p>
      <w:pPr>
        <w:spacing w:before="0" w:after="200"/>
      </w:pPr>
      <w:r>
        <w:rPr>
          <w:b w:val="0"/>
          <w:i/>
          <w:color w:val="3A424E"/>
          <w:sz w:val="24"/>
        </w:rPr>
        <w:t>A first-time user who could not answer "what is Brief?" — and the 21 changes he asked for, screen by screen.</w:t>
      </w:r>
    </w:p>
    <w:p>
      <w:pPr>
        <w:pBdr>
          <w:bottom w:val="single" w:sz="6" w:space="1" w:color="D8DCE2"/>
        </w:pBdr>
        <w:spacing w:before="40" w:after="160"/>
      </w:pP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fill="F2F4F7"/>
          </w:tcPr>
          <w:p>
            <w:r/>
            <w:r>
              <w:rPr>
                <w:b/>
                <w:caps/>
                <w:color w:val="626C7A"/>
                <w:sz w:val="16"/>
              </w:rPr>
              <w:t>Reviewer</w:t>
            </w:r>
          </w:p>
        </w:tc>
        <w:tc>
          <w:tcPr>
            <w:tcW w:type="dxa" w:w="2340"/>
            <w:shd w:val="clear" w:fill="F2F4F7"/>
          </w:tcPr>
          <w:p>
            <w:r/>
            <w:r>
              <w:rPr>
                <w:b/>
                <w:caps/>
                <w:color w:val="626C7A"/>
                <w:sz w:val="16"/>
              </w:rPr>
              <w:t>Session</w:t>
            </w:r>
          </w:p>
        </w:tc>
        <w:tc>
          <w:tcPr>
            <w:tcW w:type="dxa" w:w="2340"/>
            <w:shd w:val="clear" w:fill="F2F4F7"/>
          </w:tcPr>
          <w:p>
            <w:r/>
            <w:r>
              <w:rPr>
                <w:b/>
                <w:caps/>
                <w:color w:val="626C7A"/>
                <w:sz w:val="16"/>
              </w:rPr>
              <w:t>Basis</w:t>
            </w:r>
          </w:p>
        </w:tc>
        <w:tc>
          <w:tcPr>
            <w:tcW w:type="dxa" w:w="2340"/>
            <w:shd w:val="clear" w:fill="F2F4F7"/>
          </w:tcPr>
          <w:p>
            <w:r/>
            <w:r>
              <w:rPr>
                <w:b/>
                <w:caps/>
                <w:color w:val="626C7A"/>
                <w:sz w:val="16"/>
              </w:rPr>
              <w:t>Recorded</w:t>
            </w:r>
          </w:p>
        </w:tc>
      </w:tr>
      <w:tr>
        <w:tc>
          <w:tcPr>
            <w:tcW w:type="dxa" w:w="2340"/>
          </w:tcPr>
          <w:p>
            <w:r/>
            <w:r>
              <w:rPr>
                <w:sz w:val="18"/>
              </w:rPr>
              <w:t>Ravi Kumar, senior product mentor</w:t>
            </w:r>
          </w:p>
        </w:tc>
        <w:tc>
          <w:tcPr>
            <w:tcW w:type="dxa" w:w="2340"/>
          </w:tcPr>
          <w:p>
            <w:r/>
            <w:r>
              <w:rPr>
                <w:sz w:val="18"/>
              </w:rPr>
              <w:t>21 Aug, 11:48 PM – 12:53 AM IST</w:t>
            </w:r>
          </w:p>
        </w:tc>
        <w:tc>
          <w:tcPr>
            <w:tcW w:type="dxa" w:w="2340"/>
          </w:tcPr>
          <w:p>
            <w:r/>
            <w:r>
              <w:rPr>
                <w:sz w:val="18"/>
              </w:rPr>
              <w:t>Unprimed first use</w:t>
            </w:r>
          </w:p>
        </w:tc>
        <w:tc>
          <w:tcPr>
            <w:tcW w:type="dxa" w:w="2340"/>
          </w:tcPr>
          <w:p>
            <w:r/>
            <w:r>
              <w:rPr>
                <w:sz w:val="18"/>
              </w:rPr>
              <w:t>Wispr Flow, id 8746bb3f</w:t>
            </w:r>
          </w:p>
        </w:tc>
      </w:tr>
    </w:tbl>
    <w:p>
      <w:pPr>
        <w:spacing w:after="40"/>
      </w:pPr>
    </w:p>
    <w:p>
      <w:pPr>
        <w:spacing w:before="320" w:after="40"/>
        <w:pBdr>
          <w:bottom w:val="single" w:sz="12" w:space="2" w:color="14181F"/>
        </w:pBdr>
      </w:pPr>
      <w:r>
        <w:rPr>
          <w:b/>
          <w:color w:val="14181F"/>
          <w:sz w:val="30"/>
        </w:rPr>
        <w:t>His verdict — read this before anything below</w:t>
      </w:r>
    </w:p>
    <w:p>
      <w:pPr>
        <w:spacing w:before="120" w:after="120"/>
      </w:pPr>
      <w:r>
        <w:rPr>
          <w:b/>
          <w:i w:val="0"/>
          <w:color w:val="B02A20"/>
          <w:sz w:val="25"/>
        </w:rPr>
        <w:t>Define the primary use case and the audience segments first. Everything else in this document is cosmetic until you do.</w:t>
      </w:r>
    </w:p>
    <w:p>
      <w:pPr>
        <w:spacing w:before="0" w:after="160"/>
      </w:pPr>
      <w:r>
        <w:rPr>
          <w:b w:val="0"/>
          <w:i w:val="0"/>
          <w:color w:val="3A424E"/>
          <w:sz w:val="21"/>
        </w:rPr>
        <w:t>The trap he named: if you treat the wrong thing as the core use case, incremental changes on top of it will ALSO produce bad data — because the core is right for you and wrong for the user. In the beginning, don't hesitate to scrap and rebuild. Run wild experiments, not tweaks. Ship what's already designed meanwhile, and collect data.</w:t>
      </w:r>
    </w:p>
    <w:p>
      <w:pPr>
        <w:spacing w:before="320" w:after="40"/>
        <w:pBdr>
          <w:bottom w:val="single" w:sz="12" w:space="2" w:color="14181F"/>
        </w:pBdr>
      </w:pPr>
      <w:r>
        <w:rPr>
          <w:b/>
          <w:color w:val="14181F"/>
          <w:sz w:val="30"/>
        </w:rPr>
        <w:t>1. Brief</w:t>
      </w:r>
      <w:r>
        <w:rPr>
          <w:color w:val="626C7A"/>
          <w:sz w:val="18"/>
        </w:rPr>
        <w:t xml:space="preserve">   7 changes · the core</w:t>
      </w:r>
    </w:p>
    <w:p>
      <w:pPr>
        <w:spacing w:before="120" w:after="120"/>
      </w:pPr>
      <w:r>
        <w:rPr>
          <w:b w:val="0"/>
          <w:i/>
          <w:color w:val="626C7A"/>
          <w:sz w:val="20"/>
        </w:rPr>
        <w:t>He used the screen and still could not say what it was for. Brief and Explore read as the same product to him.</w:t>
      </w:r>
    </w:p>
    <w:tbl>
      <w:tblPr>
        <w:tblStyle w:val="TableGrid"/>
        <w:tblW w:type="auto" w:w="0"/>
        <w:jc w:val="left"/>
        <w:tblLook w:firstColumn="1" w:firstRow="1" w:lastColumn="0" w:lastRow="0" w:noHBand="0" w:noVBand="1" w:val="04A0"/>
      </w:tblPr>
      <w:tblGrid>
        <w:gridCol w:w="3120"/>
        <w:gridCol w:w="3120"/>
        <w:gridCol w:w="3120"/>
      </w:tblGrid>
      <w:tr>
        <w:tc>
          <w:tcPr>
            <w:tcW w:type="dxa" w:w="1080"/>
            <w:shd w:val="clear" w:fill="F2F4F7"/>
          </w:tcPr>
          <w:p>
            <w:r/>
            <w:r>
              <w:rPr>
                <w:b/>
                <w:caps/>
                <w:color w:val="626C7A"/>
                <w:sz w:val="16"/>
              </w:rPr>
              <w:t>Tag</w:t>
            </w:r>
          </w:p>
        </w:tc>
        <w:tc>
          <w:tcPr>
            <w:tcW w:type="dxa" w:w="3744"/>
            <w:shd w:val="clear" w:fill="F2F4F7"/>
          </w:tcPr>
          <w:p>
            <w:r/>
            <w:r>
              <w:rPr>
                <w:b/>
                <w:caps/>
                <w:color w:val="626C7A"/>
                <w:sz w:val="16"/>
              </w:rPr>
              <w:t>The change</w:t>
            </w:r>
          </w:p>
        </w:tc>
        <w:tc>
          <w:tcPr>
            <w:tcW w:type="dxa" w:w="4536"/>
            <w:shd w:val="clear" w:fill="F2F4F7"/>
          </w:tcPr>
          <w:p>
            <w:r/>
            <w:r>
              <w:rPr>
                <w:b/>
                <w:caps/>
                <w:color w:val="626C7A"/>
                <w:sz w:val="16"/>
              </w:rPr>
              <w:t>Why</w:t>
            </w:r>
          </w:p>
        </w:tc>
      </w:tr>
      <w:tr>
        <w:tc>
          <w:tcPr>
            <w:tcW w:type="dxa" w:w="1080"/>
          </w:tcPr>
          <w:p>
            <w:pPr>
              <w:spacing w:after="40"/>
            </w:pPr>
            <w:r/>
            <w:r>
              <w:rPr>
                <w:b/>
                <w:caps/>
                <w:color w:val="B02A20"/>
                <w:sz w:val="16"/>
              </w:rPr>
              <w:t>Core</w:t>
            </w:r>
          </w:p>
        </w:tc>
        <w:tc>
          <w:tcPr>
            <w:tcW w:type="dxa" w:w="3744"/>
          </w:tcPr>
          <w:p>
            <w:pPr>
              <w:spacing w:after="40"/>
            </w:pPr>
            <w:r/>
            <w:r>
              <w:rPr>
                <w:b/>
                <w:sz w:val="19"/>
              </w:rPr>
              <w:t>Merge Brief and Explore into one feed. Brief becomes "top headlines" inside it.</w:t>
            </w:r>
          </w:p>
        </w:tc>
        <w:tc>
          <w:tcPr>
            <w:tcW w:type="dxa" w:w="4536"/>
          </w:tcPr>
          <w:p>
            <w:pPr>
              <w:spacing w:after="40"/>
            </w:pPr>
            <w:r/>
            <w:r>
              <w:rPr>
                <w:color w:val="626C7A"/>
                <w:sz w:val="19"/>
              </w:rPr>
              <w:t>The two surfaces overlap, so neither earns its own tab. One feed, one mental model.</w:t>
            </w:r>
          </w:p>
        </w:tc>
      </w:tr>
      <w:tr>
        <w:tc>
          <w:tcPr>
            <w:tcW w:type="dxa" w:w="1080"/>
          </w:tcPr>
          <w:p>
            <w:pPr>
              <w:spacing w:after="40"/>
            </w:pPr>
            <w:r/>
            <w:r>
              <w:rPr>
                <w:b/>
                <w:caps/>
                <w:color w:val="B02A20"/>
                <w:sz w:val="16"/>
              </w:rPr>
              <w:t>Core</w:t>
            </w:r>
          </w:p>
        </w:tc>
        <w:tc>
          <w:tcPr>
            <w:tcW w:type="dxa" w:w="3744"/>
          </w:tcPr>
          <w:p>
            <w:pPr>
              <w:spacing w:after="40"/>
            </w:pPr>
            <w:r/>
            <w:r>
              <w:rPr>
                <w:b/>
                <w:sz w:val="19"/>
              </w:rPr>
              <w:t>Kill the horizontal scroll. Go vertical, Inshorts-style.</w:t>
            </w:r>
          </w:p>
        </w:tc>
        <w:tc>
          <w:tcPr>
            <w:tcW w:type="dxa" w:w="4536"/>
          </w:tcPr>
          <w:p>
            <w:pPr>
              <w:spacing w:after="40"/>
            </w:pPr>
            <w:r/>
            <w:r>
              <w:rPr>
                <w:color w:val="626C7A"/>
                <w:sz w:val="19"/>
              </w:rPr>
              <w:t>Jacob's Law — people arrive expecting a vertical feed and spend their first seconds fighting the gesture.</w:t>
            </w:r>
          </w:p>
        </w:tc>
      </w:tr>
      <w:tr>
        <w:tc>
          <w:tcPr>
            <w:tcW w:type="dxa" w:w="1080"/>
          </w:tcPr>
          <w:p>
            <w:pPr>
              <w:spacing w:after="40"/>
            </w:pPr>
            <w:r/>
            <w:r>
              <w:rPr>
                <w:b/>
                <w:caps/>
                <w:color w:val="B02A20"/>
                <w:sz w:val="16"/>
              </w:rPr>
              <w:t>Core</w:t>
            </w:r>
          </w:p>
        </w:tc>
        <w:tc>
          <w:tcPr>
            <w:tcW w:type="dxa" w:w="3744"/>
          </w:tcPr>
          <w:p>
            <w:pPr>
              <w:spacing w:after="40"/>
            </w:pPr>
            <w:r/>
            <w:r>
              <w:rPr>
                <w:b/>
                <w:sz w:val="19"/>
              </w:rPr>
              <w:t>Never re-serve a story the user has read. Open at story 6, not story 1.</w:t>
            </w:r>
          </w:p>
        </w:tc>
        <w:tc>
          <w:tcPr>
            <w:tcW w:type="dxa" w:w="4536"/>
          </w:tcPr>
          <w:p>
            <w:pPr>
              <w:spacing w:after="40"/>
            </w:pPr>
            <w:r/>
            <w:r>
              <w:rPr>
                <w:color w:val="626C7A"/>
                <w:sz w:val="19"/>
              </w:rPr>
              <w:t>Repetition creates fatigue, fatigue drops them to once a day, and once a day decays to zero.</w:t>
            </w:r>
          </w:p>
        </w:tc>
      </w:tr>
      <w:tr>
        <w:tc>
          <w:tcPr>
            <w:tcW w:type="dxa" w:w="1080"/>
          </w:tcPr>
          <w:p>
            <w:pPr>
              <w:spacing w:after="40"/>
            </w:pPr>
            <w:r/>
            <w:r>
              <w:rPr>
                <w:b/>
                <w:caps/>
                <w:color w:val="B4740E"/>
                <w:sz w:val="16"/>
              </w:rPr>
              <w:t>High</w:t>
            </w:r>
          </w:p>
        </w:tc>
        <w:tc>
          <w:tcPr>
            <w:tcW w:type="dxa" w:w="3744"/>
          </w:tcPr>
          <w:p>
            <w:pPr>
              <w:spacing w:after="40"/>
            </w:pPr>
            <w:r/>
            <w:r>
              <w:rPr>
                <w:b/>
                <w:sz w:val="19"/>
              </w:rPr>
              <w:t>Say, on the screen, that the brief is personalised.</w:t>
            </w:r>
          </w:p>
        </w:tc>
        <w:tc>
          <w:tcPr>
            <w:tcW w:type="dxa" w:w="4536"/>
          </w:tcPr>
          <w:p>
            <w:pPr>
              <w:spacing w:after="40"/>
            </w:pPr>
            <w:r/>
            <w:r>
              <w:rPr>
                <w:color w:val="626C7A"/>
                <w:sz w:val="19"/>
              </w:rPr>
              <w:t>Nowhere does the app claim it — so the work is invisible and the value never lands.</w:t>
            </w:r>
          </w:p>
        </w:tc>
      </w:tr>
      <w:tr>
        <w:tc>
          <w:tcPr>
            <w:tcW w:type="dxa" w:w="1080"/>
          </w:tcPr>
          <w:p>
            <w:pPr>
              <w:spacing w:after="40"/>
            </w:pPr>
            <w:r/>
            <w:r>
              <w:rPr>
                <w:b/>
                <w:caps/>
                <w:color w:val="B4740E"/>
                <w:sz w:val="16"/>
              </w:rPr>
              <w:t>High</w:t>
            </w:r>
          </w:p>
        </w:tc>
        <w:tc>
          <w:tcPr>
            <w:tcW w:type="dxa" w:w="3744"/>
          </w:tcPr>
          <w:p>
            <w:pPr>
              <w:spacing w:after="40"/>
            </w:pPr>
            <w:r/>
            <w:r>
              <w:rPr>
                <w:b/>
                <w:sz w:val="19"/>
              </w:rPr>
              <w:t>Make recency a weight in ranking, not a hard filter.</w:t>
            </w:r>
          </w:p>
        </w:tc>
        <w:tc>
          <w:tcPr>
            <w:tcW w:type="dxa" w:w="4536"/>
          </w:tcPr>
          <w:p>
            <w:pPr>
              <w:spacing w:after="40"/>
            </w:pPr>
            <w:r/>
            <w:r>
              <w:rPr>
                <w:color w:val="626C7A"/>
                <w:sz w:val="19"/>
              </w:rPr>
              <w:t>A hard cutoff means a user who missed two days can never resume; a weight lets them.</w:t>
            </w:r>
          </w:p>
        </w:tc>
      </w:tr>
      <w:tr>
        <w:tc>
          <w:tcPr>
            <w:tcW w:type="dxa" w:w="1080"/>
          </w:tcPr>
          <w:p>
            <w:pPr>
              <w:spacing w:after="40"/>
            </w:pPr>
            <w:r/>
            <w:r>
              <w:rPr>
                <w:b/>
                <w:caps/>
                <w:color w:val="B4740E"/>
                <w:sz w:val="16"/>
              </w:rPr>
              <w:t>High</w:t>
            </w:r>
          </w:p>
        </w:tc>
        <w:tc>
          <w:tcPr>
            <w:tcW w:type="dxa" w:w="3744"/>
          </w:tcPr>
          <w:p>
            <w:pPr>
              <w:spacing w:after="40"/>
            </w:pPr>
            <w:r/>
            <w:r>
              <w:rPr>
                <w:b/>
                <w:sz w:val="19"/>
              </w:rPr>
              <w:t>Personalise the ORDER of stories. Question whether to personalise the SELECTION at all.</w:t>
            </w:r>
          </w:p>
        </w:tc>
        <w:tc>
          <w:tcPr>
            <w:tcW w:type="dxa" w:w="4536"/>
          </w:tcPr>
          <w:p>
            <w:pPr>
              <w:spacing w:after="40"/>
            </w:pPr>
            <w:r/>
            <w:r>
              <w:rPr>
                <w:color w:val="626C7A"/>
                <w:sz w:val="19"/>
              </w:rPr>
              <w:t>At Inc42's daily publish volume there may not be enough stories for selection-level personalisation to mean anything.</w:t>
            </w:r>
          </w:p>
        </w:tc>
      </w:tr>
      <w:tr>
        <w:tc>
          <w:tcPr>
            <w:tcW w:type="dxa" w:w="1080"/>
          </w:tcPr>
          <w:p>
            <w:pPr>
              <w:spacing w:after="40"/>
            </w:pPr>
            <w:r/>
            <w:r>
              <w:rPr>
                <w:b/>
                <w:caps/>
                <w:color w:val="626C7A"/>
                <w:sz w:val="16"/>
              </w:rPr>
              <w:t>Demote</w:t>
            </w:r>
          </w:p>
        </w:tc>
        <w:tc>
          <w:tcPr>
            <w:tcW w:type="dxa" w:w="3744"/>
          </w:tcPr>
          <w:p>
            <w:pPr>
              <w:spacing w:after="40"/>
            </w:pPr>
            <w:r/>
            <w:r>
              <w:rPr>
                <w:b/>
                <w:sz w:val="19"/>
              </w:rPr>
              <w:t>Weekly recap and weekend brief must not hold homepage prominence.</w:t>
            </w:r>
          </w:p>
        </w:tc>
        <w:tc>
          <w:tcPr>
            <w:tcW w:type="dxa" w:w="4536"/>
          </w:tcPr>
          <w:p>
            <w:pPr>
              <w:spacing w:after="40"/>
            </w:pPr>
            <w:r/>
            <w:r>
              <w:rPr>
                <w:color w:val="626C7A"/>
                <w:sz w:val="19"/>
              </w:rPr>
              <w:t>Bells and whistles. They take space the core use case has not yet earned back.</w:t>
            </w:r>
          </w:p>
        </w:tc>
      </w:tr>
    </w:tbl>
    <w:p>
      <w:pPr>
        <w:spacing w:after="40"/>
      </w:pPr>
    </w:p>
    <w:p>
      <w:pPr>
        <w:spacing w:before="0" w:after="80"/>
      </w:pPr>
      <w:r>
        <w:rPr>
          <w:b w:val="0"/>
          <w:i/>
          <w:color w:val="3A424E"/>
          <w:sz w:val="19"/>
        </w:rPr>
        <w:t>Three independent sources, one finding. Ravi's "what is Brief?" matches the post-launch data (all brief loss sits at card 1, 45% advance) and the 20 Aug Brief Card UX session. This is not one person's taste.</w:t>
      </w:r>
    </w:p>
    <w:p>
      <w:pPr>
        <w:spacing w:before="320" w:after="40"/>
        <w:pBdr>
          <w:bottom w:val="single" w:sz="12" w:space="2" w:color="14181F"/>
        </w:pBdr>
      </w:pPr>
      <w:r>
        <w:rPr>
          <w:b/>
          <w:color w:val="14181F"/>
          <w:sz w:val="30"/>
        </w:rPr>
        <w:t>2. Explore</w:t>
      </w:r>
      <w:r>
        <w:rPr>
          <w:color w:val="626C7A"/>
          <w:sz w:val="18"/>
        </w:rPr>
        <w:t xml:space="preserve">   2 changes</w:t>
      </w:r>
    </w:p>
    <w:tbl>
      <w:tblPr>
        <w:tblStyle w:val="TableGrid"/>
        <w:tblW w:type="auto" w:w="0"/>
        <w:jc w:val="left"/>
        <w:tblLook w:firstColumn="1" w:firstRow="1" w:lastColumn="0" w:lastRow="0" w:noHBand="0" w:noVBand="1" w:val="04A0"/>
      </w:tblPr>
      <w:tblGrid>
        <w:gridCol w:w="3120"/>
        <w:gridCol w:w="3120"/>
        <w:gridCol w:w="3120"/>
      </w:tblGrid>
      <w:tr>
        <w:tc>
          <w:tcPr>
            <w:tcW w:type="dxa" w:w="1080"/>
            <w:shd w:val="clear" w:fill="F2F4F7"/>
          </w:tcPr>
          <w:p>
            <w:r/>
            <w:r>
              <w:rPr>
                <w:b/>
                <w:caps/>
                <w:color w:val="626C7A"/>
                <w:sz w:val="16"/>
              </w:rPr>
              <w:t>Tag</w:t>
            </w:r>
          </w:p>
        </w:tc>
        <w:tc>
          <w:tcPr>
            <w:tcW w:type="dxa" w:w="3744"/>
            <w:shd w:val="clear" w:fill="F2F4F7"/>
          </w:tcPr>
          <w:p>
            <w:r/>
            <w:r>
              <w:rPr>
                <w:b/>
                <w:caps/>
                <w:color w:val="626C7A"/>
                <w:sz w:val="16"/>
              </w:rPr>
              <w:t>The change</w:t>
            </w:r>
          </w:p>
        </w:tc>
        <w:tc>
          <w:tcPr>
            <w:tcW w:type="dxa" w:w="4536"/>
            <w:shd w:val="clear" w:fill="F2F4F7"/>
          </w:tcPr>
          <w:p>
            <w:r/>
            <w:r>
              <w:rPr>
                <w:b/>
                <w:caps/>
                <w:color w:val="626C7A"/>
                <w:sz w:val="16"/>
              </w:rPr>
              <w:t>Why</w:t>
            </w:r>
          </w:p>
        </w:tc>
      </w:tr>
      <w:tr>
        <w:tc>
          <w:tcPr>
            <w:tcW w:type="dxa" w:w="1080"/>
          </w:tcPr>
          <w:p>
            <w:pPr>
              <w:spacing w:after="40"/>
            </w:pPr>
            <w:r/>
            <w:r>
              <w:rPr>
                <w:b/>
                <w:caps/>
                <w:color w:val="B4740E"/>
                <w:sz w:val="16"/>
              </w:rPr>
              <w:t>High</w:t>
            </w:r>
          </w:p>
        </w:tc>
        <w:tc>
          <w:tcPr>
            <w:tcW w:type="dxa" w:w="3744"/>
          </w:tcPr>
          <w:p>
            <w:pPr>
              <w:spacing w:after="40"/>
            </w:pPr>
            <w:r/>
            <w:r>
              <w:rPr>
                <w:b/>
                <w:sz w:val="19"/>
              </w:rPr>
              <w:t>Remove the auto-popping filter.</w:t>
            </w:r>
          </w:p>
        </w:tc>
        <w:tc>
          <w:tcPr>
            <w:tcW w:type="dxa" w:w="4536"/>
          </w:tcPr>
          <w:p>
            <w:pPr>
              <w:spacing w:after="40"/>
            </w:pPr>
            <w:r/>
            <w:r>
              <w:rPr>
                <w:color w:val="626C7A"/>
                <w:sz w:val="19"/>
              </w:rPr>
              <w:t>It isn't user-initiated. His first instinct was to hit the ✕ — the opposite of the intent.</w:t>
            </w:r>
          </w:p>
        </w:tc>
      </w:tr>
      <w:tr>
        <w:tc>
          <w:tcPr>
            <w:tcW w:type="dxa" w:w="1080"/>
          </w:tcPr>
          <w:p>
            <w:pPr>
              <w:spacing w:after="40"/>
            </w:pPr>
            <w:r/>
            <w:r>
              <w:rPr>
                <w:b/>
                <w:caps/>
                <w:color w:val="626C7A"/>
                <w:sz w:val="16"/>
              </w:rPr>
              <w:t>Polish</w:t>
            </w:r>
          </w:p>
        </w:tc>
        <w:tc>
          <w:tcPr>
            <w:tcW w:type="dxa" w:w="3744"/>
          </w:tcPr>
          <w:p>
            <w:pPr>
              <w:spacing w:after="40"/>
            </w:pPr>
            <w:r/>
            <w:r>
              <w:rPr>
                <w:b/>
                <w:sz w:val="19"/>
              </w:rPr>
              <w:t>Changing a filter tab should reset the scroll to the top.</w:t>
            </w:r>
          </w:p>
        </w:tc>
        <w:tc>
          <w:tcPr>
            <w:tcW w:type="dxa" w:w="4536"/>
          </w:tcPr>
          <w:p>
            <w:pPr>
              <w:spacing w:after="40"/>
            </w:pPr>
            <w:r/>
            <w:r>
              <w:rPr>
                <w:color w:val="626C7A"/>
                <w:sz w:val="19"/>
              </w:rPr>
              <w:t>Today it drops you mid-list in content you never asked for.</w:t>
            </w:r>
          </w:p>
        </w:tc>
      </w:tr>
    </w:tbl>
    <w:p>
      <w:pPr>
        <w:spacing w:after="40"/>
      </w:pPr>
    </w:p>
    <w:p>
      <w:pPr>
        <w:spacing w:before="320" w:after="40"/>
        <w:pBdr>
          <w:bottom w:val="single" w:sz="12" w:space="2" w:color="14181F"/>
        </w:pBdr>
      </w:pPr>
      <w:r>
        <w:rPr>
          <w:b/>
          <w:color w:val="14181F"/>
          <w:sz w:val="30"/>
        </w:rPr>
        <w:t>3. Article view</w:t>
      </w:r>
      <w:r>
        <w:rPr>
          <w:color w:val="626C7A"/>
          <w:sz w:val="18"/>
        </w:rPr>
        <w:t xml:space="preserve">   1 change</w:t>
      </w:r>
    </w:p>
    <w:tbl>
      <w:tblPr>
        <w:tblStyle w:val="TableGrid"/>
        <w:tblW w:type="auto" w:w="0"/>
        <w:jc w:val="left"/>
        <w:tblLook w:firstColumn="1" w:firstRow="1" w:lastColumn="0" w:lastRow="0" w:noHBand="0" w:noVBand="1" w:val="04A0"/>
      </w:tblPr>
      <w:tblGrid>
        <w:gridCol w:w="3120"/>
        <w:gridCol w:w="3120"/>
        <w:gridCol w:w="3120"/>
      </w:tblGrid>
      <w:tr>
        <w:tc>
          <w:tcPr>
            <w:tcW w:type="dxa" w:w="1080"/>
            <w:shd w:val="clear" w:fill="F2F4F7"/>
          </w:tcPr>
          <w:p>
            <w:r/>
            <w:r>
              <w:rPr>
                <w:b/>
                <w:caps/>
                <w:color w:val="626C7A"/>
                <w:sz w:val="16"/>
              </w:rPr>
              <w:t>Tag</w:t>
            </w:r>
          </w:p>
        </w:tc>
        <w:tc>
          <w:tcPr>
            <w:tcW w:type="dxa" w:w="3744"/>
            <w:shd w:val="clear" w:fill="F2F4F7"/>
          </w:tcPr>
          <w:p>
            <w:r/>
            <w:r>
              <w:rPr>
                <w:b/>
                <w:caps/>
                <w:color w:val="626C7A"/>
                <w:sz w:val="16"/>
              </w:rPr>
              <w:t>The change</w:t>
            </w:r>
          </w:p>
        </w:tc>
        <w:tc>
          <w:tcPr>
            <w:tcW w:type="dxa" w:w="4536"/>
            <w:shd w:val="clear" w:fill="F2F4F7"/>
          </w:tcPr>
          <w:p>
            <w:r/>
            <w:r>
              <w:rPr>
                <w:b/>
                <w:caps/>
                <w:color w:val="626C7A"/>
                <w:sz w:val="16"/>
              </w:rPr>
              <w:t>Why</w:t>
            </w:r>
          </w:p>
        </w:tc>
      </w:tr>
      <w:tr>
        <w:tc>
          <w:tcPr>
            <w:tcW w:type="dxa" w:w="1080"/>
          </w:tcPr>
          <w:p>
            <w:pPr>
              <w:spacing w:after="40"/>
            </w:pPr>
            <w:r/>
            <w:r>
              <w:rPr>
                <w:b/>
                <w:caps/>
                <w:color w:val="626C7A"/>
                <w:sz w:val="16"/>
              </w:rPr>
              <w:t>Polish</w:t>
            </w:r>
          </w:p>
        </w:tc>
        <w:tc>
          <w:tcPr>
            <w:tcW w:type="dxa" w:w="3744"/>
          </w:tcPr>
          <w:p>
            <w:pPr>
              <w:spacing w:after="40"/>
            </w:pPr>
            <w:r/>
            <w:r>
              <w:rPr>
                <w:b/>
                <w:sz w:val="19"/>
              </w:rPr>
              <w:t>The progress bar should run to the end of the ARTICLE, not the end of the PAGE.</w:t>
            </w:r>
          </w:p>
        </w:tc>
        <w:tc>
          <w:tcPr>
            <w:tcW w:type="dxa" w:w="4536"/>
          </w:tcPr>
          <w:p>
            <w:pPr>
              <w:spacing w:after="40"/>
            </w:pPr>
            <w:r/>
            <w:r>
              <w:rPr>
                <w:color w:val="626C7A"/>
                <w:sz w:val="19"/>
              </w:rPr>
              <w:t>Footer, related stories and comments are counted as reading, so the bar lies about how much is left.</w:t>
            </w:r>
          </w:p>
        </w:tc>
      </w:tr>
    </w:tbl>
    <w:p>
      <w:pPr>
        <w:spacing w:after="40"/>
      </w:pPr>
    </w:p>
    <w:p>
      <w:pPr>
        <w:spacing w:before="320" w:after="40"/>
        <w:pBdr>
          <w:bottom w:val="single" w:sz="12" w:space="2" w:color="14181F"/>
        </w:pBdr>
      </w:pPr>
      <w:r>
        <w:rPr>
          <w:b/>
          <w:color w:val="14181F"/>
          <w:sz w:val="30"/>
        </w:rPr>
        <w:t>4. Companies</w:t>
      </w:r>
      <w:r>
        <w:rPr>
          <w:color w:val="626C7A"/>
          <w:sz w:val="18"/>
        </w:rPr>
        <w:t xml:space="preserve">   2 changes</w:t>
      </w:r>
    </w:p>
    <w:p>
      <w:pPr>
        <w:spacing w:before="120" w:after="120"/>
      </w:pPr>
      <w:r>
        <w:rPr>
          <w:b w:val="0"/>
          <w:i/>
          <w:color w:val="626C7A"/>
          <w:sz w:val="20"/>
        </w:rPr>
        <w:t>Company data is the deepest earned engagement in the app — and the screen opens as if nobody arrives with a name in mind.</w:t>
      </w:r>
    </w:p>
    <w:tbl>
      <w:tblPr>
        <w:tblStyle w:val="TableGrid"/>
        <w:tblW w:type="auto" w:w="0"/>
        <w:jc w:val="left"/>
        <w:tblLook w:firstColumn="1" w:firstRow="1" w:lastColumn="0" w:lastRow="0" w:noHBand="0" w:noVBand="1" w:val="04A0"/>
      </w:tblPr>
      <w:tblGrid>
        <w:gridCol w:w="3120"/>
        <w:gridCol w:w="3120"/>
        <w:gridCol w:w="3120"/>
      </w:tblGrid>
      <w:tr>
        <w:tc>
          <w:tcPr>
            <w:tcW w:type="dxa" w:w="1080"/>
            <w:shd w:val="clear" w:fill="F2F4F7"/>
          </w:tcPr>
          <w:p>
            <w:r/>
            <w:r>
              <w:rPr>
                <w:b/>
                <w:caps/>
                <w:color w:val="626C7A"/>
                <w:sz w:val="16"/>
              </w:rPr>
              <w:t>Tag</w:t>
            </w:r>
          </w:p>
        </w:tc>
        <w:tc>
          <w:tcPr>
            <w:tcW w:type="dxa" w:w="3744"/>
            <w:shd w:val="clear" w:fill="F2F4F7"/>
          </w:tcPr>
          <w:p>
            <w:r/>
            <w:r>
              <w:rPr>
                <w:b/>
                <w:caps/>
                <w:color w:val="626C7A"/>
                <w:sz w:val="16"/>
              </w:rPr>
              <w:t>The change</w:t>
            </w:r>
          </w:p>
        </w:tc>
        <w:tc>
          <w:tcPr>
            <w:tcW w:type="dxa" w:w="4536"/>
            <w:shd w:val="clear" w:fill="F2F4F7"/>
          </w:tcPr>
          <w:p>
            <w:r/>
            <w:r>
              <w:rPr>
                <w:b/>
                <w:caps/>
                <w:color w:val="626C7A"/>
                <w:sz w:val="16"/>
              </w:rPr>
              <w:t>Why</w:t>
            </w:r>
          </w:p>
        </w:tc>
      </w:tr>
      <w:tr>
        <w:tc>
          <w:tcPr>
            <w:tcW w:type="dxa" w:w="1080"/>
          </w:tcPr>
          <w:p>
            <w:pPr>
              <w:spacing w:after="40"/>
            </w:pPr>
            <w:r/>
            <w:r>
              <w:rPr>
                <w:b/>
                <w:caps/>
                <w:color w:val="B4740E"/>
                <w:sz w:val="16"/>
              </w:rPr>
              <w:t>High</w:t>
            </w:r>
          </w:p>
        </w:tc>
        <w:tc>
          <w:tcPr>
            <w:tcW w:type="dxa" w:w="3744"/>
          </w:tcPr>
          <w:p>
            <w:pPr>
              <w:spacing w:after="40"/>
            </w:pPr>
            <w:r/>
            <w:r>
              <w:rPr>
                <w:b/>
                <w:sz w:val="19"/>
              </w:rPr>
              <w:t>Lead with search, not a discovery scroll.</w:t>
            </w:r>
          </w:p>
        </w:tc>
        <w:tc>
          <w:tcPr>
            <w:tcW w:type="dxa" w:w="4536"/>
          </w:tcPr>
          <w:p>
            <w:pPr>
              <w:spacing w:after="40"/>
            </w:pPr>
            <w:r/>
            <w:r>
              <w:rPr>
                <w:color w:val="626C7A"/>
                <w:sz w:val="19"/>
              </w:rPr>
              <w:t>People come to this tab looking for one company. Make that the first thing on the screen.</w:t>
            </w:r>
          </w:p>
        </w:tc>
      </w:tr>
      <w:tr>
        <w:tc>
          <w:tcPr>
            <w:tcW w:type="dxa" w:w="1080"/>
          </w:tcPr>
          <w:p>
            <w:pPr>
              <w:spacing w:after="40"/>
            </w:pPr>
            <w:r/>
            <w:r>
              <w:rPr>
                <w:b/>
                <w:caps/>
                <w:color w:val="B4740E"/>
                <w:sz w:val="16"/>
              </w:rPr>
              <w:t>High</w:t>
            </w:r>
          </w:p>
        </w:tc>
        <w:tc>
          <w:tcPr>
            <w:tcW w:type="dxa" w:w="3744"/>
          </w:tcPr>
          <w:p>
            <w:pPr>
              <w:spacing w:after="40"/>
            </w:pPr>
            <w:r/>
            <w:r>
              <w:rPr>
                <w:b/>
                <w:sz w:val="19"/>
              </w:rPr>
              <w:t>"Recently funded" must show amount raised and valuation — not the generic card.</w:t>
            </w:r>
          </w:p>
        </w:tc>
        <w:tc>
          <w:tcPr>
            <w:tcW w:type="dxa" w:w="4536"/>
          </w:tcPr>
          <w:p>
            <w:pPr>
              <w:spacing w:after="40"/>
            </w:pPr>
            <w:r/>
            <w:r>
              <w:rPr>
                <w:color w:val="626C7A"/>
                <w:sz w:val="19"/>
              </w:rPr>
              <w:t>The numbers are the differentiator. A generic card spends the slot and says nothing DataLabs alone could say.</w:t>
            </w:r>
          </w:p>
        </w:tc>
      </w:tr>
    </w:tbl>
    <w:p>
      <w:pPr>
        <w:spacing w:after="40"/>
      </w:pPr>
    </w:p>
    <w:p>
      <w:pPr>
        <w:spacing w:before="320" w:after="40"/>
        <w:pBdr>
          <w:bottom w:val="single" w:sz="12" w:space="2" w:color="14181F"/>
        </w:pBdr>
      </w:pPr>
      <w:r>
        <w:rPr>
          <w:b/>
          <w:color w:val="14181F"/>
          <w:sz w:val="30"/>
        </w:rPr>
        <w:t>5. Streak &amp; sign-in</w:t>
      </w:r>
      <w:r>
        <w:rPr>
          <w:color w:val="626C7A"/>
          <w:sz w:val="18"/>
        </w:rPr>
        <w:t xml:space="preserve">   1 change</w:t>
      </w:r>
    </w:p>
    <w:tbl>
      <w:tblPr>
        <w:tblStyle w:val="TableGrid"/>
        <w:tblW w:type="auto" w:w="0"/>
        <w:jc w:val="left"/>
        <w:tblLook w:firstColumn="1" w:firstRow="1" w:lastColumn="0" w:lastRow="0" w:noHBand="0" w:noVBand="1" w:val="04A0"/>
      </w:tblPr>
      <w:tblGrid>
        <w:gridCol w:w="3120"/>
        <w:gridCol w:w="3120"/>
        <w:gridCol w:w="3120"/>
      </w:tblGrid>
      <w:tr>
        <w:tc>
          <w:tcPr>
            <w:tcW w:type="dxa" w:w="1080"/>
            <w:shd w:val="clear" w:fill="F2F4F7"/>
          </w:tcPr>
          <w:p>
            <w:r/>
            <w:r>
              <w:rPr>
                <w:b/>
                <w:caps/>
                <w:color w:val="626C7A"/>
                <w:sz w:val="16"/>
              </w:rPr>
              <w:t>Tag</w:t>
            </w:r>
          </w:p>
        </w:tc>
        <w:tc>
          <w:tcPr>
            <w:tcW w:type="dxa" w:w="3744"/>
            <w:shd w:val="clear" w:fill="F2F4F7"/>
          </w:tcPr>
          <w:p>
            <w:r/>
            <w:r>
              <w:rPr>
                <w:b/>
                <w:caps/>
                <w:color w:val="626C7A"/>
                <w:sz w:val="16"/>
              </w:rPr>
              <w:t>The change</w:t>
            </w:r>
          </w:p>
        </w:tc>
        <w:tc>
          <w:tcPr>
            <w:tcW w:type="dxa" w:w="4536"/>
            <w:shd w:val="clear" w:fill="F2F4F7"/>
          </w:tcPr>
          <w:p>
            <w:r/>
            <w:r>
              <w:rPr>
                <w:b/>
                <w:caps/>
                <w:color w:val="626C7A"/>
                <w:sz w:val="16"/>
              </w:rPr>
              <w:t>Why</w:t>
            </w:r>
          </w:p>
        </w:tc>
      </w:tr>
      <w:tr>
        <w:tc>
          <w:tcPr>
            <w:tcW w:type="dxa" w:w="1080"/>
          </w:tcPr>
          <w:p>
            <w:pPr>
              <w:spacing w:after="40"/>
            </w:pPr>
            <w:r/>
            <w:r>
              <w:rPr>
                <w:b/>
                <w:caps/>
                <w:color w:val="B4740E"/>
                <w:sz w:val="16"/>
              </w:rPr>
              <w:t>High</w:t>
            </w:r>
          </w:p>
        </w:tc>
        <w:tc>
          <w:tcPr>
            <w:tcW w:type="dxa" w:w="3744"/>
          </w:tcPr>
          <w:p>
            <w:pPr>
              <w:spacing w:after="40"/>
            </w:pPr>
            <w:r/>
            <w:r>
              <w:rPr>
                <w:b/>
                <w:sz w:val="19"/>
              </w:rPr>
              <w:t>Show the 1-day streak first, then say "sign in to save it".</w:t>
            </w:r>
          </w:p>
        </w:tc>
        <w:tc>
          <w:tcPr>
            <w:tcW w:type="dxa" w:w="4536"/>
          </w:tcPr>
          <w:p>
            <w:pPr>
              <w:spacing w:after="40"/>
            </w:pPr>
            <w:r/>
            <w:r>
              <w:rPr>
                <w:color w:val="626C7A"/>
                <w:sz w:val="19"/>
              </w:rPr>
              <w:t>Today the ask comes before any gratification — you're charging for something they haven't felt yet.</w:t>
            </w:r>
          </w:p>
        </w:tc>
      </w:tr>
    </w:tbl>
    <w:p>
      <w:pPr>
        <w:spacing w:after="40"/>
      </w:pPr>
    </w:p>
    <w:p>
      <w:pPr>
        <w:spacing w:before="320" w:after="40"/>
        <w:pBdr>
          <w:bottom w:val="single" w:sz="12" w:space="2" w:color="14181F"/>
        </w:pBdr>
      </w:pPr>
      <w:r>
        <w:rPr>
          <w:b/>
          <w:color w:val="14181F"/>
          <w:sz w:val="30"/>
        </w:rPr>
        <w:t>6. Push notifications</w:t>
      </w:r>
      <w:r>
        <w:rPr>
          <w:color w:val="626C7A"/>
          <w:sz w:val="18"/>
        </w:rPr>
        <w:t xml:space="preserve">   1 bug · iOS</w:t>
      </w:r>
    </w:p>
    <w:p>
      <w:pPr>
        <w:spacing w:before="120" w:after="120"/>
      </w:pPr>
      <w:r>
        <w:rPr>
          <w:b w:val="0"/>
          <w:i/>
          <w:color w:val="626C7A"/>
          <w:sz w:val="20"/>
        </w:rPr>
        <w:t>Not a design note — a root cause. This is the likely explanation for "push never fired" in the post-launch data.</w:t>
      </w:r>
    </w:p>
    <w:tbl>
      <w:tblPr>
        <w:tblStyle w:val="TableGrid"/>
        <w:tblW w:type="auto" w:w="0"/>
        <w:jc w:val="left"/>
        <w:tblLook w:firstColumn="1" w:firstRow="1" w:lastColumn="0" w:lastRow="0" w:noHBand="0" w:noVBand="1" w:val="04A0"/>
      </w:tblPr>
      <w:tblGrid>
        <w:gridCol w:w="3120"/>
        <w:gridCol w:w="3120"/>
        <w:gridCol w:w="3120"/>
      </w:tblGrid>
      <w:tr>
        <w:tc>
          <w:tcPr>
            <w:tcW w:type="dxa" w:w="1080"/>
            <w:shd w:val="clear" w:fill="F2F4F7"/>
          </w:tcPr>
          <w:p>
            <w:r/>
            <w:r>
              <w:rPr>
                <w:b/>
                <w:caps/>
                <w:color w:val="626C7A"/>
                <w:sz w:val="16"/>
              </w:rPr>
              <w:t>Tag</w:t>
            </w:r>
          </w:p>
        </w:tc>
        <w:tc>
          <w:tcPr>
            <w:tcW w:type="dxa" w:w="3744"/>
            <w:shd w:val="clear" w:fill="F2F4F7"/>
          </w:tcPr>
          <w:p>
            <w:r/>
            <w:r>
              <w:rPr>
                <w:b/>
                <w:caps/>
                <w:color w:val="626C7A"/>
                <w:sz w:val="16"/>
              </w:rPr>
              <w:t>The change</w:t>
            </w:r>
          </w:p>
        </w:tc>
        <w:tc>
          <w:tcPr>
            <w:tcW w:type="dxa" w:w="4536"/>
            <w:shd w:val="clear" w:fill="F2F4F7"/>
          </w:tcPr>
          <w:p>
            <w:r/>
            <w:r>
              <w:rPr>
                <w:b/>
                <w:caps/>
                <w:color w:val="626C7A"/>
                <w:sz w:val="16"/>
              </w:rPr>
              <w:t>Why</w:t>
            </w:r>
          </w:p>
        </w:tc>
      </w:tr>
      <w:tr>
        <w:tc>
          <w:tcPr>
            <w:tcW w:type="dxa" w:w="1080"/>
          </w:tcPr>
          <w:p>
            <w:pPr>
              <w:spacing w:after="40"/>
            </w:pPr>
            <w:r/>
            <w:r>
              <w:rPr>
                <w:b/>
                <w:caps/>
                <w:color w:val="B4740E"/>
                <w:sz w:val="16"/>
              </w:rPr>
              <w:t>Cause</w:t>
            </w:r>
          </w:p>
        </w:tc>
        <w:tc>
          <w:tcPr>
            <w:tcW w:type="dxa" w:w="3744"/>
          </w:tcPr>
          <w:p>
            <w:pPr>
              <w:spacing w:after="40"/>
            </w:pPr>
            <w:r/>
            <w:r>
              <w:rPr>
                <w:b/>
                <w:sz w:val="19"/>
              </w:rPr>
              <w:t>The app sends a silent / remote push, which never delivers when the app is force-killed from the switcher.</w:t>
            </w:r>
          </w:p>
        </w:tc>
        <w:tc>
          <w:tcPr>
            <w:tcW w:type="dxa" w:w="4536"/>
          </w:tcPr>
          <w:p>
            <w:pPr>
              <w:spacing w:after="40"/>
            </w:pPr>
            <w:r/>
            <w:r>
              <w:rPr>
                <w:color w:val="626C7A"/>
                <w:sz w:val="19"/>
              </w:rPr>
              <w:t>iOS will not wake a force-quit app to decide what to render, so the notification simply never appears.</w:t>
            </w:r>
          </w:p>
        </w:tc>
      </w:tr>
      <w:tr>
        <w:tc>
          <w:tcPr>
            <w:tcW w:type="dxa" w:w="1080"/>
          </w:tcPr>
          <w:p>
            <w:pPr>
              <w:spacing w:after="40"/>
            </w:pPr>
            <w:r/>
            <w:r>
              <w:rPr>
                <w:b/>
                <w:caps/>
                <w:color w:val="B4740E"/>
                <w:sz w:val="16"/>
              </w:rPr>
              <w:t>Fix</w:t>
            </w:r>
          </w:p>
        </w:tc>
        <w:tc>
          <w:tcPr>
            <w:tcW w:type="dxa" w:w="3744"/>
          </w:tcPr>
          <w:p>
            <w:pPr>
              <w:spacing w:after="40"/>
            </w:pPr>
            <w:r/>
            <w:r>
              <w:rPr>
                <w:b/>
                <w:sz w:val="19"/>
              </w:rPr>
              <w:t>Send an APS alert payload — title, body, sound — with the ID in "data".</w:t>
            </w:r>
          </w:p>
        </w:tc>
        <w:tc>
          <w:tcPr>
            <w:tcW w:type="dxa" w:w="4536"/>
          </w:tcPr>
          <w:p>
            <w:pPr>
              <w:spacing w:after="40"/>
            </w:pPr>
            <w:r/>
            <w:r>
              <w:rPr>
                <w:color w:val="626C7A"/>
                <w:sz w:val="19"/>
              </w:rPr>
              <w:t>FCM → APNs then renders it directly instead of waking the app to check the push type.</w:t>
            </w:r>
          </w:p>
        </w:tc>
      </w:tr>
      <w:tr>
        <w:tc>
          <w:tcPr>
            <w:tcW w:type="dxa" w:w="1080"/>
          </w:tcPr>
          <w:p>
            <w:pPr>
              <w:spacing w:after="40"/>
            </w:pPr>
            <w:r/>
            <w:r>
              <w:rPr>
                <w:b/>
                <w:caps/>
                <w:color w:val="B4740E"/>
                <w:sz w:val="16"/>
              </w:rPr>
              <w:t>Test</w:t>
            </w:r>
          </w:p>
        </w:tc>
        <w:tc>
          <w:tcPr>
            <w:tcW w:type="dxa" w:w="3744"/>
          </w:tcPr>
          <w:p>
            <w:pPr>
              <w:spacing w:after="40"/>
            </w:pPr>
            <w:r/>
            <w:r>
              <w:rPr>
                <w:b/>
                <w:sz w:val="19"/>
              </w:rPr>
              <w:t>Create an iPhone-user segment and read the delivery report.</w:t>
            </w:r>
          </w:p>
        </w:tc>
        <w:tc>
          <w:tcPr>
            <w:tcW w:type="dxa" w:w="4536"/>
          </w:tcPr>
          <w:p>
            <w:pPr>
              <w:spacing w:after="40"/>
            </w:pPr>
            <w:r/>
            <w:r>
              <w:rPr>
                <w:color w:val="626C7A"/>
                <w:sz w:val="19"/>
              </w:rPr>
              <w:t>A fresh install will not reproduce the failure, so testing on a clean device proves nothing.</w:t>
            </w:r>
          </w:p>
        </w:tc>
      </w:tr>
    </w:tbl>
    <w:p>
      <w:pPr>
        <w:spacing w:after="40"/>
      </w:pPr>
    </w:p>
    <w:p>
      <w:pPr>
        <w:spacing w:before="320" w:after="40"/>
        <w:pBdr>
          <w:bottom w:val="single" w:sz="12" w:space="2" w:color="14181F"/>
        </w:pBdr>
      </w:pPr>
      <w:r>
        <w:rPr>
          <w:b/>
          <w:color w:val="14181F"/>
          <w:sz w:val="30"/>
        </w:rPr>
        <w:t>Metrics he prescribed</w:t>
      </w:r>
      <w:r>
        <w:rPr>
          <w:color w:val="626C7A"/>
          <w:sz w:val="18"/>
        </w:rPr>
        <w:t xml:space="preserve">   across the app</w:t>
      </w:r>
    </w:p>
    <w:tbl>
      <w:tblPr>
        <w:tblStyle w:val="TableGrid"/>
        <w:tblW w:type="auto" w:w="0"/>
        <w:tblLook w:firstColumn="1" w:firstRow="1" w:lastColumn="0" w:lastRow="0" w:noHBand="0" w:noVBand="1" w:val="04A0"/>
      </w:tblPr>
      <w:tblGrid>
        <w:gridCol w:w="4680"/>
        <w:gridCol w:w="4680"/>
      </w:tblGrid>
      <w:tr>
        <w:tc>
          <w:tcPr>
            <w:tcW w:type="dxa" w:w="2736"/>
            <w:shd w:val="clear" w:fill="F2F4F7"/>
          </w:tcPr>
          <w:p>
            <w:r/>
            <w:r>
              <w:rPr>
                <w:b/>
                <w:caps/>
                <w:color w:val="626C7A"/>
                <w:sz w:val="16"/>
              </w:rPr>
              <w:t>Measure</w:t>
            </w:r>
          </w:p>
        </w:tc>
        <w:tc>
          <w:tcPr>
            <w:tcW w:type="dxa" w:w="6624"/>
            <w:shd w:val="clear" w:fill="F2F4F7"/>
          </w:tcPr>
          <w:p>
            <w:r/>
            <w:r>
              <w:rPr>
                <w:b/>
                <w:caps/>
                <w:color w:val="626C7A"/>
                <w:sz w:val="16"/>
              </w:rPr>
              <w:t>What he said</w:t>
            </w:r>
          </w:p>
        </w:tc>
      </w:tr>
      <w:tr>
        <w:tc>
          <w:tcPr>
            <w:tcW w:type="dxa" w:w="2736"/>
          </w:tcPr>
          <w:p>
            <w:r/>
            <w:r>
              <w:rPr>
                <w:b/>
                <w:sz w:val="19"/>
              </w:rPr>
              <w:t>App opens per day per user</w:t>
            </w:r>
          </w:p>
        </w:tc>
        <w:tc>
          <w:tcPr>
            <w:tcW w:type="dxa" w:w="6624"/>
          </w:tcPr>
          <w:p>
            <w:r/>
            <w:r>
              <w:rPr>
                <w:color w:val="626C7A"/>
                <w:sz w:val="19"/>
              </w:rPr>
              <w:t>The single most important metric for an information app. Everything else is downstream of it.</w:t>
            </w:r>
          </w:p>
        </w:tc>
      </w:tr>
      <w:tr>
        <w:tc>
          <w:tcPr>
            <w:tcW w:type="dxa" w:w="2736"/>
          </w:tcPr>
          <w:p>
            <w:r/>
            <w:r>
              <w:rPr>
                <w:b/>
                <w:sz w:val="19"/>
              </w:rPr>
              <w:t>Cohort &amp; frequency</w:t>
            </w:r>
          </w:p>
        </w:tc>
        <w:tc>
          <w:tcPr>
            <w:tcW w:type="dxa" w:w="6624"/>
          </w:tcPr>
          <w:p>
            <w:r/>
            <w:r>
              <w:rPr>
                <w:color w:val="626C7A"/>
                <w:sz w:val="19"/>
              </w:rPr>
              <w:t>D0 → D1 → D2 retention chart, plus RFM segments.</w:t>
            </w:r>
          </w:p>
        </w:tc>
      </w:tr>
      <w:tr>
        <w:tc>
          <w:tcPr>
            <w:tcW w:type="dxa" w:w="2736"/>
          </w:tcPr>
          <w:p>
            <w:r/>
            <w:r>
              <w:rPr>
                <w:b/>
                <w:sz w:val="19"/>
              </w:rPr>
              <w:t>Benchmark</w:t>
            </w:r>
          </w:p>
        </w:tc>
        <w:tc>
          <w:tcPr>
            <w:tcW w:type="dxa" w:w="6624"/>
          </w:tcPr>
          <w:p>
            <w:r/>
            <w:r>
              <w:rPr>
                <w:color w:val="626C7A"/>
                <w:sz w:val="19"/>
              </w:rPr>
              <w:t>~3.5 opens/day/user, or ~30 min/user — measured on strangers, not testers or early adopters.</w:t>
            </w:r>
          </w:p>
        </w:tc>
      </w:tr>
      <w:tr>
        <w:tc>
          <w:tcPr>
            <w:tcW w:type="dxa" w:w="2736"/>
          </w:tcPr>
          <w:p>
            <w:r/>
            <w:r>
              <w:rPr>
                <w:b/>
                <w:sz w:val="19"/>
              </w:rPr>
              <w:t>The red flag</w:t>
            </w:r>
          </w:p>
        </w:tc>
        <w:tc>
          <w:tcPr>
            <w:tcW w:type="dxa" w:w="6624"/>
          </w:tcPr>
          <w:p>
            <w:r/>
            <w:r>
              <w:rPr>
                <w:color w:val="626C7A"/>
                <w:sz w:val="19"/>
              </w:rPr>
              <w:t>If early adopters aren't giving good numbers, it's very bad. They'll read anything.</w:t>
            </w:r>
          </w:p>
        </w:tc>
      </w:tr>
    </w:tbl>
    <w:p>
      <w:pPr>
        <w:spacing w:after="40"/>
      </w:pPr>
    </w:p>
    <w:p>
      <w:pPr>
        <w:spacing w:before="320" w:after="40"/>
        <w:pBdr>
          <w:bottom w:val="single" w:sz="12" w:space="2" w:color="14181F"/>
        </w:pBdr>
      </w:pPr>
      <w:r>
        <w:rPr>
          <w:b/>
          <w:color w:val="14181F"/>
          <w:sz w:val="30"/>
        </w:rPr>
        <w:t>The method he taught</w:t>
      </w:r>
      <w:r>
        <w:rPr>
          <w:color w:val="626C7A"/>
          <w:sz w:val="18"/>
        </w:rPr>
        <w:t xml:space="preserve">   for the IA rebuild</w:t>
      </w:r>
    </w:p>
    <w:p>
      <w:pPr>
        <w:spacing w:before="120" w:after="120"/>
      </w:pPr>
      <w:r>
        <w:rPr>
          <w:b w:val="0"/>
          <w:i/>
          <w:color w:val="626C7A"/>
          <w:sz w:val="20"/>
        </w:rPr>
        <w:t>Card sorting — how to find the natural information architecture instead of arguing about it. His example: where does "diamond rings" belong on a jewellery site?</w:t>
      </w:r>
    </w:p>
    <w:p>
      <w:pPr>
        <w:spacing w:after="60"/>
        <w:ind w:left="216"/>
      </w:pPr>
      <w:r>
        <w:rPr>
          <w:b/>
          <w:color w:val="B4740E"/>
          <w:sz w:val="21"/>
        </w:rPr>
        <w:t xml:space="preserve">1.  </w:t>
      </w:r>
      <w:r>
        <w:rPr>
          <w:sz w:val="21"/>
        </w:rPr>
        <w:t>List the use cases the app actually serves.</w:t>
      </w:r>
    </w:p>
    <w:p>
      <w:pPr>
        <w:spacing w:after="60"/>
        <w:ind w:left="216"/>
      </w:pPr>
      <w:r>
        <w:rPr>
          <w:b/>
          <w:color w:val="B4740E"/>
          <w:sz w:val="21"/>
        </w:rPr>
        <w:t xml:space="preserve">2.  </w:t>
      </w:r>
      <w:r>
        <w:rPr>
          <w:sz w:val="21"/>
        </w:rPr>
        <w:t>Map each use case to an area of the app.</w:t>
      </w:r>
    </w:p>
    <w:p>
      <w:pPr>
        <w:spacing w:after="60"/>
        <w:ind w:left="216"/>
      </w:pPr>
      <w:r>
        <w:rPr>
          <w:b/>
          <w:color w:val="B4740E"/>
          <w:sz w:val="21"/>
        </w:rPr>
        <w:t xml:space="preserve">3.  </w:t>
      </w:r>
      <w:r>
        <w:rPr>
          <w:sz w:val="21"/>
        </w:rPr>
        <w:t>Have 5–10 people group them, independently.</w:t>
      </w:r>
    </w:p>
    <w:p>
      <w:pPr>
        <w:spacing w:after="60"/>
        <w:ind w:left="216"/>
      </w:pPr>
      <w:r>
        <w:rPr>
          <w:b/>
          <w:color w:val="B4740E"/>
          <w:sz w:val="21"/>
        </w:rPr>
        <w:t xml:space="preserve">4.  </w:t>
      </w:r>
      <w:r>
        <w:rPr>
          <w:sz w:val="21"/>
        </w:rPr>
        <w:t>The majority pattern is your natural IA. Build that.</w:t>
      </w:r>
    </w:p>
    <w:p>
      <w:pPr>
        <w:spacing w:after="120"/>
      </w:pPr>
    </w:p>
    <w:p>
      <w:pPr>
        <w:pBdr>
          <w:bottom w:val="single" w:sz="6" w:space="1" w:color="D8DCE2"/>
        </w:pBdr>
        <w:spacing w:before="40" w:after="160"/>
      </w:pPr>
    </w:p>
    <w:p>
      <w:pPr>
        <w:spacing w:before="0" w:after="80"/>
      </w:pPr>
      <w:r>
        <w:rPr>
          <w:b w:val="0"/>
          <w:i/>
          <w:color w:val="14181F"/>
          <w:sz w:val="24"/>
        </w:rPr>
        <w:t>"In the beginning, don't hesitate to scrap and rebuild."</w:t>
      </w:r>
    </w:p>
    <w:p>
      <w:pPr>
        <w:spacing w:before="0" w:after="120"/>
      </w:pPr>
      <w:r>
        <w:rPr>
          <w:b w:val="0"/>
          <w:i w:val="0"/>
          <w:color w:val="626C7A"/>
          <w:sz w:val="19"/>
        </w:rPr>
        <w:t>Ravi has offered to be called again as a sounding board.</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418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