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703010"/>
            <w:tcMar>
              <w:top w:w="240" w:type="dxa"/>
              <w:bottom w:w="240" w:type="dxa"/>
              <w:left w:w="240" w:type="dxa"/>
              <w:right w:w="24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44"/>
              </w:rPr>
              <w:t>BREWBEAN COFFEE SHOP</w:t>
              <w:br/>
            </w:r>
            <w:r>
              <w:rPr>
                <w:rFonts w:ascii="Calibri" w:hAnsi="Calibri"/>
                <w:i/>
                <w:color w:val="F0D2B4"/>
                <w:sz w:val="26"/>
              </w:rPr>
              <w:t>Executive Business Insights &amp; Strategic Recommendations</w:t>
            </w:r>
          </w:p>
        </w:tc>
      </w:tr>
    </w:tbl>
    <w:p>
      <w:pPr>
        <w:spacing w:before="120" w:after="360"/>
        <w:jc w:val="right"/>
      </w:pPr>
      <w:r>
        <w:rPr>
          <w:i/>
          <w:color w:val="787878"/>
          <w:sz w:val="18"/>
        </w:rPr>
        <w:t>Analysis Period: 2025–2026 | Dataset: Sales &amp; Operations Analytics Dashboard</w:t>
      </w:r>
    </w:p>
    <w:p>
      <w:pPr>
        <w:keepNext/>
        <w:spacing w:before="360" w:after="120"/>
        <w:pBdr>
          <w:bottom w:val="single" w:sz="12" w:space="4" w:color="C05621"/>
        </w:pBdr>
      </w:pPr>
      <w:r>
        <w:rPr>
          <w:rFonts w:ascii="Georgia" w:hAnsi="Georgia"/>
          <w:b/>
          <w:color w:val="703010"/>
          <w:sz w:val="36"/>
        </w:rPr>
        <w:t>1. Executive Summary</w:t>
      </w:r>
    </w:p>
    <w:p>
      <w:pPr>
        <w:spacing w:after="160" w:line="276" w:lineRule="auto"/>
      </w:pPr>
      <w:r>
        <w:t>This comprehensive business intelligence report provides an in-depth analysis of BrewBean Coffee Shop's operational performance, revenue dynamics, customer behaviors, product distribution, and promotional campaign efficacy. The objective is to translate raw transactional data into high-impact strategic actions that optimize profitability, streamline outlet operations, and elevate customer satisfaction.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FFFB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E2D4C9"/>
              <w:left w:val="single" w:sz="4" w:space="0" w:color="E2D4C9"/>
              <w:bottom w:val="single" w:sz="4" w:space="0" w:color="E2D4C9"/>
              <w:right w:val="single" w:sz="4" w:space="0" w:color="E2D4C9"/>
            </w:tcBorders>
          </w:tcPr>
          <w:p>
            <w:pPr>
              <w:jc w:val="center"/>
            </w:pPr>
            <w:r>
              <w:rPr>
                <w:b/>
                <w:color w:val="C05621"/>
                <w:sz w:val="17"/>
              </w:rPr>
              <w:t>TOTAL REVENUE</w:t>
              <w:br/>
            </w:r>
            <w:r>
              <w:rPr>
                <w:b/>
                <w:color w:val="703010"/>
                <w:sz w:val="32"/>
              </w:rPr>
              <w:t>$293,688.48</w:t>
              <w:br/>
            </w:r>
            <w:r>
              <w:rPr>
                <w:color w:val="646464"/>
                <w:sz w:val="16"/>
              </w:rPr>
              <w:t>Gross earnings across all outlets</w:t>
            </w:r>
          </w:p>
        </w:tc>
        <w:tc>
          <w:tcPr>
            <w:tcW w:type="dxa" w:w="3168"/>
            <w:shd w:fill="FFFB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E2D4C9"/>
              <w:left w:val="single" w:sz="4" w:space="0" w:color="E2D4C9"/>
              <w:bottom w:val="single" w:sz="4" w:space="0" w:color="E2D4C9"/>
              <w:right w:val="single" w:sz="4" w:space="0" w:color="E2D4C9"/>
            </w:tcBorders>
          </w:tcPr>
          <w:p>
            <w:pPr>
              <w:jc w:val="center"/>
            </w:pPr>
            <w:r>
              <w:rPr>
                <w:b/>
                <w:color w:val="C05621"/>
                <w:sz w:val="17"/>
              </w:rPr>
              <w:t>TOTAL PROFIT</w:t>
              <w:br/>
            </w:r>
            <w:r>
              <w:rPr>
                <w:b/>
                <w:color w:val="703010"/>
                <w:sz w:val="32"/>
              </w:rPr>
              <w:t>$175,869.48</w:t>
              <w:br/>
            </w:r>
            <w:r>
              <w:rPr>
                <w:color w:val="646464"/>
                <w:sz w:val="16"/>
              </w:rPr>
              <w:t>Net operational profit margin</w:t>
            </w:r>
          </w:p>
        </w:tc>
        <w:tc>
          <w:tcPr>
            <w:tcW w:type="dxa" w:w="3168"/>
            <w:shd w:fill="FFFB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E2D4C9"/>
              <w:left w:val="single" w:sz="4" w:space="0" w:color="E2D4C9"/>
              <w:bottom w:val="single" w:sz="4" w:space="0" w:color="E2D4C9"/>
              <w:right w:val="single" w:sz="4" w:space="0" w:color="E2D4C9"/>
            </w:tcBorders>
          </w:tcPr>
          <w:p>
            <w:pPr>
              <w:jc w:val="center"/>
            </w:pPr>
            <w:r>
              <w:rPr>
                <w:b/>
                <w:color w:val="C05621"/>
                <w:sz w:val="17"/>
              </w:rPr>
              <w:t>PROFIT MARGIN</w:t>
              <w:br/>
            </w:r>
            <w:r>
              <w:rPr>
                <w:b/>
                <w:color w:val="703010"/>
                <w:sz w:val="32"/>
              </w:rPr>
              <w:t>65.2%</w:t>
              <w:br/>
            </w:r>
            <w:r>
              <w:rPr>
                <w:color w:val="646464"/>
                <w:sz w:val="16"/>
              </w:rPr>
              <w:t>Healthy gross profitability ratio</w:t>
            </w:r>
          </w:p>
        </w:tc>
      </w:tr>
      <w:tr>
        <w:tc>
          <w:tcPr>
            <w:tcW w:type="dxa" w:w="3168"/>
            <w:shd w:fill="FFFB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E2D4C9"/>
              <w:left w:val="single" w:sz="4" w:space="0" w:color="E2D4C9"/>
              <w:bottom w:val="single" w:sz="4" w:space="0" w:color="E2D4C9"/>
              <w:right w:val="single" w:sz="4" w:space="0" w:color="E2D4C9"/>
            </w:tcBorders>
          </w:tcPr>
          <w:p>
            <w:pPr>
              <w:jc w:val="center"/>
            </w:pPr>
            <w:r>
              <w:rPr>
                <w:b/>
                <w:color w:val="C05621"/>
                <w:sz w:val="17"/>
              </w:rPr>
              <w:t>TRANSACTIONS</w:t>
              <w:br/>
            </w:r>
            <w:r>
              <w:rPr>
                <w:b/>
                <w:color w:val="703010"/>
                <w:sz w:val="32"/>
              </w:rPr>
              <w:t>800</w:t>
              <w:br/>
            </w:r>
            <w:r>
              <w:rPr>
                <w:color w:val="646464"/>
                <w:sz w:val="16"/>
              </w:rPr>
              <w:t>Total customer checkout logs</w:t>
            </w:r>
          </w:p>
        </w:tc>
        <w:tc>
          <w:tcPr>
            <w:tcW w:type="dxa" w:w="3168"/>
            <w:shd w:fill="FFFB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E2D4C9"/>
              <w:left w:val="single" w:sz="4" w:space="0" w:color="E2D4C9"/>
              <w:bottom w:val="single" w:sz="4" w:space="0" w:color="E2D4C9"/>
              <w:right w:val="single" w:sz="4" w:space="0" w:color="E2D4C9"/>
            </w:tcBorders>
          </w:tcPr>
          <w:p>
            <w:pPr>
              <w:jc w:val="center"/>
            </w:pPr>
            <w:r>
              <w:rPr>
                <w:b/>
                <w:color w:val="C05621"/>
                <w:sz w:val="17"/>
              </w:rPr>
              <w:t>UNITS SOLD</w:t>
              <w:br/>
            </w:r>
            <w:r>
              <w:rPr>
                <w:b/>
                <w:color w:val="703010"/>
                <w:sz w:val="32"/>
              </w:rPr>
              <w:t>44,572</w:t>
              <w:br/>
            </w:r>
            <w:r>
              <w:rPr>
                <w:color w:val="646464"/>
                <w:sz w:val="16"/>
              </w:rPr>
              <w:t>Volume of items sold across lines</w:t>
            </w:r>
          </w:p>
        </w:tc>
        <w:tc>
          <w:tcPr>
            <w:tcW w:type="dxa" w:w="3168"/>
            <w:shd w:fill="FFFB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E2D4C9"/>
              <w:left w:val="single" w:sz="4" w:space="0" w:color="E2D4C9"/>
              <w:bottom w:val="single" w:sz="4" w:space="0" w:color="E2D4C9"/>
              <w:right w:val="single" w:sz="4" w:space="0" w:color="E2D4C9"/>
            </w:tcBorders>
          </w:tcPr>
          <w:p>
            <w:pPr>
              <w:jc w:val="center"/>
            </w:pPr>
            <w:r>
              <w:rPr>
                <w:b/>
                <w:color w:val="C05621"/>
                <w:sz w:val="17"/>
              </w:rPr>
              <w:t>CUSTOMER RATING</w:t>
              <w:br/>
            </w:r>
            <w:r>
              <w:rPr>
                <w:b/>
                <w:color w:val="B42828"/>
                <w:sz w:val="32"/>
              </w:rPr>
              <w:t>3.4 / 5.0</w:t>
              <w:br/>
            </w:r>
            <w:r>
              <w:rPr>
                <w:color w:val="646464"/>
                <w:sz w:val="16"/>
              </w:rPr>
              <w:t>⚠️ Needs immediate service uplift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B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E2D4C9"/>
              <w:left w:val="single" w:sz="24" w:space="0" w:color="C05621"/>
              <w:bottom w:val="single" w:sz="4" w:space="0" w:color="E2D4C9"/>
              <w:right w:val="single" w:sz="4" w:space="0" w:color="E2D4C9"/>
            </w:tcBorders>
          </w:tcPr>
          <w:p>
            <w:pPr>
              <w:spacing w:after="80"/>
            </w:pPr>
            <w:r>
              <w:rPr>
                <w:b/>
                <w:color w:val="703010"/>
                <w:sz w:val="22"/>
              </w:rPr>
              <w:t>📌 Executive Summary Summary &amp; Core Challenge</w:t>
              <w:br/>
            </w:r>
            <w:r>
              <w:rPr>
                <w:color w:val="282828"/>
                <w:sz w:val="20"/>
              </w:rPr>
              <w:t>While BrewBean demonstrates strong financial performance with $293.7k in revenue and an enviable 65.2% profit margin, the customer satisfaction rating stands at a concerning 3.4 out of 5.0. Analysis indicates operational bottlenecks during peak hours (8 AM–9 AM &amp; 6 PM–7 PM) and uneven outlet/product distribution as major risk factors.</w:t>
            </w:r>
          </w:p>
        </w:tc>
      </w:tr>
    </w:tbl>
    <w:p>
      <w:pPr>
        <w:spacing w:after="80"/>
      </w:pPr>
    </w:p>
    <w:p>
      <w:pPr>
        <w:keepNext/>
        <w:spacing w:before="360" w:after="120"/>
        <w:pBdr>
          <w:bottom w:val="single" w:sz="12" w:space="4" w:color="C05621"/>
        </w:pBdr>
      </w:pPr>
      <w:r>
        <w:rPr>
          <w:rFonts w:ascii="Georgia" w:hAnsi="Georgia"/>
          <w:b/>
          <w:color w:val="703010"/>
          <w:sz w:val="36"/>
        </w:rPr>
        <w:t>2. Project Scope &amp; Analytics Approach</w:t>
      </w:r>
    </w:p>
    <w:p>
      <w:r>
        <w:t>To ensure robust and reliable recommendations, the analytics framework encompassed end-to-end data processing across five core enterprise datasets:</w:t>
      </w:r>
    </w:p>
    <w:p>
      <w:pPr>
        <w:pStyle w:val="ListBullet"/>
        <w:spacing w:after="60"/>
      </w:pPr>
      <w:r>
        <w:rPr>
          <w:b/>
          <w:color w:val="703010"/>
        </w:rPr>
        <w:t xml:space="preserve">Outlet Data: </w:t>
      </w:r>
      <w:r>
        <w:t>Performance, location metrics, operational hours, and capacity across 9 regional outlets.</w:t>
      </w:r>
    </w:p>
    <w:p>
      <w:pPr>
        <w:pStyle w:val="ListBullet"/>
        <w:spacing w:after="60"/>
      </w:pPr>
      <w:r>
        <w:rPr>
          <w:b/>
          <w:color w:val="703010"/>
        </w:rPr>
        <w:t xml:space="preserve">Inventory Data: </w:t>
      </w:r>
      <w:r>
        <w:t>Stock levels, item reorder thresholds, wastage rates, and shelf-life tracking.</w:t>
      </w:r>
    </w:p>
    <w:p>
      <w:pPr>
        <w:pStyle w:val="ListBullet"/>
        <w:spacing w:after="60"/>
      </w:pPr>
      <w:r>
        <w:rPr>
          <w:b/>
          <w:color w:val="703010"/>
        </w:rPr>
        <w:t xml:space="preserve">Product Data: </w:t>
      </w:r>
      <w:r>
        <w:t>Category breakdowns (Beverages, Bakery, Snacks), unit costs, and retail pricing.</w:t>
      </w:r>
    </w:p>
    <w:p>
      <w:pPr>
        <w:pStyle w:val="ListBullet"/>
        <w:spacing w:after="60"/>
      </w:pPr>
      <w:r>
        <w:rPr>
          <w:b/>
          <w:color w:val="703010"/>
        </w:rPr>
        <w:t xml:space="preserve">Promotion Data: </w:t>
      </w:r>
      <w:r>
        <w:t>Campaign performance (BOGO, Weekend Family, Student Combos, Loyalty Rewards).</w:t>
      </w:r>
    </w:p>
    <w:p>
      <w:pPr>
        <w:pStyle w:val="ListBullet"/>
        <w:spacing w:after="60"/>
      </w:pPr>
      <w:r>
        <w:rPr>
          <w:b/>
          <w:color w:val="703010"/>
        </w:rPr>
        <w:t xml:space="preserve">Sales Transactions: </w:t>
      </w:r>
      <w:r>
        <w:t>800 detailed transaction logs tracking payment types, time slots, and line-item volumes.</w:t>
      </w:r>
    </w:p>
    <w:p>
      <w:pPr>
        <w:spacing w:before="160" w:after="240"/>
      </w:pPr>
      <w:r>
        <w:rPr>
          <w:b/>
        </w:rPr>
        <w:t xml:space="preserve">Analytics Pipeline Sequence: </w:t>
      </w:r>
      <w:r>
        <w:t>Data Collection  ➔  Data Cleaning &amp; Preprocessing  ➔  KPI Analysis  ➔  Pivot &amp; Correlation Analysis  ➔  Interactive Dashboard Visualization  ➔  Strategic Business Insights  ➔  Actionable Recommendations.</w:t>
      </w:r>
    </w:p>
    <w:p>
      <w:pPr>
        <w:keepNext/>
        <w:spacing w:before="360" w:after="120"/>
        <w:pBdr>
          <w:bottom w:val="single" w:sz="12" w:space="4" w:color="C05621"/>
        </w:pBdr>
      </w:pPr>
      <w:r>
        <w:rPr>
          <w:rFonts w:ascii="Georgia" w:hAnsi="Georgia"/>
          <w:b/>
          <w:color w:val="703010"/>
          <w:sz w:val="36"/>
        </w:rPr>
        <w:t>3. Detailed Key Business Insights</w:t>
      </w:r>
    </w:p>
    <w:p>
      <w:pPr>
        <w:keepNext/>
        <w:spacing w:before="280" w:after="80"/>
      </w:pPr>
      <w:r>
        <w:rPr>
          <w:rFonts w:ascii="Calibri" w:hAnsi="Calibri"/>
          <w:b/>
          <w:color w:val="C05621"/>
          <w:sz w:val="28"/>
        </w:rPr>
        <w:t>3.1 Financial Performance &amp; Outlet Distribution</w:t>
      </w:r>
    </w:p>
    <w:p>
      <w:r>
        <w:t>BrewBean generated $293,688.48 in total revenue and $175,869.48 in net profit across 800 transactions, reflecting an impressive overall profit margin of 65.2%. However, financial revenue distribution across the 9 primary outlets reveals significant variance:</w:t>
      </w:r>
    </w:p>
    <w:p>
      <w:pPr>
        <w:pStyle w:val="ListBullet"/>
        <w:spacing w:after="60"/>
      </w:pPr>
      <w:r>
        <w:t>Top-Performing Outlets: Gandhipuram, RS Puram, and Peelamedu emerge as revenue drivers, generating over $35,000+ each with consistently high transaction counts.</w:t>
      </w:r>
    </w:p>
    <w:p>
      <w:pPr>
        <w:pStyle w:val="ListBullet"/>
        <w:spacing w:after="60"/>
      </w:pPr>
      <w:r>
        <w:t>Underperforming Outlets: Salem, Tiruppur, and Madurai exhibit lower revenue density and lower ticket sizes, pointing to potential under-marketing or unfavorable store locations.</w:t>
      </w:r>
    </w:p>
    <w:p>
      <w:pPr>
        <w:pStyle w:val="ListBullet"/>
        <w:spacing w:after="60"/>
      </w:pPr>
      <w:r>
        <w:t>Margin Consistency: Across all outlets, profit margins remain strong (~65%), indicating that lower revenue at specific locations is a foot-traffic and volume issue rather than a cost-control failure.</w:t>
      </w:r>
    </w:p>
    <w:p>
      <w:pPr>
        <w:keepNext/>
        <w:spacing w:before="280" w:after="80"/>
      </w:pPr>
      <w:r>
        <w:rPr>
          <w:rFonts w:ascii="Calibri" w:hAnsi="Calibri"/>
          <w:b/>
          <w:color w:val="C05621"/>
          <w:sz w:val="28"/>
        </w:rPr>
        <w:t>3.2 Peak Operational Hours &amp; Customer Traffic Timing</w:t>
      </w:r>
    </w:p>
    <w:p>
      <w:r>
        <w:t>Sales timing analysis highlights extreme peak demand concentrations during specific morning and evening intervals:</w:t>
      </w:r>
    </w:p>
    <w:p>
      <w:pPr>
        <w:pStyle w:val="ListBullet"/>
        <w:spacing w:after="60"/>
      </w:pPr>
      <w:r>
        <w:t>Morning Spike (08:00 AM - 09:00 AM): Accounts for the single largest hourly volume, driven by daily office commuters, college students, and breakfast coffee rush.</w:t>
      </w:r>
    </w:p>
    <w:p>
      <w:pPr>
        <w:pStyle w:val="ListBullet"/>
        <w:spacing w:after="60"/>
      </w:pPr>
      <w:r>
        <w:t>Evening Spike (05:00 PM - 07:00 PM): Represents a secondary high-volume window for post-work relaxation and evening snacks.</w:t>
      </w:r>
    </w:p>
    <w:p>
      <w:pPr>
        <w:pStyle w:val="ListBullet"/>
        <w:spacing w:after="60"/>
      </w:pPr>
      <w:r>
        <w:t>Lull Hours (11:00 AM - 01:00 PM &amp; Post 08:00 PM): Significant drop in foot traffic, leaving store staff underutilized during mid-day periods.</w:t>
      </w:r>
    </w:p>
    <w:p>
      <w:pPr>
        <w:keepNext/>
        <w:spacing w:before="280" w:after="80"/>
      </w:pPr>
      <w:r>
        <w:rPr>
          <w:rFonts w:ascii="Calibri" w:hAnsi="Calibri"/>
          <w:b/>
          <w:color w:val="C05621"/>
          <w:sz w:val="28"/>
        </w:rPr>
        <w:t>3.3 Product Sales Mix &amp; Unit Volume Breakdown</w:t>
      </w:r>
    </w:p>
    <w:p>
      <w:r>
        <w:t>Analysis of unit volume sales across container/packaging formats and product lines reveals clear consumer preferences:</w:t>
      </w:r>
    </w:p>
    <w:p>
      <w:pPr>
        <w:pStyle w:val="ListBullet"/>
        <w:spacing w:after="60"/>
      </w:pPr>
      <w:r>
        <w:t>Primary Packaging Driver (Cups): 'Cup' volume dominates unit sales (&gt;23,000 units), confirming that fresh hot/cold coffee is BrewBean's core product anchor.</w:t>
      </w:r>
    </w:p>
    <w:p>
      <w:pPr>
        <w:pStyle w:val="ListBullet"/>
        <w:spacing w:after="60"/>
      </w:pPr>
      <w:r>
        <w:t>Secondary Products (Plate &amp; Glass): Moderate sales volumes observed in 'Plate' (Sandwiches/Garlic Bread) and 'Glass' (Cold Chillers/Iced Teas).</w:t>
      </w:r>
    </w:p>
    <w:p>
      <w:pPr>
        <w:pStyle w:val="ListBullet"/>
        <w:spacing w:after="60"/>
      </w:pPr>
      <w:r>
        <w:t>Underperforming Formats (Bottles &amp; Packs): 'Bottle' and 'Pack' units lag substantially, signaling weak demand for packaged takeaway or retail coffee beans.</w:t>
      </w:r>
    </w:p>
    <w:p>
      <w:pPr>
        <w:keepNext/>
        <w:spacing w:before="280" w:after="80"/>
      </w:pPr>
      <w:r>
        <w:rPr>
          <w:rFonts w:ascii="Calibri" w:hAnsi="Calibri"/>
          <w:b/>
          <w:color w:val="C05621"/>
          <w:sz w:val="28"/>
        </w:rPr>
        <w:t>3.4 Customer Segmentation &amp; Payment Preferences</w:t>
      </w:r>
    </w:p>
    <w:p>
      <w:r>
        <w:t>Customer segment revenue mapping reveals that Gold, Silver, and Walk-in tiers generate the bulk of recurring sales, while Platinum members show higher average order values (AOV). In terms of payment channels, customer preferences are heavily digitized: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703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Payment Method</w:t>
            </w:r>
          </w:p>
        </w:tc>
        <w:tc>
          <w:tcPr>
            <w:tcW w:type="dxa" w:w="3312"/>
            <w:shd w:fill="703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Market Share (%)</w:t>
            </w:r>
          </w:p>
        </w:tc>
        <w:tc>
          <w:tcPr>
            <w:tcW w:type="dxa" w:w="3312"/>
            <w:shd w:fill="703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Strategic Implication</w:t>
            </w:r>
          </w:p>
        </w:tc>
      </w:tr>
      <w:tr>
        <w:tc>
          <w:tcPr>
            <w:tcW w:type="dxa" w:w="3312"/>
            <w:shd w:fill="FFFBF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D4C9"/>
              <w:bottom w:val="single" w:sz="4" w:space="0" w:color="E2D4C9"/>
            </w:tcBorders>
          </w:tcPr>
          <w:p>
            <w:r>
              <w:t>Google Pay / GPay</w:t>
            </w:r>
          </w:p>
        </w:tc>
        <w:tc>
          <w:tcPr>
            <w:tcW w:type="dxa" w:w="3312"/>
            <w:shd w:fill="FFFBF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D4C9"/>
              <w:bottom w:val="single" w:sz="4" w:space="0" w:color="E2D4C9"/>
            </w:tcBorders>
          </w:tcPr>
          <w:p>
            <w:r>
              <w:t>28% + 12% (40%)</w:t>
            </w:r>
          </w:p>
        </w:tc>
        <w:tc>
          <w:tcPr>
            <w:tcW w:type="dxa" w:w="3312"/>
            <w:shd w:fill="FFFBF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D4C9"/>
              <w:bottom w:val="single" w:sz="4" w:space="0" w:color="E2D4C9"/>
            </w:tcBorders>
          </w:tcPr>
          <w:p>
            <w:r>
              <w:t>Dominant payment choice; requires frictionless QR scanning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D4C9"/>
              <w:bottom w:val="single" w:sz="4" w:space="0" w:color="E2D4C9"/>
            </w:tcBorders>
          </w:tcPr>
          <w:p>
            <w:r>
              <w:t>PhonePe / UPI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D4C9"/>
              <w:bottom w:val="single" w:sz="4" w:space="0" w:color="E2D4C9"/>
            </w:tcBorders>
          </w:tcPr>
          <w:p>
            <w:r>
              <w:t>17% + 12% (29%)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D4C9"/>
              <w:bottom w:val="single" w:sz="4" w:space="0" w:color="E2D4C9"/>
            </w:tcBorders>
          </w:tcPr>
          <w:p>
            <w:r>
              <w:t>Secondary digital channel; strong among youth &amp; students</w:t>
            </w:r>
          </w:p>
        </w:tc>
      </w:tr>
      <w:tr>
        <w:tc>
          <w:tcPr>
            <w:tcW w:type="dxa" w:w="3312"/>
            <w:shd w:fill="FFFBF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D4C9"/>
              <w:bottom w:val="single" w:sz="4" w:space="0" w:color="E2D4C9"/>
            </w:tcBorders>
          </w:tcPr>
          <w:p>
            <w:r>
              <w:t>Cash</w:t>
            </w:r>
          </w:p>
        </w:tc>
        <w:tc>
          <w:tcPr>
            <w:tcW w:type="dxa" w:w="3312"/>
            <w:shd w:fill="FFFBF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D4C9"/>
              <w:bottom w:val="single" w:sz="4" w:space="0" w:color="E2D4C9"/>
            </w:tcBorders>
          </w:tcPr>
          <w:p>
            <w:r>
              <w:t>16%</w:t>
            </w:r>
          </w:p>
        </w:tc>
        <w:tc>
          <w:tcPr>
            <w:tcW w:type="dxa" w:w="3312"/>
            <w:shd w:fill="FFFBF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D4C9"/>
              <w:bottom w:val="single" w:sz="4" w:space="0" w:color="E2D4C9"/>
            </w:tcBorders>
          </w:tcPr>
          <w:p>
            <w:r>
              <w:t>Declining share; creates register handling overhead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D4C9"/>
              <w:bottom w:val="single" w:sz="4" w:space="0" w:color="E2D4C9"/>
            </w:tcBorders>
          </w:tcPr>
          <w:p>
            <w:r>
              <w:t>Card (Debit/Credit)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D4C9"/>
              <w:bottom w:val="single" w:sz="4" w:space="0" w:color="E2D4C9"/>
            </w:tcBorders>
          </w:tcPr>
          <w:p>
            <w:r>
              <w:t>13%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D4C9"/>
              <w:bottom w:val="single" w:sz="4" w:space="0" w:color="E2D4C9"/>
            </w:tcBorders>
          </w:tcPr>
          <w:p>
            <w:r>
              <w:t>Preferred by Platinum members for larger order values</w:t>
            </w:r>
          </w:p>
        </w:tc>
      </w:tr>
      <w:tr>
        <w:tc>
          <w:tcPr>
            <w:tcW w:type="dxa" w:w="3312"/>
            <w:shd w:fill="FFFBF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D4C9"/>
              <w:bottom w:val="single" w:sz="4" w:space="0" w:color="E2D4C9"/>
            </w:tcBorders>
          </w:tcPr>
          <w:p>
            <w:r>
              <w:t>Other Digital Wallets</w:t>
            </w:r>
          </w:p>
        </w:tc>
        <w:tc>
          <w:tcPr>
            <w:tcW w:type="dxa" w:w="3312"/>
            <w:shd w:fill="FFFBF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D4C9"/>
              <w:bottom w:val="single" w:sz="4" w:space="0" w:color="E2D4C9"/>
            </w:tcBorders>
          </w:tcPr>
          <w:p>
            <w:r>
              <w:t>2%</w:t>
            </w:r>
          </w:p>
        </w:tc>
        <w:tc>
          <w:tcPr>
            <w:tcW w:type="dxa" w:w="3312"/>
            <w:shd w:fill="FFFBF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D4C9"/>
              <w:bottom w:val="single" w:sz="4" w:space="0" w:color="E2D4C9"/>
            </w:tcBorders>
          </w:tcPr>
          <w:p>
            <w:r>
              <w:t>Minor adoption; candidate for consolidation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Calibri" w:hAnsi="Calibri"/>
          <w:b/>
          <w:color w:val="C05621"/>
          <w:sz w:val="28"/>
        </w:rPr>
        <w:t>3.5 Campaign Performance &amp; Customer Service Friction</w:t>
      </w:r>
    </w:p>
    <w:p>
      <w:r>
        <w:t>Promotional campaign evaluation highlights that Buy 1 Get 1 Free (BOGO), Morning Brew Specials, and Weekend Family Combos generated the highest overall volume redemption. However, the customer rating score of 3.4 / 5.0 indicates significant operational strain created by these promotions, particularly during 8–9 AM peak hours.</w:t>
      </w:r>
    </w:p>
    <w:p>
      <w:pPr>
        <w:keepNext/>
        <w:spacing w:before="360" w:after="120"/>
        <w:pBdr>
          <w:bottom w:val="single" w:sz="12" w:space="4" w:color="C05621"/>
        </w:pBdr>
      </w:pPr>
      <w:r>
        <w:rPr>
          <w:rFonts w:ascii="Georgia" w:hAnsi="Georgia"/>
          <w:b/>
          <w:color w:val="703010"/>
          <w:sz w:val="36"/>
        </w:rPr>
        <w:t>4. Strategic Business Recommendations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703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Pillar</w:t>
            </w:r>
          </w:p>
        </w:tc>
        <w:tc>
          <w:tcPr>
            <w:tcW w:type="dxa" w:w="3312"/>
            <w:shd w:fill="703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Strategic Focus</w:t>
            </w:r>
          </w:p>
        </w:tc>
        <w:tc>
          <w:tcPr>
            <w:tcW w:type="dxa" w:w="3312"/>
            <w:shd w:fill="703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Detailed Actionable Recommendation</w:t>
            </w:r>
          </w:p>
        </w:tc>
      </w:tr>
      <w:tr>
        <w:tc>
          <w:tcPr>
            <w:tcW w:type="dxa" w:w="2160"/>
            <w:shd w:fill="FFFB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E2D4C9"/>
              <w:bottom w:val="single" w:sz="4" w:space="0" w:color="E2D4C9"/>
            </w:tcBorders>
          </w:tcPr>
          <w:p>
            <w:r>
              <w:rPr>
                <w:b/>
              </w:rPr>
              <w:t>1. Operations &amp; Service</w:t>
            </w:r>
          </w:p>
        </w:tc>
        <w:tc>
          <w:tcPr>
            <w:tcW w:type="dxa" w:w="2160"/>
            <w:shd w:fill="FFFB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E2D4C9"/>
              <w:bottom w:val="single" w:sz="4" w:space="0" w:color="E2D4C9"/>
            </w:tcBorders>
          </w:tcPr>
          <w:p>
            <w:r>
              <w:rPr>
                <w:b/>
              </w:rPr>
              <w:t>Peak Hour Queue Mitigation</w:t>
            </w:r>
          </w:p>
        </w:tc>
        <w:tc>
          <w:tcPr>
            <w:tcW w:type="dxa" w:w="5472"/>
            <w:shd w:fill="FFFB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E2D4C9"/>
              <w:bottom w:val="single" w:sz="4" w:space="0" w:color="E2D4C9"/>
            </w:tcBorders>
          </w:tcPr>
          <w:p>
            <w:r>
              <w:t>Deploy Mobile Express Checkout &amp; Pre-Ordering via WhatsApp/App to eliminate 8-9 AM rush bottlenecks. Shift high-volume items (Hot Coffee, French Fries) to batch-prep stations to raise customer rating from 3.4 to 4.3+.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E2D4C9"/>
              <w:bottom w:val="single" w:sz="4" w:space="0" w:color="E2D4C9"/>
            </w:tcBorders>
          </w:tcPr>
          <w:p>
            <w:r>
              <w:rPr>
                <w:b/>
              </w:rPr>
              <w:t>2. Menu &amp; Pricing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E2D4C9"/>
              <w:bottom w:val="single" w:sz="4" w:space="0" w:color="E2D4C9"/>
            </w:tcBorders>
          </w:tcPr>
          <w:p>
            <w:r>
              <w:rPr>
                <w:b/>
              </w:rPr>
              <w:t>Cross-Selling &amp; Container Optimization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E2D4C9"/>
              <w:bottom w:val="single" w:sz="4" w:space="0" w:color="E2D4C9"/>
            </w:tcBorders>
          </w:tcPr>
          <w:p>
            <w:r>
              <w:t>Pair high-margin 'Cup' beverages with underperforming food lines (e.g., Combo: Hazelnut Latte + Garlic Bread). Re-evaluate 'Bottle' &amp; 'Pack' pricing or convert them into merchandise gift sets.</w:t>
            </w:r>
          </w:p>
        </w:tc>
      </w:tr>
      <w:tr>
        <w:tc>
          <w:tcPr>
            <w:tcW w:type="dxa" w:w="2160"/>
            <w:shd w:fill="FFFB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E2D4C9"/>
              <w:bottom w:val="single" w:sz="4" w:space="0" w:color="E2D4C9"/>
            </w:tcBorders>
          </w:tcPr>
          <w:p>
            <w:r>
              <w:rPr>
                <w:b/>
              </w:rPr>
              <w:t>3. Digital &amp; Loyalty</w:t>
            </w:r>
          </w:p>
        </w:tc>
        <w:tc>
          <w:tcPr>
            <w:tcW w:type="dxa" w:w="2160"/>
            <w:shd w:fill="FFFB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E2D4C9"/>
              <w:bottom w:val="single" w:sz="4" w:space="0" w:color="E2D4C9"/>
            </w:tcBorders>
          </w:tcPr>
          <w:p>
            <w:r>
              <w:rPr>
                <w:b/>
              </w:rPr>
              <w:t>UPI Integration &amp; Segmentation</w:t>
            </w:r>
          </w:p>
        </w:tc>
        <w:tc>
          <w:tcPr>
            <w:tcW w:type="dxa" w:w="5472"/>
            <w:shd w:fill="FFFB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E2D4C9"/>
              <w:bottom w:val="single" w:sz="4" w:space="0" w:color="E2D4C9"/>
            </w:tcBorders>
          </w:tcPr>
          <w:p>
            <w:r>
              <w:t>Optimize checkout counters for GPay/UPI (69%+ total volume). Launch targeted push promotions for Gold &amp; Platinum loyalty members to increase retention and average ticket size.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E2D4C9"/>
              <w:bottom w:val="single" w:sz="4" w:space="0" w:color="E2D4C9"/>
            </w:tcBorders>
          </w:tcPr>
          <w:p>
            <w:r>
              <w:rPr>
                <w:b/>
              </w:rPr>
              <w:t>4. Outlet Growth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E2D4C9"/>
              <w:bottom w:val="single" w:sz="4" w:space="0" w:color="E2D4C9"/>
            </w:tcBorders>
          </w:tcPr>
          <w:p>
            <w:r>
              <w:rPr>
                <w:b/>
              </w:rPr>
              <w:t>Targeted Local Marketing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E2D4C9"/>
              <w:bottom w:val="single" w:sz="4" w:space="0" w:color="E2D4C9"/>
            </w:tcBorders>
          </w:tcPr>
          <w:p>
            <w:r>
              <w:t>Implement localized promotions in lagging outlets (Salem, Tiruppur, Madurai), such as 'Student Happy Hours' and corporate catering partnerships during mid-day lull hours (11 AM–1 PM).</w:t>
            </w:r>
          </w:p>
        </w:tc>
      </w:tr>
    </w:tbl>
    <w:p>
      <w:pPr>
        <w:spacing w:after="240"/>
      </w:pPr>
    </w:p>
    <w:p>
      <w:pPr>
        <w:keepNext/>
        <w:spacing w:before="360" w:after="120"/>
        <w:pBdr>
          <w:bottom w:val="single" w:sz="12" w:space="4" w:color="C05621"/>
        </w:pBdr>
      </w:pPr>
      <w:r>
        <w:rPr>
          <w:rFonts w:ascii="Georgia" w:hAnsi="Georgia"/>
          <w:b/>
          <w:color w:val="703010"/>
          <w:sz w:val="36"/>
        </w:rPr>
        <w:t>5. Actionable Next Steps &amp; Implementation Roadmap</w:t>
      </w:r>
    </w:p>
    <w:p>
      <w:r>
        <w:t>To ensure seamless execution, the following phased roadmap is structured across Immediate, Medium-Term, and Long-Term horizons:</w:t>
      </w:r>
    </w:p>
    <w:p>
      <w:pPr>
        <w:keepNext/>
        <w:spacing w:before="200" w:after="40"/>
      </w:pPr>
      <w:r>
        <w:rPr>
          <w:rFonts w:ascii="Calibri" w:hAnsi="Calibri"/>
          <w:b/>
          <w:color w:val="703010"/>
          <w:sz w:val="24"/>
        </w:rPr>
        <w:t>Phase 1: Quick Wins (Month 1 - Month 2)</w:t>
      </w:r>
    </w:p>
    <w:p>
      <w:pPr>
        <w:pStyle w:val="ListBullet"/>
        <w:spacing w:after="60"/>
      </w:pPr>
      <w:r>
        <w:t>Express Checkout Lines: Designate dedicated UPI/GPay instant pay counters at high-volume outlets (Gandhipuram, RS Puram).</w:t>
      </w:r>
    </w:p>
    <w:p>
      <w:pPr>
        <w:pStyle w:val="ListBullet"/>
        <w:spacing w:after="60"/>
      </w:pPr>
      <w:r>
        <w:t>Staff Re-allocation: Shift 30% of mid-day staff shifts to the 08:00 AM – 09:30 AM morning rush.</w:t>
      </w:r>
    </w:p>
    <w:p>
      <w:pPr>
        <w:pStyle w:val="ListBullet"/>
        <w:spacing w:after="60"/>
      </w:pPr>
      <w:r>
        <w:t>Customer Feedback Campaign: Introduce QR-code post-purchase survey with a 10% discount incentive to pinpoint rating pain points.</w:t>
      </w:r>
    </w:p>
    <w:p>
      <w:pPr>
        <w:keepNext/>
        <w:spacing w:before="200" w:after="40"/>
      </w:pPr>
      <w:r>
        <w:rPr>
          <w:rFonts w:ascii="Calibri" w:hAnsi="Calibri"/>
          <w:b/>
          <w:color w:val="703010"/>
          <w:sz w:val="24"/>
        </w:rPr>
        <w:t>Phase 2: Operational Optimization (Month 3 - Month 6)</w:t>
      </w:r>
    </w:p>
    <w:p>
      <w:pPr>
        <w:pStyle w:val="ListBullet"/>
        <w:spacing w:after="60"/>
      </w:pPr>
      <w:r>
        <w:t>Menu Engineering: Launch bundled combos (Coffee + Bakery) to boost average transaction value from $367 to $450.</w:t>
      </w:r>
    </w:p>
    <w:p>
      <w:pPr>
        <w:pStyle w:val="ListBullet"/>
        <w:spacing w:after="60"/>
      </w:pPr>
      <w:r>
        <w:t>Underperforming Store Overhaul: Execute targeted corporate/college outreach campaigns in Salem and Tiruppur.</w:t>
      </w:r>
    </w:p>
    <w:p>
      <w:pPr>
        <w:pStyle w:val="ListBullet"/>
        <w:spacing w:after="60"/>
      </w:pPr>
      <w:r>
        <w:t>Digital Ordering Integration: Introduce WhatsApp/Web pre-ordering to reduce store wait times.</w:t>
      </w:r>
    </w:p>
    <w:p>
      <w:pPr>
        <w:keepNext/>
        <w:spacing w:before="200" w:after="40"/>
      </w:pPr>
      <w:r>
        <w:rPr>
          <w:rFonts w:ascii="Calibri" w:hAnsi="Calibri"/>
          <w:b/>
          <w:color w:val="703010"/>
          <w:sz w:val="24"/>
        </w:rPr>
        <w:t>Phase 3: Strategic Scale (Month 7 - Month 12)</w:t>
      </w:r>
    </w:p>
    <w:p>
      <w:pPr>
        <w:pStyle w:val="ListBullet"/>
        <w:spacing w:after="60"/>
      </w:pPr>
      <w:r>
        <w:t>Loyalty Tier Revamp: Overhaul Gold and Platinum member rewards based on transaction frequency and category preferences.</w:t>
      </w:r>
    </w:p>
    <w:p>
      <w:pPr>
        <w:pStyle w:val="ListBullet"/>
        <w:spacing w:after="60"/>
      </w:pPr>
      <w:r>
        <w:t>Supply Chain &amp; Packaging Realignment: Phasing out slow-moving packaged goods in favor of fresh seasonal chillers.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B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E2D4C9"/>
              <w:left w:val="single" w:sz="24" w:space="0" w:color="C05621"/>
              <w:bottom w:val="single" w:sz="4" w:space="0" w:color="E2D4C9"/>
              <w:right w:val="single" w:sz="4" w:space="0" w:color="E2D4C9"/>
            </w:tcBorders>
          </w:tcPr>
          <w:p>
            <w:pPr>
              <w:spacing w:after="80"/>
            </w:pPr>
            <w:r>
              <w:rPr>
                <w:b/>
                <w:color w:val="703010"/>
                <w:sz w:val="22"/>
              </w:rPr>
              <w:t>🚀 Expected Business Impact</w:t>
              <w:br/>
            </w:r>
            <w:r>
              <w:rPr>
                <w:color w:val="282828"/>
                <w:sz w:val="20"/>
              </w:rPr>
              <w:t>Full execution of these recommendations is projected to increase average customer satisfaction ratings from 3.4 to 4.5, boost peak-hour throughput by 25%, and lift total annual revenue by 15–20% while maintaining the strong 65.2% profit margin.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