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none"/>
        </w:pBdr>
        <w:shd w:fill="1A527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OrthoAssist-S: Chatbot Q&amp;A Pairs</w:t>
      </w:r>
    </w:p>
    <w:p>
      <w:pPr>
        <w:shd w:fill="1A5276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BDC3C7"/>
          <w:sz w:val="22"/>
          <w:szCs w:val="22"/>
        </w:rPr>
        <w:t xml:space="preserve">15 Structured Question-Answer Pairs for RAG Knowledge Base and Fine-tuning Dataset</w:t>
      </w:r>
    </w:p>
    <w:p>
      <w:pPr>
        <w:spacing w:after="8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contains ready-to-use Q&amp;A pairs formatted for the OrthoAssist-S RAG pipeline. Each pair includes the patient question, expected chatbot answer type, condition mapping, conversational intent, and escalation flag. Add clinical answers from Tier 1 guideline sources for each pair.</w:t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Q&amp;A Pairs — Full Reference Table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500"/>
        <w:gridCol w:w="1400"/>
        <w:gridCol w:w="760"/>
        <w:gridCol w:w="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 Question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Answer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shoulder is very painful and stiff for the last 3 months, what is wrong with me?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Triage to frozen shoulder stages; ask about diabetes history; recommend specialist if red flags 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Frozen Shoulder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Symptom Triage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cannot lift my arm after a fall, do I need surgery?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Red flag detection — possible fracture or acute rotator cuff tear; recommend immediate emergency visit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Rotator Cuff / Fracture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Flag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YES — Immediate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exercises can I do for frozen shoulder at home?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Stage-aware exercise recommendations: pendulum (phase 1), passive ROM (phase 2), wall walks (phase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Frozen Shoulder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Rehab Guidance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my rotator cuff tear going to get worse if I don't have surgery?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Explain AAOS 2025 evidence: small tears manageable conservatively; large tears may progress over 5–10 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Rotator Cuff Tear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Treatment Decision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have diabetes and shoulder pain — are they related?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Confirm diabetes is a known risk factor for frozen shoulder; personalise advice by age; recommend HbA1c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Frozen Shoulder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Risk Factor Education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long will my frozen shoulder last?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18–24 months typical; explain 3 stages (freezing, frozen, thawing) with timeline; reassure about recovery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Frozen Shoulder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Prognosis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difference between a SLAP tear and a rotator cuff tear?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Anatomical explanation of labrum vs rotator cuff; symptom differences; diagnostic differences (MRI arthrogram vs MRI)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SLAP / Rotator Cuff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Education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shoulder pain is also going to my chest. Is that dangerous?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CRITICAL RED FLAG — possible cardiac referral; do not reassure; advise immediate emergency 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Systemic / Cardiac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Flag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YES — Emergency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I play cricket or badminton with a rotator cuff injury?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Activity modification advice based on injury severity; recommend specialist clearance before overhead sports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Rotator Cuff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Lifestyle / Activity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recovery time after rotator cuff surgery?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Phase-based timeline: sling 4–6 weeks, PT begins at 6 weeks, full activity at 6–12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Rotator Cuff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Post-surgical Rehab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it normal to have pain even after 6 months of physiotherapy?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Reassess diagnosis; persistent pain after 6 months warrants imaging review and surgical consultation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General Shoulder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Treatment Response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Refer to Specialist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pendulum exercise and how do I do it?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Step-by-step instructions for Codman's pendulum; indicate it is phase 1 frozen shoulder / post-op exercise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Frozen Shoulder / Post-op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Exercise Instruction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shoulder suddenly feels like it popped out and back in — what happened?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Possible subluxation/dislocation; urgent clinical evaluation recommended; check instability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Instability / Dislocation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Flag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YES — Urgent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I need an MRI or will an X-ray be enough to diagnose my shoulder problem?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X-ray for bone/fracture, MRI for soft tissue; MRI arthrogram for labral tears; explain each modality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General Shoulder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Diagnostic Guidance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am 55 years old woman with stiff shoulder — what is the most likely diagnosis?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18"/>
                <w:szCs w:val="18"/>
              </w:rPr>
              <w:t xml:space="preserve">Age + gender demographics strongly suggest frozen shoulder; ask about diabetes, menopause history; stage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Frozen Shoulder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Personalised Triage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6"/>
                <w:szCs w:val="16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2E86C1" w:val="clear"/>
        <w:spacing w:after="8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How to Use These Q&amp;A Pairs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RAG Knowledge Base: </w:t>
      </w:r>
      <w:r>
        <w:rPr>
          <w:rFonts w:ascii="Arial" w:cs="Arial" w:eastAsia="Arial" w:hAnsi="Arial"/>
          <w:sz w:val="20"/>
          <w:szCs w:val="20"/>
        </w:rPr>
        <w:t xml:space="preserve">Use each question as a retrieval query. Add the full clinical answer (sourced from AAOS, JOSPT, NHS guidelines) as the associated document chunk.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Fine-tuning Dataset: </w:t>
      </w:r>
      <w:r>
        <w:rPr>
          <w:rFonts w:ascii="Arial" w:cs="Arial" w:eastAsia="Arial" w:hAnsi="Arial"/>
          <w:sz w:val="20"/>
          <w:szCs w:val="20"/>
        </w:rPr>
        <w:t xml:space="preserve">Format as {instruction, input, output} JSON pairs. Use the question as input and the answer type as a prompt for generating the output.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Red Flag Handling: </w:t>
      </w:r>
      <w:r>
        <w:rPr>
          <w:rFonts w:ascii="Arial" w:cs="Arial" w:eastAsia="Arial" w:hAnsi="Arial"/>
          <w:sz w:val="20"/>
          <w:szCs w:val="20"/>
        </w:rPr>
        <w:t xml:space="preserve">For any pair marked 'YES' in Escalate, your chatbot must trigger a safety alert and recommend immediate medical attention — never provide reassurance for these queries.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Personalisation Layer: </w:t>
      </w:r>
      <w:r>
        <w:rPr>
          <w:rFonts w:ascii="Arial" w:cs="Arial" w:eastAsia="Arial" w:hAnsi="Arial"/>
          <w:sz w:val="20"/>
          <w:szCs w:val="20"/>
        </w:rPr>
        <w:t xml:space="preserve">Where age, gender, or comorbidity is mentioned in the question, your response generation layer should adapt the answer using the patient profile (age, injury severity, stage).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2026-04-04T07:08:47.891Z</dcterms:created>
  <dcterms:modified xsi:type="dcterms:W3CDTF">2026-04-04T07:08:47.891Z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