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zaj6a8yv1rmh" w:id="0"/>
      <w:bookmarkEnd w:id="0"/>
      <w:r w:rsidDel="00000000" w:rsidR="00000000" w:rsidRPr="00000000">
        <w:rPr>
          <w:b w:val="1"/>
          <w:bCs w:val="1"/>
          <w:sz w:val="46"/>
          <w:szCs w:val="46"/>
        </w:rPr>
        <w:drawing>
          <wp:inline distB="114300" distT="114300" distL="114300" distR="114300">
            <wp:extent cx="5943600" cy="39624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Title"/>
        <w:keepNext w:val="0"/>
        <w:keepLines w:val="0"/>
        <w:spacing w:before="480" w:lineRule="auto"/>
        <w:rPr/>
      </w:pPr>
      <w:bookmarkStart w:colFirst="0" w:colLast="0" w:name="_c1wyhs3dtnqw" w:id="1"/>
      <w:bookmarkEnd w:id="1"/>
      <w:r w:rsidDel="00000000" w:rsidR="00000000" w:rsidRPr="00000000">
        <w:rPr>
          <w:rtl w:val="0"/>
        </w:rPr>
        <w:t xml:space="preserve">Product Requirements Document (PRD)</w:t>
      </w:r>
    </w:p>
    <w:p w:rsidR="00000000" w:rsidDel="00000000" w:rsidP="00000000" w:rsidRDefault="00000000" w:rsidRPr="00000000" w14:paraId="00000004">
      <w:pPr>
        <w:pStyle w:val="Subtitle"/>
        <w:keepNext w:val="0"/>
        <w:keepLines w:val="0"/>
        <w:spacing w:after="80" w:lineRule="auto"/>
        <w:rPr/>
      </w:pPr>
      <w:bookmarkStart w:colFirst="0" w:colLast="0" w:name="_l2s1fz5w70k1" w:id="2"/>
      <w:bookmarkEnd w:id="2"/>
      <w:r w:rsidDel="00000000" w:rsidR="00000000" w:rsidRPr="00000000">
        <w:rPr>
          <w:rtl w:val="0"/>
        </w:rPr>
        <w:t xml:space="preserve">ETF Compass</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after="240" w:before="240" w:lineRule="auto"/>
        <w:ind w:left="600" w:right="600" w:firstLine="0"/>
        <w:rPr>
          <w:b w:val="1"/>
          <w:bCs w:val="1"/>
        </w:rPr>
      </w:pPr>
      <w:r w:rsidDel="00000000" w:rsidR="00000000" w:rsidRPr="00000000">
        <w:rPr>
          <w:b w:val="1"/>
          <w:bCs w:val="1"/>
          <w:rtl w:val="0"/>
        </w:rPr>
        <w:t xml:space="preserve">“This system compounds capital by structure, not by emotion.”</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Version:</w:t>
      </w:r>
      <w:r w:rsidDel="00000000" w:rsidR="00000000" w:rsidRPr="00000000">
        <w:rPr>
          <w:rtl w:val="0"/>
        </w:rPr>
        <w:t xml:space="preserve"> 1.1</w:t>
        <w:br w:type="textWrapping"/>
      </w:r>
      <w:r w:rsidDel="00000000" w:rsidR="00000000" w:rsidRPr="00000000">
        <w:rPr>
          <w:b w:val="1"/>
          <w:bCs w:val="1"/>
          <w:rtl w:val="0"/>
        </w:rPr>
        <w:t xml:space="preserve">Status:</w:t>
      </w:r>
      <w:r w:rsidDel="00000000" w:rsidR="00000000" w:rsidRPr="00000000">
        <w:rPr>
          <w:rtl w:val="0"/>
        </w:rPr>
        <w:t xml:space="preserve"> Approved</w:t>
        <w:br w:type="textWrapping"/>
      </w:r>
      <w:r w:rsidDel="00000000" w:rsidR="00000000" w:rsidRPr="00000000">
        <w:rPr>
          <w:b w:val="1"/>
          <w:bCs w:val="1"/>
          <w:rtl w:val="0"/>
        </w:rPr>
        <w:t xml:space="preserve">Market:</w:t>
      </w:r>
      <w:r w:rsidDel="00000000" w:rsidR="00000000" w:rsidRPr="00000000">
        <w:rPr>
          <w:rtl w:val="0"/>
        </w:rPr>
        <w:t xml:space="preserve"> India – Cash Market (ETFs)</w:t>
        <w:br w:type="textWrapping"/>
      </w:r>
      <w:r w:rsidDel="00000000" w:rsidR="00000000" w:rsidRPr="00000000">
        <w:rPr>
          <w:b w:val="1"/>
          <w:bCs w:val="1"/>
          <w:rtl w:val="0"/>
        </w:rPr>
        <w:t xml:space="preserve">Product Owner:</w:t>
      </w:r>
      <w:r w:rsidDel="00000000" w:rsidR="00000000" w:rsidRPr="00000000">
        <w:rPr>
          <w:rtl w:val="0"/>
        </w:rPr>
        <w:t xml:space="preserve"> Anand Venkitachalam</w:t>
        <w:br w:type="textWrapping"/>
      </w:r>
      <w:r w:rsidDel="00000000" w:rsidR="00000000" w:rsidRPr="00000000">
        <w:rPr>
          <w:b w:val="1"/>
          <w:bCs w:val="1"/>
          <w:rtl w:val="0"/>
        </w:rPr>
        <w:t xml:space="preserve">Prepared For:</w:t>
      </w:r>
      <w:r w:rsidDel="00000000" w:rsidR="00000000" w:rsidRPr="00000000">
        <w:rPr>
          <w:rtl w:val="0"/>
        </w:rPr>
        <w:t xml:space="preserve"> KARM Capital</w:t>
      </w:r>
    </w:p>
    <w:p w:rsidR="00000000" w:rsidDel="00000000" w:rsidP="00000000" w:rsidRDefault="00000000" w:rsidRPr="00000000" w14:paraId="00000009">
      <w:pPr>
        <w:pStyle w:val="Title"/>
        <w:keepNext w:val="0"/>
        <w:keepLines w:val="0"/>
        <w:spacing w:after="80" w:lineRule="auto"/>
        <w:rPr/>
      </w:pPr>
      <w:bookmarkStart w:colFirst="0" w:colLast="0" w:name="_ieu6tn6emh1w" w:id="3"/>
      <w:bookmarkEnd w:id="3"/>
      <w:r w:rsidDel="00000000" w:rsidR="00000000" w:rsidRPr="00000000">
        <w:br w:type="page"/>
      </w:r>
      <w:r w:rsidDel="00000000" w:rsidR="00000000" w:rsidRPr="00000000">
        <w:rPr>
          <w:rtl w:val="0"/>
        </w:rPr>
      </w:r>
    </w:p>
    <w:p w:rsidR="00000000" w:rsidDel="00000000" w:rsidP="00000000" w:rsidRDefault="00000000" w:rsidRPr="00000000" w14:paraId="0000000A">
      <w:pPr>
        <w:pStyle w:val="Title"/>
        <w:keepNext w:val="0"/>
        <w:keepLines w:val="0"/>
        <w:spacing w:after="80" w:lineRule="auto"/>
        <w:rPr/>
      </w:pPr>
      <w:bookmarkStart w:colFirst="0" w:colLast="0" w:name="_wz4snbckq2lu" w:id="4"/>
      <w:bookmarkEnd w:id="4"/>
      <w:r w:rsidDel="00000000" w:rsidR="00000000" w:rsidRPr="00000000">
        <w:rPr>
          <w:rtl w:val="0"/>
        </w:rPr>
        <w:t xml:space="preserve">CONTENTS </w:t>
      </w:r>
    </w:p>
    <w:p w:rsidR="00000000" w:rsidDel="00000000" w:rsidP="00000000" w:rsidRDefault="00000000" w:rsidRPr="00000000" w14:paraId="0000000B">
      <w:pPr>
        <w:rPr/>
      </w:pPr>
      <w:r w:rsidDel="00000000" w:rsidR="00000000" w:rsidRPr="00000000">
        <w:rPr>
          <w:rtl w:val="0"/>
        </w:rPr>
      </w:r>
    </w:p>
    <w:sdt>
      <w:sdtPr>
        <w:id w:val="-259056161"/>
        <w:docPartObj>
          <w:docPartGallery w:val="Table of Contents"/>
          <w:docPartUnique w:val="1"/>
        </w:docPartObj>
      </w:sdtPr>
      <w:sdtContent>
        <w:p w:rsidR="00000000" w:rsidDel="00000000" w:rsidP="00000000" w:rsidRDefault="00000000" w:rsidRPr="00000000" w14:paraId="0000000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ncjmgzd4hc6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Product Overview</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78oofaque9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Scope Definition</w:t>
              <w:tab/>
              <w:t xml:space="preserve">3</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6lwqwa8vkb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In Scope</w:t>
              <w:tab/>
              <w:t xml:space="preserve">3</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2pvn9xlkz4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Out of Scope</w:t>
              <w:tab/>
              <w:t xml:space="preserve">3</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4bi99fo7on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ETF Universe</w:t>
              <w:tab/>
              <w:t xml:space="preserve">3</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nhy5syo12j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Approved ETF List</w:t>
              <w:tab/>
              <w:t xml:space="preserve">4</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gw7wjxqlwh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Capital Allocation Rules</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ehblya4hz1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Rules</w:t>
              <w:tab/>
              <w:t xml:space="preserve">6</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l3jypdwyf1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Entry Rules – New Position</w:t>
              <w:tab/>
              <w:t xml:space="preserve">6</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etvig5v64j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Entry Rules – Additional Tranches</w:t>
              <w:tab/>
              <w:t xml:space="preserve">6</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9osqz9zpzw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 Exit Rules</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c6zxn2bkwe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 TimeFrame</w:t>
              <w:tab/>
              <w:t xml:space="preserve">6</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sisvd380l9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Reports</w:t>
              <w:tab/>
              <w:t xml:space="preserve">7</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ze6gq81ikz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State Management (Per ETF)</w:t>
              <w:tab/>
              <w:t xml:space="preserve">7</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7fbeixxa0y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Alerts</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tj8l1qspm2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Reports</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3d4a8amxiak1" w:id="5"/>
      <w:bookmarkEnd w:id="5"/>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ncjmgzd4hc6h" w:id="6"/>
      <w:bookmarkEnd w:id="6"/>
      <w:r w:rsidDel="00000000" w:rsidR="00000000" w:rsidRPr="00000000">
        <w:rPr>
          <w:b w:val="1"/>
          <w:bCs w:val="1"/>
          <w:sz w:val="34"/>
          <w:szCs w:val="34"/>
          <w:rtl w:val="0"/>
        </w:rPr>
        <w:t xml:space="preserve">1. Product Overview</w:t>
      </w:r>
    </w:p>
    <w:p w:rsidR="00000000" w:rsidDel="00000000" w:rsidP="00000000" w:rsidRDefault="00000000" w:rsidRPr="00000000" w14:paraId="0000001E">
      <w:pPr>
        <w:spacing w:after="240" w:before="240" w:line="360" w:lineRule="auto"/>
        <w:jc w:val="both"/>
        <w:rPr/>
      </w:pPr>
      <w:r w:rsidDel="00000000" w:rsidR="00000000" w:rsidRPr="00000000">
        <w:rPr>
          <w:rtl w:val="0"/>
        </w:rPr>
        <w:t xml:space="preserve">To build a rule-based, fully automated ETF buying system that systematically accumulates ETFs only in confirmed uptrends, deploys capital in defined tranches, avoids emotional decision-making, and exits positions solely based on profit targets. The system focuses on capital discipline, trend alignment, and long-term compounding rather than short-term market prediction.</w:t>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978oofaque9f" w:id="7"/>
      <w:bookmarkEnd w:id="7"/>
      <w:r w:rsidDel="00000000" w:rsidR="00000000" w:rsidRPr="00000000">
        <w:rPr>
          <w:b w:val="1"/>
          <w:bCs w:val="1"/>
          <w:sz w:val="34"/>
          <w:szCs w:val="34"/>
          <w:rtl w:val="0"/>
        </w:rPr>
        <w:t xml:space="preserve">2. Scope Definition</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k6lwqwa8vkbn" w:id="8"/>
      <w:bookmarkEnd w:id="8"/>
      <w:r w:rsidDel="00000000" w:rsidR="00000000" w:rsidRPr="00000000">
        <w:rPr>
          <w:b w:val="1"/>
          <w:bCs w:val="1"/>
          <w:color w:val="000000"/>
          <w:sz w:val="26"/>
          <w:szCs w:val="26"/>
          <w:rtl w:val="0"/>
        </w:rPr>
        <w:t xml:space="preserve">2.1 In Scope</w:t>
      </w:r>
    </w:p>
    <w:p w:rsidR="00000000" w:rsidDel="00000000" w:rsidP="00000000" w:rsidRDefault="00000000" w:rsidRPr="00000000" w14:paraId="00000021">
      <w:pPr>
        <w:numPr>
          <w:ilvl w:val="0"/>
          <w:numId w:val="3"/>
        </w:numPr>
        <w:spacing w:after="0" w:afterAutospacing="0" w:before="240" w:lineRule="auto"/>
        <w:ind w:left="720" w:hanging="360"/>
      </w:pPr>
      <w:r w:rsidDel="00000000" w:rsidR="00000000" w:rsidRPr="00000000">
        <w:rPr>
          <w:rtl w:val="0"/>
        </w:rPr>
        <w:t xml:space="preserve">Long-only ETF trading</w:t>
      </w:r>
    </w:p>
    <w:p w:rsidR="00000000" w:rsidDel="00000000" w:rsidP="00000000" w:rsidRDefault="00000000" w:rsidRPr="00000000" w14:paraId="00000022">
      <w:pPr>
        <w:numPr>
          <w:ilvl w:val="0"/>
          <w:numId w:val="3"/>
        </w:numPr>
        <w:spacing w:after="0" w:afterAutospacing="0" w:before="0" w:beforeAutospacing="0" w:lineRule="auto"/>
        <w:ind w:left="720" w:hanging="360"/>
      </w:pPr>
      <w:r w:rsidDel="00000000" w:rsidR="00000000" w:rsidRPr="00000000">
        <w:rPr>
          <w:rtl w:val="0"/>
        </w:rPr>
        <w:t xml:space="preserve">Daily signal generation</w:t>
      </w:r>
    </w:p>
    <w:p w:rsidR="00000000" w:rsidDel="00000000" w:rsidP="00000000" w:rsidRDefault="00000000" w:rsidRPr="00000000" w14:paraId="00000023">
      <w:pPr>
        <w:numPr>
          <w:ilvl w:val="0"/>
          <w:numId w:val="3"/>
        </w:numPr>
        <w:spacing w:after="0" w:afterAutospacing="0" w:before="0" w:beforeAutospacing="0" w:lineRule="auto"/>
        <w:ind w:left="720" w:hanging="360"/>
      </w:pPr>
      <w:r w:rsidDel="00000000" w:rsidR="00000000" w:rsidRPr="00000000">
        <w:rPr>
          <w:rtl w:val="0"/>
        </w:rPr>
        <w:t xml:space="preserve">Tranche-based accumulation</w:t>
      </w:r>
    </w:p>
    <w:p w:rsidR="00000000" w:rsidDel="00000000" w:rsidP="00000000" w:rsidRDefault="00000000" w:rsidRPr="00000000" w14:paraId="00000024">
      <w:pPr>
        <w:numPr>
          <w:ilvl w:val="0"/>
          <w:numId w:val="3"/>
        </w:numPr>
        <w:spacing w:after="0" w:afterAutospacing="0" w:before="0" w:beforeAutospacing="0" w:lineRule="auto"/>
        <w:ind w:left="720" w:hanging="360"/>
      </w:pPr>
      <w:r w:rsidDel="00000000" w:rsidR="00000000" w:rsidRPr="00000000">
        <w:rPr>
          <w:rtl w:val="0"/>
        </w:rPr>
        <w:t xml:space="preserve">Trend-based eligibility</w:t>
      </w:r>
    </w:p>
    <w:p w:rsidR="00000000" w:rsidDel="00000000" w:rsidP="00000000" w:rsidRDefault="00000000" w:rsidRPr="00000000" w14:paraId="00000025">
      <w:pPr>
        <w:numPr>
          <w:ilvl w:val="0"/>
          <w:numId w:val="3"/>
        </w:numPr>
        <w:spacing w:after="0" w:afterAutospacing="0" w:before="0" w:beforeAutospacing="0" w:lineRule="auto"/>
        <w:ind w:left="720" w:hanging="360"/>
      </w:pPr>
      <w:r w:rsidDel="00000000" w:rsidR="00000000" w:rsidRPr="00000000">
        <w:rPr>
          <w:rtl w:val="0"/>
        </w:rPr>
        <w:t xml:space="preserve">Profit-target exits</w:t>
      </w:r>
    </w:p>
    <w:p w:rsidR="00000000" w:rsidDel="00000000" w:rsidP="00000000" w:rsidRDefault="00000000" w:rsidRPr="00000000" w14:paraId="00000026">
      <w:pPr>
        <w:numPr>
          <w:ilvl w:val="0"/>
          <w:numId w:val="3"/>
        </w:numPr>
        <w:spacing w:after="240" w:before="0" w:beforeAutospacing="0" w:lineRule="auto"/>
        <w:ind w:left="720" w:hanging="360"/>
      </w:pPr>
      <w:r w:rsidDel="00000000" w:rsidR="00000000" w:rsidRPr="00000000">
        <w:rPr>
          <w:rtl w:val="0"/>
        </w:rPr>
        <w:t xml:space="preserve">Reporting &amp; alerts</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l2pvn9xlkz4k" w:id="9"/>
      <w:bookmarkEnd w:id="9"/>
      <w:r w:rsidDel="00000000" w:rsidR="00000000" w:rsidRPr="00000000">
        <w:rPr>
          <w:b w:val="1"/>
          <w:bCs w:val="1"/>
          <w:color w:val="000000"/>
          <w:sz w:val="26"/>
          <w:szCs w:val="26"/>
          <w:rtl w:val="0"/>
        </w:rPr>
        <w:t xml:space="preserve">2.2 Out of Scope</w:t>
      </w:r>
    </w:p>
    <w:p w:rsidR="00000000" w:rsidDel="00000000" w:rsidP="00000000" w:rsidRDefault="00000000" w:rsidRPr="00000000" w14:paraId="00000028">
      <w:pPr>
        <w:numPr>
          <w:ilvl w:val="0"/>
          <w:numId w:val="6"/>
        </w:numPr>
        <w:spacing w:after="0" w:afterAutospacing="0" w:before="240" w:lineRule="auto"/>
        <w:ind w:left="720" w:hanging="360"/>
      </w:pPr>
      <w:r w:rsidDel="00000000" w:rsidR="00000000" w:rsidRPr="00000000">
        <w:rPr>
          <w:rtl w:val="0"/>
        </w:rPr>
        <w:t xml:space="preserve">Intraday trading</w:t>
      </w:r>
    </w:p>
    <w:p w:rsidR="00000000" w:rsidDel="00000000" w:rsidP="00000000" w:rsidRDefault="00000000" w:rsidRPr="00000000" w14:paraId="00000029">
      <w:pPr>
        <w:numPr>
          <w:ilvl w:val="0"/>
          <w:numId w:val="6"/>
        </w:numPr>
        <w:spacing w:after="0" w:afterAutospacing="0" w:before="0" w:beforeAutospacing="0" w:lineRule="auto"/>
        <w:ind w:left="720" w:hanging="360"/>
      </w:pPr>
      <w:r w:rsidDel="00000000" w:rsidR="00000000" w:rsidRPr="00000000">
        <w:rPr>
          <w:rtl w:val="0"/>
        </w:rPr>
        <w:t xml:space="preserve">Short selling</w:t>
      </w:r>
    </w:p>
    <w:p w:rsidR="00000000" w:rsidDel="00000000" w:rsidP="00000000" w:rsidRDefault="00000000" w:rsidRPr="00000000" w14:paraId="0000002A">
      <w:pPr>
        <w:numPr>
          <w:ilvl w:val="0"/>
          <w:numId w:val="6"/>
        </w:numPr>
        <w:spacing w:after="0" w:afterAutospacing="0" w:before="0" w:beforeAutospacing="0" w:lineRule="auto"/>
        <w:ind w:left="720" w:hanging="360"/>
      </w:pPr>
      <w:r w:rsidDel="00000000" w:rsidR="00000000" w:rsidRPr="00000000">
        <w:rPr>
          <w:rtl w:val="0"/>
        </w:rPr>
        <w:t xml:space="preserve">Futures &amp; options</w:t>
      </w:r>
    </w:p>
    <w:p w:rsidR="00000000" w:rsidDel="00000000" w:rsidP="00000000" w:rsidRDefault="00000000" w:rsidRPr="00000000" w14:paraId="0000002B">
      <w:pPr>
        <w:numPr>
          <w:ilvl w:val="0"/>
          <w:numId w:val="6"/>
        </w:numPr>
        <w:spacing w:after="0" w:afterAutospacing="0" w:before="0" w:beforeAutospacing="0" w:lineRule="auto"/>
        <w:ind w:left="720" w:hanging="360"/>
      </w:pPr>
      <w:r w:rsidDel="00000000" w:rsidR="00000000" w:rsidRPr="00000000">
        <w:rPr>
          <w:rtl w:val="0"/>
        </w:rPr>
        <w:t xml:space="preserve">Stop-loss based exits</w:t>
      </w:r>
    </w:p>
    <w:p w:rsidR="00000000" w:rsidDel="00000000" w:rsidP="00000000" w:rsidRDefault="00000000" w:rsidRPr="00000000" w14:paraId="0000002C">
      <w:pPr>
        <w:numPr>
          <w:ilvl w:val="0"/>
          <w:numId w:val="6"/>
        </w:numPr>
        <w:spacing w:after="240" w:before="0" w:beforeAutospacing="0" w:lineRule="auto"/>
        <w:ind w:left="720" w:hanging="360"/>
      </w:pPr>
      <w:r w:rsidDel="00000000" w:rsidR="00000000" w:rsidRPr="00000000">
        <w:rPr>
          <w:rtl w:val="0"/>
        </w:rPr>
        <w:t xml:space="preserve">Manual overrides during live execution</w:t>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44bi99fo7on2" w:id="10"/>
      <w:bookmarkEnd w:id="10"/>
      <w:r w:rsidDel="00000000" w:rsidR="00000000" w:rsidRPr="00000000">
        <w:rPr>
          <w:b w:val="1"/>
          <w:bCs w:val="1"/>
          <w:sz w:val="34"/>
          <w:szCs w:val="34"/>
          <w:rtl w:val="0"/>
        </w:rPr>
        <w:t xml:space="preserve">3. ETF Universe</w:t>
      </w:r>
    </w:p>
    <w:p w:rsidR="00000000" w:rsidDel="00000000" w:rsidP="00000000" w:rsidRDefault="00000000" w:rsidRPr="00000000" w14:paraId="0000002E">
      <w:pPr>
        <w:spacing w:after="240" w:before="240" w:lineRule="auto"/>
        <w:jc w:val="both"/>
        <w:rPr/>
      </w:pPr>
      <w:r w:rsidDel="00000000" w:rsidR="00000000" w:rsidRPr="00000000">
        <w:rPr>
          <w:rtl w:val="0"/>
        </w:rPr>
        <w:t xml:space="preserve">The system shall trade only the ETFs included in the approved universe. No ETF outside this list may be traded without formal approval. ETFs are selected based on a minimum average daily turnover of ₹5 crore and preference for the lowest available expense ratios to ensure liquidity and cost efficiency. The approved ETF universe shall be reviewed and updated on a semi-annual basis as part of the governance process.</w:t>
      </w:r>
    </w:p>
    <w:p w:rsidR="00000000" w:rsidDel="00000000" w:rsidP="00000000" w:rsidRDefault="00000000" w:rsidRPr="00000000" w14:paraId="0000002F">
      <w:pPr>
        <w:spacing w:after="240" w:before="240" w:lineRule="auto"/>
        <w:jc w:val="both"/>
        <w:rPr/>
      </w:pP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inhy5syo12jq" w:id="11"/>
      <w:bookmarkEnd w:id="11"/>
      <w:r w:rsidDel="00000000" w:rsidR="00000000" w:rsidRPr="00000000">
        <w:rPr>
          <w:b w:val="1"/>
          <w:bCs w:val="1"/>
          <w:color w:val="000000"/>
          <w:sz w:val="26"/>
          <w:szCs w:val="26"/>
          <w:rtl w:val="0"/>
        </w:rPr>
        <w:t xml:space="preserve">3.1 Approved ETF List</w:t>
      </w:r>
    </w:p>
    <w:p w:rsidR="00000000" w:rsidDel="00000000" w:rsidP="00000000" w:rsidRDefault="00000000" w:rsidRPr="00000000" w14:paraId="00000033">
      <w:pPr>
        <w:rPr/>
      </w:pPr>
      <w:r w:rsidDel="00000000" w:rsidR="00000000" w:rsidRPr="00000000">
        <w:rPr>
          <w:rtl w:val="0"/>
        </w:rPr>
      </w:r>
    </w:p>
    <w:tbl>
      <w:tblPr>
        <w:tblStyle w:val="Table1"/>
        <w:tblW w:w="95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735"/>
        <w:gridCol w:w="900"/>
        <w:gridCol w:w="2175"/>
        <w:gridCol w:w="1380"/>
        <w:gridCol w:w="2484.0000000000005"/>
        <w:tblGridChange w:id="0">
          <w:tblGrid>
            <w:gridCol w:w="1890"/>
            <w:gridCol w:w="735"/>
            <w:gridCol w:w="900"/>
            <w:gridCol w:w="2175"/>
            <w:gridCol w:w="1380"/>
            <w:gridCol w:w="2484.0000000000005"/>
          </w:tblGrid>
        </w:tblGridChange>
      </w:tblGrid>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jc w:val="center"/>
              <w:rPr>
                <w:b w:val="1"/>
                <w:bCs w:val="1"/>
              </w:rPr>
            </w:pPr>
            <w:r w:rsidDel="00000000" w:rsidR="00000000" w:rsidRPr="00000000">
              <w:rPr>
                <w:b w:val="1"/>
                <w:bCs w:val="1"/>
                <w:rtl w:val="0"/>
              </w:rPr>
              <w:t xml:space="preserve">ETF Symbol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rPr>
                <w:b w:val="1"/>
                <w:bCs w:val="1"/>
              </w:rPr>
            </w:pPr>
            <w:r w:rsidDel="00000000" w:rsidR="00000000" w:rsidRPr="00000000">
              <w:rPr>
                <w:b w:val="1"/>
                <w:bCs w:val="1"/>
                <w:rtl w:val="0"/>
              </w:rPr>
              <w:t xml:space="preserve">β</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jc w:val="center"/>
              <w:rPr>
                <w:b w:val="1"/>
                <w:bCs w:val="1"/>
              </w:rPr>
            </w:pPr>
            <w:r w:rsidDel="00000000" w:rsidR="00000000" w:rsidRPr="00000000">
              <w:rPr>
                <w:b w:val="1"/>
                <w:bCs w:val="1"/>
                <w:rtl w:val="0"/>
              </w:rPr>
              <w:t xml:space="preserve">ATR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jc w:val="center"/>
              <w:rPr/>
            </w:pPr>
            <w:r w:rsidDel="00000000" w:rsidR="00000000" w:rsidRPr="00000000">
              <w:rPr>
                <w:b w:val="1"/>
                <w:bCs w:val="1"/>
                <w:rtl w:val="0"/>
              </w:rPr>
              <w:t xml:space="preserve">ETF Theme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jc w:val="center"/>
              <w:rPr/>
            </w:pPr>
            <w:r w:rsidDel="00000000" w:rsidR="00000000" w:rsidRPr="00000000">
              <w:rPr>
                <w:b w:val="1"/>
                <w:bCs w:val="1"/>
                <w:rtl w:val="0"/>
              </w:rPr>
              <w:t xml:space="preserve">AMC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jc w:val="center"/>
              <w:rPr/>
            </w:pPr>
            <w:r w:rsidDel="00000000" w:rsidR="00000000" w:rsidRPr="00000000">
              <w:rPr>
                <w:b w:val="1"/>
                <w:bCs w:val="1"/>
                <w:rtl w:val="0"/>
              </w:rPr>
              <w:t xml:space="preserve">Underlying Exposure</w:t>
            </w:r>
            <w:r w:rsidDel="00000000" w:rsidR="00000000" w:rsidRPr="00000000">
              <w:rPr>
                <w:rtl w:val="0"/>
              </w:rPr>
            </w:r>
          </w:p>
        </w:tc>
      </w:tr>
      <w:tr>
        <w:trPr>
          <w:cantSplit w:val="1"/>
          <w:trHeight w:val="288" w:hRule="atLeast"/>
          <w:tblHeader w:val="0"/>
        </w:trPr>
        <w:tc>
          <w:tcPr>
            <w:gridSpan w:val="6"/>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3A">
            <w:pPr>
              <w:rPr>
                <w:b w:val="1"/>
                <w:bCs w:val="1"/>
                <w:sz w:val="18"/>
                <w:szCs w:val="18"/>
              </w:rPr>
            </w:pPr>
            <w:r w:rsidDel="00000000" w:rsidR="00000000" w:rsidRPr="00000000">
              <w:rPr>
                <w:b w:val="1"/>
                <w:bCs w:val="1"/>
                <w:sz w:val="18"/>
                <w:szCs w:val="18"/>
                <w:rtl w:val="0"/>
              </w:rPr>
              <w:t xml:space="preserve">COMMODITIES</w:t>
            </w:r>
          </w:p>
        </w:tc>
      </w:tr>
      <w:tr>
        <w:trPr>
          <w:cantSplit w:val="1"/>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rPr>
                <w:sz w:val="18"/>
                <w:szCs w:val="18"/>
              </w:rPr>
            </w:pPr>
            <w:r w:rsidDel="00000000" w:rsidR="00000000" w:rsidRPr="00000000">
              <w:rPr>
                <w:sz w:val="18"/>
                <w:szCs w:val="18"/>
                <w:rtl w:val="0"/>
              </w:rPr>
              <w:t xml:space="preserve">METALIETF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rPr>
                <w:sz w:val="18"/>
                <w:szCs w:val="18"/>
              </w:rPr>
            </w:pPr>
            <w:r w:rsidDel="00000000" w:rsidR="00000000" w:rsidRPr="00000000">
              <w:rPr>
                <w:sz w:val="18"/>
                <w:szCs w:val="18"/>
                <w:rtl w:val="0"/>
              </w:rPr>
              <w:t xml:space="preserve">1.36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rPr>
                <w:sz w:val="18"/>
                <w:szCs w:val="18"/>
              </w:rPr>
            </w:pPr>
            <w:r w:rsidDel="00000000" w:rsidR="00000000" w:rsidRPr="00000000">
              <w:rPr>
                <w:sz w:val="18"/>
                <w:szCs w:val="18"/>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rPr>
                <w:sz w:val="18"/>
                <w:szCs w:val="18"/>
              </w:rPr>
            </w:pPr>
            <w:r w:rsidDel="00000000" w:rsidR="00000000" w:rsidRPr="00000000">
              <w:rPr>
                <w:sz w:val="18"/>
                <w:szCs w:val="18"/>
                <w:rtl w:val="0"/>
              </w:rPr>
              <w:t xml:space="preserve">Nifty Metal ETF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rPr>
                <w:sz w:val="18"/>
                <w:szCs w:val="18"/>
              </w:rPr>
            </w:pPr>
            <w:r w:rsidDel="00000000" w:rsidR="00000000" w:rsidRPr="00000000">
              <w:rPr>
                <w:sz w:val="18"/>
                <w:szCs w:val="18"/>
                <w:rtl w:val="0"/>
              </w:rPr>
              <w:t xml:space="preserve">Nippon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rPr>
                <w:sz w:val="18"/>
                <w:szCs w:val="18"/>
              </w:rPr>
            </w:pPr>
            <w:r w:rsidDel="00000000" w:rsidR="00000000" w:rsidRPr="00000000">
              <w:rPr>
                <w:sz w:val="18"/>
                <w:szCs w:val="18"/>
                <w:rtl w:val="0"/>
              </w:rPr>
              <w:t xml:space="preserve">Metal &amp; mining stocks</w:t>
            </w:r>
          </w:p>
        </w:tc>
      </w:tr>
      <w:tr>
        <w:trPr>
          <w:cantSplit w:val="1"/>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rPr>
                <w:sz w:val="18"/>
                <w:szCs w:val="18"/>
              </w:rPr>
            </w:pPr>
            <w:r w:rsidDel="00000000" w:rsidR="00000000" w:rsidRPr="00000000">
              <w:rPr>
                <w:sz w:val="18"/>
                <w:szCs w:val="18"/>
                <w:rtl w:val="0"/>
              </w:rPr>
              <w:t xml:space="preserve">OILETF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rPr>
                <w:sz w:val="18"/>
                <w:szCs w:val="18"/>
              </w:rPr>
            </w:pPr>
            <w:r w:rsidDel="00000000" w:rsidR="00000000" w:rsidRPr="00000000">
              <w:rPr>
                <w:sz w:val="18"/>
                <w:szCs w:val="18"/>
                <w:rtl w:val="0"/>
              </w:rPr>
              <w:t xml:space="preserve">1.09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rPr>
                <w:sz w:val="18"/>
                <w:szCs w:val="18"/>
              </w:rPr>
            </w:pPr>
            <w:r w:rsidDel="00000000" w:rsidR="00000000" w:rsidRPr="00000000">
              <w:rPr>
                <w:sz w:val="18"/>
                <w:szCs w:val="18"/>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rPr>
                <w:sz w:val="18"/>
                <w:szCs w:val="18"/>
              </w:rPr>
            </w:pPr>
            <w:r w:rsidDel="00000000" w:rsidR="00000000" w:rsidRPr="00000000">
              <w:rPr>
                <w:sz w:val="18"/>
                <w:szCs w:val="18"/>
                <w:rtl w:val="0"/>
              </w:rPr>
              <w:t xml:space="preserve">Nifty Oil &amp; Gas ETF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rPr>
                <w:sz w:val="18"/>
                <w:szCs w:val="18"/>
              </w:rPr>
            </w:pPr>
            <w:r w:rsidDel="00000000" w:rsidR="00000000" w:rsidRPr="00000000">
              <w:rPr>
                <w:sz w:val="18"/>
                <w:szCs w:val="18"/>
                <w:rtl w:val="0"/>
              </w:rPr>
              <w:t xml:space="preserve">Nippon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rPr>
                <w:sz w:val="18"/>
                <w:szCs w:val="18"/>
              </w:rPr>
            </w:pPr>
            <w:r w:rsidDel="00000000" w:rsidR="00000000" w:rsidRPr="00000000">
              <w:rPr>
                <w:sz w:val="18"/>
                <w:szCs w:val="18"/>
                <w:rtl w:val="0"/>
              </w:rPr>
              <w:t xml:space="preserve">Oil &amp; energy sector</w:t>
            </w:r>
          </w:p>
        </w:tc>
      </w:tr>
      <w:tr>
        <w:trPr>
          <w:cantSplit w:val="1"/>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rPr>
                <w:sz w:val="18"/>
                <w:szCs w:val="18"/>
              </w:rPr>
            </w:pPr>
            <w:r w:rsidDel="00000000" w:rsidR="00000000" w:rsidRPr="00000000">
              <w:rPr>
                <w:sz w:val="18"/>
                <w:szCs w:val="18"/>
                <w:rtl w:val="0"/>
              </w:rPr>
              <w:t xml:space="preserve">GOLDIETF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rPr>
                <w:sz w:val="18"/>
                <w:szCs w:val="18"/>
              </w:rPr>
            </w:pPr>
            <w:r w:rsidDel="00000000" w:rsidR="00000000" w:rsidRPr="00000000">
              <w:rPr>
                <w:sz w:val="18"/>
                <w:szCs w:val="18"/>
                <w:rtl w:val="0"/>
              </w:rPr>
              <w:t xml:space="preserve">-0.06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rPr>
                <w:sz w:val="18"/>
                <w:szCs w:val="18"/>
              </w:rPr>
            </w:pPr>
            <w:r w:rsidDel="00000000" w:rsidR="00000000" w:rsidRPr="00000000">
              <w:rPr>
                <w:sz w:val="18"/>
                <w:szCs w:val="18"/>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rPr>
                <w:sz w:val="18"/>
                <w:szCs w:val="18"/>
              </w:rPr>
            </w:pPr>
            <w:r w:rsidDel="00000000" w:rsidR="00000000" w:rsidRPr="00000000">
              <w:rPr>
                <w:sz w:val="18"/>
                <w:szCs w:val="18"/>
                <w:rtl w:val="0"/>
              </w:rPr>
              <w:t xml:space="preserve">Gold ETF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rPr>
                <w:sz w:val="18"/>
                <w:szCs w:val="18"/>
              </w:rPr>
            </w:pPr>
            <w:r w:rsidDel="00000000" w:rsidR="00000000" w:rsidRPr="00000000">
              <w:rPr>
                <w:sz w:val="18"/>
                <w:szCs w:val="18"/>
                <w:rtl w:val="0"/>
              </w:rPr>
              <w:t xml:space="preserve">Nippon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rPr>
                <w:sz w:val="18"/>
                <w:szCs w:val="18"/>
              </w:rPr>
            </w:pPr>
            <w:r w:rsidDel="00000000" w:rsidR="00000000" w:rsidRPr="00000000">
              <w:rPr>
                <w:sz w:val="18"/>
                <w:szCs w:val="18"/>
                <w:rtl w:val="0"/>
              </w:rPr>
              <w:t xml:space="preserve">Physical gold</w:t>
            </w:r>
          </w:p>
        </w:tc>
      </w:tr>
      <w:tr>
        <w:trPr>
          <w:cantSplit w:val="1"/>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rPr>
                <w:sz w:val="18"/>
                <w:szCs w:val="18"/>
              </w:rPr>
            </w:pPr>
            <w:r w:rsidDel="00000000" w:rsidR="00000000" w:rsidRPr="00000000">
              <w:rPr>
                <w:sz w:val="18"/>
                <w:szCs w:val="18"/>
                <w:rtl w:val="0"/>
              </w:rPr>
              <w:t xml:space="preserve">SILVERIETF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rPr>
                <w:sz w:val="18"/>
                <w:szCs w:val="18"/>
              </w:rPr>
            </w:pPr>
            <w:r w:rsidDel="00000000" w:rsidR="00000000" w:rsidRPr="00000000">
              <w:rPr>
                <w:sz w:val="18"/>
                <w:szCs w:val="18"/>
                <w:rtl w:val="0"/>
              </w:rPr>
              <w:t xml:space="preserve">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rPr>
                <w:sz w:val="18"/>
                <w:szCs w:val="18"/>
              </w:rPr>
            </w:pPr>
            <w:r w:rsidDel="00000000" w:rsidR="00000000" w:rsidRPr="00000000">
              <w:rPr>
                <w:sz w:val="18"/>
                <w:szCs w:val="18"/>
                <w:rtl w:val="0"/>
              </w:rPr>
              <w:t xml:space="preserve">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rPr>
                <w:sz w:val="18"/>
                <w:szCs w:val="18"/>
              </w:rPr>
            </w:pPr>
            <w:r w:rsidDel="00000000" w:rsidR="00000000" w:rsidRPr="00000000">
              <w:rPr>
                <w:sz w:val="18"/>
                <w:szCs w:val="18"/>
                <w:rtl w:val="0"/>
              </w:rPr>
              <w:t xml:space="preserve">Silver ETF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rPr>
                <w:sz w:val="18"/>
                <w:szCs w:val="18"/>
              </w:rPr>
            </w:pPr>
            <w:r w:rsidDel="00000000" w:rsidR="00000000" w:rsidRPr="00000000">
              <w:rPr>
                <w:sz w:val="18"/>
                <w:szCs w:val="18"/>
                <w:rtl w:val="0"/>
              </w:rPr>
              <w:t xml:space="preserve">ICICI Pru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rPr>
                <w:sz w:val="18"/>
                <w:szCs w:val="18"/>
              </w:rPr>
            </w:pPr>
            <w:r w:rsidDel="00000000" w:rsidR="00000000" w:rsidRPr="00000000">
              <w:rPr>
                <w:sz w:val="18"/>
                <w:szCs w:val="18"/>
                <w:rtl w:val="0"/>
              </w:rPr>
              <w:t xml:space="preserve">Physical silver</w:t>
            </w:r>
          </w:p>
        </w:tc>
      </w:tr>
      <w:tr>
        <w:trPr>
          <w:cantSplit w:val="0"/>
          <w:trHeight w:val="288" w:hRule="atLeast"/>
          <w:tblHeader w:val="0"/>
        </w:trPr>
        <w:tc>
          <w:tcPr>
            <w:gridSpan w:val="6"/>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58">
            <w:pPr>
              <w:rPr>
                <w:b w:val="1"/>
                <w:bCs w:val="1"/>
                <w:sz w:val="18"/>
                <w:szCs w:val="18"/>
              </w:rPr>
            </w:pPr>
            <w:r w:rsidDel="00000000" w:rsidR="00000000" w:rsidRPr="00000000">
              <w:rPr>
                <w:b w:val="1"/>
                <w:bCs w:val="1"/>
                <w:sz w:val="18"/>
                <w:szCs w:val="18"/>
                <w:rtl w:val="0"/>
              </w:rPr>
              <w:t xml:space="preserve">SECTORAL </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rPr>
                <w:sz w:val="18"/>
                <w:szCs w:val="18"/>
              </w:rPr>
            </w:pPr>
            <w:r w:rsidDel="00000000" w:rsidR="00000000" w:rsidRPr="00000000">
              <w:rPr>
                <w:sz w:val="18"/>
                <w:szCs w:val="18"/>
                <w:rtl w:val="0"/>
              </w:rPr>
              <w:t xml:space="preserve">FMCGIETF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rPr>
                <w:sz w:val="18"/>
                <w:szCs w:val="18"/>
              </w:rPr>
            </w:pPr>
            <w:r w:rsidDel="00000000" w:rsidR="00000000" w:rsidRPr="00000000">
              <w:rPr>
                <w:sz w:val="18"/>
                <w:szCs w:val="18"/>
                <w:rtl w:val="0"/>
              </w:rPr>
              <w:t xml:space="preserve">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rPr>
                <w:sz w:val="18"/>
                <w:szCs w:val="18"/>
              </w:rPr>
            </w:pPr>
            <w:r w:rsidDel="00000000" w:rsidR="00000000" w:rsidRPr="00000000">
              <w:rPr>
                <w:sz w:val="18"/>
                <w:szCs w:val="18"/>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rPr>
                <w:sz w:val="18"/>
                <w:szCs w:val="18"/>
              </w:rPr>
            </w:pPr>
            <w:r w:rsidDel="00000000" w:rsidR="00000000" w:rsidRPr="00000000">
              <w:rPr>
                <w:sz w:val="18"/>
                <w:szCs w:val="18"/>
                <w:rtl w:val="0"/>
              </w:rPr>
              <w:t xml:space="preserve">Nifty FMCG ETF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rPr>
                <w:sz w:val="18"/>
                <w:szCs w:val="18"/>
              </w:rPr>
            </w:pPr>
            <w:r w:rsidDel="00000000" w:rsidR="00000000" w:rsidRPr="00000000">
              <w:rPr>
                <w:sz w:val="18"/>
                <w:szCs w:val="18"/>
                <w:rtl w:val="0"/>
              </w:rPr>
              <w:t xml:space="preserve">Nippon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rPr>
                <w:sz w:val="18"/>
                <w:szCs w:val="18"/>
              </w:rPr>
            </w:pPr>
            <w:r w:rsidDel="00000000" w:rsidR="00000000" w:rsidRPr="00000000">
              <w:rPr>
                <w:sz w:val="18"/>
                <w:szCs w:val="18"/>
                <w:rtl w:val="0"/>
              </w:rPr>
              <w:t xml:space="preserve">FMCG sector</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rPr>
                <w:sz w:val="18"/>
                <w:szCs w:val="18"/>
              </w:rPr>
            </w:pPr>
            <w:r w:rsidDel="00000000" w:rsidR="00000000" w:rsidRPr="00000000">
              <w:rPr>
                <w:sz w:val="18"/>
                <w:szCs w:val="18"/>
                <w:rtl w:val="0"/>
              </w:rPr>
              <w:t xml:space="preserve">PHARMABEES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rPr>
                <w:sz w:val="18"/>
                <w:szCs w:val="18"/>
              </w:rPr>
            </w:pPr>
            <w:r w:rsidDel="00000000" w:rsidR="00000000" w:rsidRPr="00000000">
              <w:rPr>
                <w:sz w:val="18"/>
                <w:szCs w:val="18"/>
                <w:rtl w:val="0"/>
              </w:rPr>
              <w:t xml:space="preserve">0.78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rPr>
                <w:sz w:val="18"/>
                <w:szCs w:val="18"/>
              </w:rPr>
            </w:pPr>
            <w:r w:rsidDel="00000000" w:rsidR="00000000" w:rsidRPr="00000000">
              <w:rPr>
                <w:sz w:val="18"/>
                <w:szCs w:val="18"/>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rPr>
                <w:sz w:val="18"/>
                <w:szCs w:val="18"/>
              </w:rPr>
            </w:pPr>
            <w:r w:rsidDel="00000000" w:rsidR="00000000" w:rsidRPr="00000000">
              <w:rPr>
                <w:sz w:val="18"/>
                <w:szCs w:val="18"/>
                <w:rtl w:val="0"/>
              </w:rPr>
              <w:t xml:space="preserve">Nifty Pharma ETF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rPr>
                <w:sz w:val="18"/>
                <w:szCs w:val="18"/>
              </w:rPr>
            </w:pPr>
            <w:r w:rsidDel="00000000" w:rsidR="00000000" w:rsidRPr="00000000">
              <w:rPr>
                <w:sz w:val="18"/>
                <w:szCs w:val="18"/>
                <w:rtl w:val="0"/>
              </w:rPr>
              <w:t xml:space="preserve">Nippon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rPr>
                <w:sz w:val="18"/>
                <w:szCs w:val="18"/>
              </w:rPr>
            </w:pPr>
            <w:r w:rsidDel="00000000" w:rsidR="00000000" w:rsidRPr="00000000">
              <w:rPr>
                <w:sz w:val="18"/>
                <w:szCs w:val="18"/>
                <w:rtl w:val="0"/>
              </w:rPr>
              <w:t xml:space="preserve">Pharmaceutical sector</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rPr>
                <w:sz w:val="18"/>
                <w:szCs w:val="18"/>
              </w:rPr>
            </w:pPr>
            <w:r w:rsidDel="00000000" w:rsidR="00000000" w:rsidRPr="00000000">
              <w:rPr>
                <w:sz w:val="18"/>
                <w:szCs w:val="18"/>
                <w:rtl w:val="0"/>
              </w:rPr>
              <w:t xml:space="preserve">CPSEETF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rPr>
                <w:sz w:val="18"/>
                <w:szCs w:val="18"/>
              </w:rPr>
            </w:pPr>
            <w:r w:rsidDel="00000000" w:rsidR="00000000" w:rsidRPr="00000000">
              <w:rPr>
                <w:sz w:val="18"/>
                <w:szCs w:val="18"/>
                <w:rtl w:val="0"/>
              </w:rPr>
              <w:t xml:space="preserve">1.16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rPr>
                <w:sz w:val="18"/>
                <w:szCs w:val="18"/>
              </w:rPr>
            </w:pPr>
            <w:r w:rsidDel="00000000" w:rsidR="00000000" w:rsidRPr="00000000">
              <w:rPr>
                <w:sz w:val="18"/>
                <w:szCs w:val="18"/>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rPr>
                <w:sz w:val="18"/>
                <w:szCs w:val="18"/>
              </w:rPr>
            </w:pPr>
            <w:r w:rsidDel="00000000" w:rsidR="00000000" w:rsidRPr="00000000">
              <w:rPr>
                <w:sz w:val="18"/>
                <w:szCs w:val="18"/>
                <w:rtl w:val="0"/>
              </w:rPr>
              <w:t xml:space="preserve">CPSE ETF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rPr>
                <w:sz w:val="18"/>
                <w:szCs w:val="18"/>
              </w:rPr>
            </w:pPr>
            <w:r w:rsidDel="00000000" w:rsidR="00000000" w:rsidRPr="00000000">
              <w:rPr>
                <w:sz w:val="18"/>
                <w:szCs w:val="18"/>
                <w:rtl w:val="0"/>
              </w:rPr>
              <w:t xml:space="preserve">Nippon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rPr>
                <w:sz w:val="18"/>
                <w:szCs w:val="18"/>
              </w:rPr>
            </w:pPr>
            <w:r w:rsidDel="00000000" w:rsidR="00000000" w:rsidRPr="00000000">
              <w:rPr>
                <w:sz w:val="18"/>
                <w:szCs w:val="18"/>
                <w:rtl w:val="0"/>
              </w:rPr>
              <w:t xml:space="preserve">PSU companies</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rPr>
                <w:sz w:val="18"/>
                <w:szCs w:val="18"/>
              </w:rPr>
            </w:pPr>
            <w:r w:rsidDel="00000000" w:rsidR="00000000" w:rsidRPr="00000000">
              <w:rPr>
                <w:sz w:val="18"/>
                <w:szCs w:val="18"/>
                <w:rtl w:val="0"/>
              </w:rPr>
              <w:t xml:space="preserve">MODEFENSE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rPr>
                <w:sz w:val="18"/>
                <w:szCs w:val="18"/>
              </w:rPr>
            </w:pPr>
            <w:r w:rsidDel="00000000" w:rsidR="00000000" w:rsidRPr="00000000">
              <w:rPr>
                <w:sz w:val="18"/>
                <w:szCs w:val="18"/>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rPr>
                <w:sz w:val="18"/>
                <w:szCs w:val="18"/>
              </w:rPr>
            </w:pPr>
            <w:r w:rsidDel="00000000" w:rsidR="00000000" w:rsidRPr="00000000">
              <w:rPr>
                <w:sz w:val="18"/>
                <w:szCs w:val="18"/>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rPr>
                <w:sz w:val="18"/>
                <w:szCs w:val="18"/>
              </w:rPr>
            </w:pPr>
            <w:r w:rsidDel="00000000" w:rsidR="00000000" w:rsidRPr="00000000">
              <w:rPr>
                <w:sz w:val="18"/>
                <w:szCs w:val="18"/>
                <w:rtl w:val="0"/>
              </w:rPr>
              <w:t xml:space="preserve">Nifty India Defence ETF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rPr>
                <w:sz w:val="18"/>
                <w:szCs w:val="18"/>
              </w:rPr>
            </w:pPr>
            <w:r w:rsidDel="00000000" w:rsidR="00000000" w:rsidRPr="00000000">
              <w:rPr>
                <w:sz w:val="18"/>
                <w:szCs w:val="18"/>
                <w:rtl w:val="0"/>
              </w:rPr>
              <w:t xml:space="preserve">Nippon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rPr>
                <w:sz w:val="18"/>
                <w:szCs w:val="18"/>
              </w:rPr>
            </w:pPr>
            <w:r w:rsidDel="00000000" w:rsidR="00000000" w:rsidRPr="00000000">
              <w:rPr>
                <w:sz w:val="18"/>
                <w:szCs w:val="18"/>
                <w:rtl w:val="0"/>
              </w:rPr>
              <w:t xml:space="preserve">Defence &amp; aerospace</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rPr>
                <w:sz w:val="18"/>
                <w:szCs w:val="18"/>
              </w:rPr>
            </w:pPr>
            <w:r w:rsidDel="00000000" w:rsidR="00000000" w:rsidRPr="00000000">
              <w:rPr>
                <w:sz w:val="18"/>
                <w:szCs w:val="18"/>
                <w:rtl w:val="0"/>
              </w:rPr>
              <w:t xml:space="preserve">MOREALTY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rPr>
                <w:sz w:val="18"/>
                <w:szCs w:val="18"/>
              </w:rPr>
            </w:pPr>
            <w:r w:rsidDel="00000000" w:rsidR="00000000" w:rsidRPr="00000000">
              <w:rPr>
                <w:sz w:val="18"/>
                <w:szCs w:val="18"/>
                <w:rtl w:val="0"/>
              </w:rPr>
              <w:t xml:space="preserve">1.56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rPr>
                <w:sz w:val="18"/>
                <w:szCs w:val="18"/>
              </w:rPr>
            </w:pPr>
            <w:r w:rsidDel="00000000" w:rsidR="00000000" w:rsidRPr="00000000">
              <w:rPr>
                <w:sz w:val="18"/>
                <w:szCs w:val="18"/>
                <w:rtl w:val="0"/>
              </w:rPr>
              <w:t xml:space="preserve">Nifty Realty ETF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rPr>
                <w:sz w:val="18"/>
                <w:szCs w:val="18"/>
              </w:rPr>
            </w:pPr>
            <w:r w:rsidDel="00000000" w:rsidR="00000000" w:rsidRPr="00000000">
              <w:rPr>
                <w:sz w:val="18"/>
                <w:szCs w:val="18"/>
                <w:rtl w:val="0"/>
              </w:rPr>
              <w:t xml:space="preserve">Nippon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rPr>
                <w:sz w:val="18"/>
                <w:szCs w:val="18"/>
              </w:rPr>
            </w:pPr>
            <w:r w:rsidDel="00000000" w:rsidR="00000000" w:rsidRPr="00000000">
              <w:rPr>
                <w:sz w:val="18"/>
                <w:szCs w:val="18"/>
                <w:rtl w:val="0"/>
              </w:rPr>
              <w:t xml:space="preserve">Real estate sector</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rPr>
                <w:sz w:val="18"/>
                <w:szCs w:val="18"/>
              </w:rPr>
            </w:pPr>
            <w:r w:rsidDel="00000000" w:rsidR="00000000" w:rsidRPr="00000000">
              <w:rPr>
                <w:sz w:val="18"/>
                <w:szCs w:val="18"/>
                <w:rtl w:val="0"/>
              </w:rPr>
              <w:t xml:space="preserve">ITBEES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rPr>
                <w:sz w:val="18"/>
                <w:szCs w:val="18"/>
              </w:rPr>
            </w:pPr>
            <w:r w:rsidDel="00000000" w:rsidR="00000000" w:rsidRPr="00000000">
              <w:rPr>
                <w:sz w:val="18"/>
                <w:szCs w:val="18"/>
                <w:rtl w:val="0"/>
              </w:rPr>
              <w:t xml:space="preserve">1.17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rPr>
                <w:sz w:val="18"/>
                <w:szCs w:val="18"/>
              </w:rPr>
            </w:pPr>
            <w:r w:rsidDel="00000000" w:rsidR="00000000" w:rsidRPr="00000000">
              <w:rPr>
                <w:sz w:val="18"/>
                <w:szCs w:val="18"/>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rPr>
                <w:sz w:val="18"/>
                <w:szCs w:val="18"/>
              </w:rPr>
            </w:pPr>
            <w:r w:rsidDel="00000000" w:rsidR="00000000" w:rsidRPr="00000000">
              <w:rPr>
                <w:sz w:val="18"/>
                <w:szCs w:val="18"/>
                <w:rtl w:val="0"/>
              </w:rPr>
              <w:t xml:space="preserve">Nifty IT ETF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rPr>
                <w:sz w:val="18"/>
                <w:szCs w:val="18"/>
              </w:rPr>
            </w:pPr>
            <w:r w:rsidDel="00000000" w:rsidR="00000000" w:rsidRPr="00000000">
              <w:rPr>
                <w:sz w:val="18"/>
                <w:szCs w:val="18"/>
                <w:rtl w:val="0"/>
              </w:rPr>
              <w:t xml:space="preserve">Nippon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rPr>
                <w:sz w:val="18"/>
                <w:szCs w:val="18"/>
              </w:rPr>
            </w:pPr>
            <w:r w:rsidDel="00000000" w:rsidR="00000000" w:rsidRPr="00000000">
              <w:rPr>
                <w:sz w:val="18"/>
                <w:szCs w:val="18"/>
                <w:rtl w:val="0"/>
              </w:rPr>
              <w:t xml:space="preserve">IT services</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rPr>
                <w:sz w:val="18"/>
                <w:szCs w:val="18"/>
              </w:rPr>
            </w:pPr>
            <w:r w:rsidDel="00000000" w:rsidR="00000000" w:rsidRPr="00000000">
              <w:rPr>
                <w:sz w:val="18"/>
                <w:szCs w:val="18"/>
                <w:rtl w:val="0"/>
              </w:rPr>
              <w:t xml:space="preserve">AUTOBEES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rPr>
                <w:sz w:val="18"/>
                <w:szCs w:val="18"/>
              </w:rPr>
            </w:pPr>
            <w:r w:rsidDel="00000000" w:rsidR="00000000" w:rsidRPr="00000000">
              <w:rPr>
                <w:sz w:val="18"/>
                <w:szCs w:val="18"/>
                <w:rtl w:val="0"/>
              </w:rPr>
              <w:t xml:space="preserve">1.18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rPr>
                <w:sz w:val="18"/>
                <w:szCs w:val="18"/>
              </w:rPr>
            </w:pPr>
            <w:r w:rsidDel="00000000" w:rsidR="00000000" w:rsidRPr="00000000">
              <w:rPr>
                <w:sz w:val="18"/>
                <w:szCs w:val="18"/>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rPr>
                <w:sz w:val="18"/>
                <w:szCs w:val="18"/>
              </w:rPr>
            </w:pPr>
            <w:r w:rsidDel="00000000" w:rsidR="00000000" w:rsidRPr="00000000">
              <w:rPr>
                <w:sz w:val="18"/>
                <w:szCs w:val="18"/>
                <w:rtl w:val="0"/>
              </w:rPr>
              <w:t xml:space="preserve">Nifty Auto ETF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rPr>
                <w:sz w:val="18"/>
                <w:szCs w:val="18"/>
              </w:rPr>
            </w:pPr>
            <w:r w:rsidDel="00000000" w:rsidR="00000000" w:rsidRPr="00000000">
              <w:rPr>
                <w:sz w:val="18"/>
                <w:szCs w:val="18"/>
                <w:rtl w:val="0"/>
              </w:rPr>
              <w:t xml:space="preserve">Nippon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rPr>
                <w:sz w:val="18"/>
                <w:szCs w:val="18"/>
              </w:rPr>
            </w:pPr>
            <w:r w:rsidDel="00000000" w:rsidR="00000000" w:rsidRPr="00000000">
              <w:rPr>
                <w:sz w:val="18"/>
                <w:szCs w:val="18"/>
                <w:rtl w:val="0"/>
              </w:rPr>
              <w:t xml:space="preserve">Automobile sector</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rPr>
                <w:sz w:val="18"/>
                <w:szCs w:val="18"/>
              </w:rPr>
            </w:pPr>
            <w:r w:rsidDel="00000000" w:rsidR="00000000" w:rsidRPr="00000000">
              <w:rPr>
                <w:sz w:val="18"/>
                <w:szCs w:val="18"/>
                <w:rtl w:val="0"/>
              </w:rPr>
              <w:t xml:space="preserve">PSUBNKBEES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rPr>
                <w:sz w:val="18"/>
                <w:szCs w:val="18"/>
              </w:rPr>
            </w:pPr>
            <w:r w:rsidDel="00000000" w:rsidR="00000000" w:rsidRPr="00000000">
              <w:rPr>
                <w:sz w:val="18"/>
                <w:szCs w:val="18"/>
                <w:rtl w:val="0"/>
              </w:rPr>
              <w:t xml:space="preserve">1.16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rPr>
                <w:sz w:val="18"/>
                <w:szCs w:val="18"/>
              </w:rPr>
            </w:pPr>
            <w:r w:rsidDel="00000000" w:rsidR="00000000" w:rsidRPr="00000000">
              <w:rPr>
                <w:sz w:val="18"/>
                <w:szCs w:val="18"/>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rPr>
                <w:sz w:val="18"/>
                <w:szCs w:val="18"/>
              </w:rPr>
            </w:pPr>
            <w:r w:rsidDel="00000000" w:rsidR="00000000" w:rsidRPr="00000000">
              <w:rPr>
                <w:sz w:val="18"/>
                <w:szCs w:val="18"/>
                <w:rtl w:val="0"/>
              </w:rPr>
              <w:t xml:space="preserve">Nifty PSU Bank ETF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rPr>
                <w:sz w:val="18"/>
                <w:szCs w:val="18"/>
              </w:rPr>
            </w:pPr>
            <w:r w:rsidDel="00000000" w:rsidR="00000000" w:rsidRPr="00000000">
              <w:rPr>
                <w:sz w:val="18"/>
                <w:szCs w:val="18"/>
                <w:rtl w:val="0"/>
              </w:rPr>
              <w:t xml:space="preserve">Nippon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rPr>
                <w:sz w:val="18"/>
                <w:szCs w:val="18"/>
              </w:rPr>
            </w:pPr>
            <w:r w:rsidDel="00000000" w:rsidR="00000000" w:rsidRPr="00000000">
              <w:rPr>
                <w:sz w:val="18"/>
                <w:szCs w:val="18"/>
                <w:rtl w:val="0"/>
              </w:rPr>
              <w:t xml:space="preserve">PSU banking stocks</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rPr>
                <w:sz w:val="18"/>
                <w:szCs w:val="18"/>
              </w:rPr>
            </w:pPr>
            <w:r w:rsidDel="00000000" w:rsidR="00000000" w:rsidRPr="00000000">
              <w:rPr>
                <w:sz w:val="18"/>
                <w:szCs w:val="18"/>
                <w:rtl w:val="0"/>
              </w:rPr>
              <w:t xml:space="preserve">BANKBEES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rPr>
                <w:sz w:val="18"/>
                <w:szCs w:val="18"/>
              </w:rPr>
            </w:pPr>
            <w:r w:rsidDel="00000000" w:rsidR="00000000" w:rsidRPr="00000000">
              <w:rPr>
                <w:sz w:val="18"/>
                <w:szCs w:val="18"/>
                <w:rtl w:val="0"/>
              </w:rPr>
              <w:t xml:space="preserve">0.94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rPr>
                <w:sz w:val="18"/>
                <w:szCs w:val="18"/>
              </w:rPr>
            </w:pPr>
            <w:r w:rsidDel="00000000" w:rsidR="00000000" w:rsidRPr="00000000">
              <w:rPr>
                <w:sz w:val="18"/>
                <w:szCs w:val="18"/>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rPr>
                <w:sz w:val="18"/>
                <w:szCs w:val="18"/>
              </w:rPr>
            </w:pPr>
            <w:r w:rsidDel="00000000" w:rsidR="00000000" w:rsidRPr="00000000">
              <w:rPr>
                <w:sz w:val="18"/>
                <w:szCs w:val="18"/>
                <w:rtl w:val="0"/>
              </w:rPr>
              <w:t xml:space="preserve">Nifty Bank ETF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rPr>
                <w:sz w:val="18"/>
                <w:szCs w:val="18"/>
              </w:rPr>
            </w:pPr>
            <w:r w:rsidDel="00000000" w:rsidR="00000000" w:rsidRPr="00000000">
              <w:rPr>
                <w:sz w:val="18"/>
                <w:szCs w:val="18"/>
                <w:rtl w:val="0"/>
              </w:rPr>
              <w:t xml:space="preserve">Nippon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rPr>
                <w:sz w:val="18"/>
                <w:szCs w:val="18"/>
              </w:rPr>
            </w:pPr>
            <w:r w:rsidDel="00000000" w:rsidR="00000000" w:rsidRPr="00000000">
              <w:rPr>
                <w:sz w:val="18"/>
                <w:szCs w:val="18"/>
                <w:rtl w:val="0"/>
              </w:rPr>
              <w:t xml:space="preserve">Banking sector</w:t>
            </w:r>
          </w:p>
        </w:tc>
      </w:tr>
      <w:tr>
        <w:trPr>
          <w:cantSplit w:val="0"/>
          <w:trHeight w:val="288" w:hRule="atLeast"/>
          <w:tblHeader w:val="0"/>
        </w:trPr>
        <w:tc>
          <w:tcPr>
            <w:gridSpan w:val="6"/>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94">
            <w:pPr>
              <w:rPr>
                <w:b w:val="1"/>
                <w:bCs w:val="1"/>
                <w:sz w:val="18"/>
                <w:szCs w:val="18"/>
              </w:rPr>
            </w:pPr>
            <w:r w:rsidDel="00000000" w:rsidR="00000000" w:rsidRPr="00000000">
              <w:rPr>
                <w:b w:val="1"/>
                <w:bCs w:val="1"/>
                <w:sz w:val="18"/>
                <w:szCs w:val="18"/>
                <w:rtl w:val="0"/>
              </w:rPr>
              <w:t xml:space="preserve">INDIAN MARKET INDEX</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rPr>
                <w:sz w:val="18"/>
                <w:szCs w:val="18"/>
              </w:rPr>
            </w:pPr>
            <w:r w:rsidDel="00000000" w:rsidR="00000000" w:rsidRPr="00000000">
              <w:rPr>
                <w:sz w:val="18"/>
                <w:szCs w:val="18"/>
                <w:rtl w:val="0"/>
              </w:rPr>
              <w:t xml:space="preserve">MIDCAETF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rPr>
                <w:sz w:val="18"/>
                <w:szCs w:val="18"/>
              </w:rPr>
            </w:pPr>
            <w:r w:rsidDel="00000000" w:rsidR="00000000" w:rsidRPr="00000000">
              <w:rPr>
                <w:sz w:val="18"/>
                <w:szCs w:val="18"/>
                <w:rtl w:val="0"/>
              </w:rPr>
              <w:t xml:space="preserve">1.17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rPr>
                <w:sz w:val="18"/>
                <w:szCs w:val="18"/>
              </w:rPr>
            </w:pPr>
            <w:r w:rsidDel="00000000" w:rsidR="00000000" w:rsidRPr="00000000">
              <w:rPr>
                <w:sz w:val="18"/>
                <w:szCs w:val="18"/>
                <w:rtl w:val="0"/>
              </w:rPr>
              <w:t xml:space="preserve">Nifty Midcap 150 ETF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rPr>
                <w:sz w:val="18"/>
                <w:szCs w:val="18"/>
              </w:rPr>
            </w:pPr>
            <w:r w:rsidDel="00000000" w:rsidR="00000000" w:rsidRPr="00000000">
              <w:rPr>
                <w:sz w:val="18"/>
                <w:szCs w:val="18"/>
                <w:rtl w:val="0"/>
              </w:rPr>
              <w:t xml:space="preserve">ICICI Pru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rPr>
                <w:sz w:val="18"/>
                <w:szCs w:val="18"/>
              </w:rPr>
            </w:pPr>
            <w:r w:rsidDel="00000000" w:rsidR="00000000" w:rsidRPr="00000000">
              <w:rPr>
                <w:sz w:val="18"/>
                <w:szCs w:val="18"/>
                <w:rtl w:val="0"/>
              </w:rPr>
              <w:t xml:space="preserve">Indian mid-cap stocks</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rPr>
                <w:sz w:val="18"/>
                <w:szCs w:val="18"/>
              </w:rPr>
            </w:pPr>
            <w:r w:rsidDel="00000000" w:rsidR="00000000" w:rsidRPr="00000000">
              <w:rPr>
                <w:sz w:val="18"/>
                <w:szCs w:val="18"/>
                <w:rtl w:val="0"/>
              </w:rPr>
              <w:t xml:space="preserve">HDFCSML250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rPr>
                <w:sz w:val="18"/>
                <w:szCs w:val="18"/>
              </w:rPr>
            </w:pPr>
            <w:r w:rsidDel="00000000" w:rsidR="00000000" w:rsidRPr="00000000">
              <w:rPr>
                <w:sz w:val="18"/>
                <w:szCs w:val="18"/>
                <w:rtl w:val="0"/>
              </w:rPr>
              <w:t xml:space="preserve">1.18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rPr>
                <w:sz w:val="18"/>
                <w:szCs w:val="18"/>
              </w:rPr>
            </w:pPr>
            <w:r w:rsidDel="00000000" w:rsidR="00000000" w:rsidRPr="00000000">
              <w:rPr>
                <w:sz w:val="18"/>
                <w:szCs w:val="18"/>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rPr>
                <w:sz w:val="18"/>
                <w:szCs w:val="18"/>
              </w:rPr>
            </w:pPr>
            <w:r w:rsidDel="00000000" w:rsidR="00000000" w:rsidRPr="00000000">
              <w:rPr>
                <w:sz w:val="18"/>
                <w:szCs w:val="18"/>
                <w:rtl w:val="0"/>
              </w:rPr>
              <w:t xml:space="preserve">Nifty Smallcap 250 ETF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rPr>
                <w:sz w:val="18"/>
                <w:szCs w:val="18"/>
              </w:rPr>
            </w:pPr>
            <w:r w:rsidDel="00000000" w:rsidR="00000000" w:rsidRPr="00000000">
              <w:rPr>
                <w:sz w:val="18"/>
                <w:szCs w:val="18"/>
                <w:rtl w:val="0"/>
              </w:rPr>
              <w:t xml:space="preserve">HDFC MF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rPr>
                <w:sz w:val="18"/>
                <w:szCs w:val="18"/>
              </w:rPr>
            </w:pPr>
            <w:r w:rsidDel="00000000" w:rsidR="00000000" w:rsidRPr="00000000">
              <w:rPr>
                <w:sz w:val="18"/>
                <w:szCs w:val="18"/>
                <w:rtl w:val="0"/>
              </w:rPr>
              <w:t xml:space="preserve">Indian small-cap stocks</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rPr>
                <w:sz w:val="18"/>
                <w:szCs w:val="18"/>
              </w:rPr>
            </w:pPr>
            <w:r w:rsidDel="00000000" w:rsidR="00000000" w:rsidRPr="00000000">
              <w:rPr>
                <w:sz w:val="18"/>
                <w:szCs w:val="18"/>
                <w:rtl w:val="0"/>
              </w:rPr>
              <w:t xml:space="preserve">JUNIORBEES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rPr>
                <w:sz w:val="18"/>
                <w:szCs w:val="18"/>
              </w:rPr>
            </w:pPr>
            <w:r w:rsidDel="00000000" w:rsidR="00000000" w:rsidRPr="00000000">
              <w:rPr>
                <w:sz w:val="18"/>
                <w:szCs w:val="18"/>
                <w:rtl w:val="0"/>
              </w:rPr>
              <w:t xml:space="preserve">1.17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rPr>
                <w:sz w:val="18"/>
                <w:szCs w:val="18"/>
              </w:rPr>
            </w:pPr>
            <w:r w:rsidDel="00000000" w:rsidR="00000000" w:rsidRPr="00000000">
              <w:rPr>
                <w:sz w:val="18"/>
                <w:szCs w:val="18"/>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rPr>
                <w:sz w:val="18"/>
                <w:szCs w:val="18"/>
              </w:rPr>
            </w:pPr>
            <w:r w:rsidDel="00000000" w:rsidR="00000000" w:rsidRPr="00000000">
              <w:rPr>
                <w:sz w:val="18"/>
                <w:szCs w:val="18"/>
                <w:rtl w:val="0"/>
              </w:rPr>
              <w:t xml:space="preserve">Nifty Next 50 ETF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rPr>
                <w:sz w:val="18"/>
                <w:szCs w:val="18"/>
              </w:rPr>
            </w:pPr>
            <w:r w:rsidDel="00000000" w:rsidR="00000000" w:rsidRPr="00000000">
              <w:rPr>
                <w:sz w:val="18"/>
                <w:szCs w:val="18"/>
                <w:rtl w:val="0"/>
              </w:rPr>
              <w:t xml:space="preserve">Nippon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rPr>
                <w:sz w:val="18"/>
                <w:szCs w:val="18"/>
              </w:rPr>
            </w:pPr>
            <w:r w:rsidDel="00000000" w:rsidR="00000000" w:rsidRPr="00000000">
              <w:rPr>
                <w:sz w:val="18"/>
                <w:szCs w:val="18"/>
                <w:rtl w:val="0"/>
              </w:rPr>
              <w:t xml:space="preserve">Emerging large caps</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rPr>
                <w:sz w:val="18"/>
                <w:szCs w:val="18"/>
              </w:rPr>
            </w:pPr>
            <w:r w:rsidDel="00000000" w:rsidR="00000000" w:rsidRPr="00000000">
              <w:rPr>
                <w:sz w:val="18"/>
                <w:szCs w:val="18"/>
                <w:rtl w:val="0"/>
              </w:rPr>
              <w:t xml:space="preserve">SENEXIETF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rPr>
                <w:sz w:val="18"/>
                <w:szCs w:val="18"/>
              </w:rPr>
            </w:pPr>
            <w:r w:rsidDel="00000000" w:rsidR="00000000" w:rsidRPr="00000000">
              <w:rPr>
                <w:sz w:val="18"/>
                <w:szCs w:val="18"/>
                <w:rtl w:val="0"/>
              </w:rPr>
              <w:t xml:space="preserve">0.98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rPr>
                <w:sz w:val="18"/>
                <w:szCs w:val="18"/>
              </w:rPr>
            </w:pPr>
            <w:r w:rsidDel="00000000" w:rsidR="00000000" w:rsidRPr="00000000">
              <w:rPr>
                <w:sz w:val="18"/>
                <w:szCs w:val="18"/>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rPr>
                <w:sz w:val="18"/>
                <w:szCs w:val="18"/>
              </w:rPr>
            </w:pPr>
            <w:r w:rsidDel="00000000" w:rsidR="00000000" w:rsidRPr="00000000">
              <w:rPr>
                <w:sz w:val="18"/>
                <w:szCs w:val="18"/>
                <w:rtl w:val="0"/>
              </w:rPr>
              <w:t xml:space="preserve">Sensex ETF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rPr>
                <w:sz w:val="18"/>
                <w:szCs w:val="18"/>
              </w:rPr>
            </w:pPr>
            <w:r w:rsidDel="00000000" w:rsidR="00000000" w:rsidRPr="00000000">
              <w:rPr>
                <w:sz w:val="18"/>
                <w:szCs w:val="18"/>
                <w:rtl w:val="0"/>
              </w:rPr>
              <w:t xml:space="preserve">ICICI Pru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rPr>
                <w:sz w:val="18"/>
                <w:szCs w:val="18"/>
              </w:rPr>
            </w:pPr>
            <w:r w:rsidDel="00000000" w:rsidR="00000000" w:rsidRPr="00000000">
              <w:rPr>
                <w:sz w:val="18"/>
                <w:szCs w:val="18"/>
                <w:rtl w:val="0"/>
              </w:rPr>
              <w:t xml:space="preserve">BSE Sensex</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rPr>
                <w:sz w:val="18"/>
                <w:szCs w:val="18"/>
              </w:rPr>
            </w:pPr>
            <w:r w:rsidDel="00000000" w:rsidR="00000000" w:rsidRPr="00000000">
              <w:rPr>
                <w:sz w:val="18"/>
                <w:szCs w:val="18"/>
                <w:rtl w:val="0"/>
              </w:rPr>
              <w:t xml:space="preserve">NIFTYIETF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rPr>
                <w:sz w:val="18"/>
                <w:szCs w:val="18"/>
              </w:rPr>
            </w:pPr>
            <w:r w:rsidDel="00000000" w:rsidR="00000000" w:rsidRPr="00000000">
              <w:rPr>
                <w:sz w:val="18"/>
                <w:szCs w:val="18"/>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rPr>
                <w:sz w:val="18"/>
                <w:szCs w:val="18"/>
              </w:rPr>
            </w:pPr>
            <w:r w:rsidDel="00000000" w:rsidR="00000000" w:rsidRPr="00000000">
              <w:rPr>
                <w:sz w:val="18"/>
                <w:szCs w:val="18"/>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rPr>
                <w:sz w:val="18"/>
                <w:szCs w:val="18"/>
              </w:rPr>
            </w:pPr>
            <w:r w:rsidDel="00000000" w:rsidR="00000000" w:rsidRPr="00000000">
              <w:rPr>
                <w:sz w:val="18"/>
                <w:szCs w:val="18"/>
                <w:rtl w:val="0"/>
              </w:rPr>
              <w:t xml:space="preserve">Nifty 50 ETF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rPr>
                <w:sz w:val="18"/>
                <w:szCs w:val="18"/>
              </w:rPr>
            </w:pPr>
            <w:r w:rsidDel="00000000" w:rsidR="00000000" w:rsidRPr="00000000">
              <w:rPr>
                <w:sz w:val="18"/>
                <w:szCs w:val="18"/>
                <w:rtl w:val="0"/>
              </w:rPr>
              <w:t xml:space="preserve">ICICI Pru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rPr>
                <w:sz w:val="18"/>
                <w:szCs w:val="18"/>
              </w:rPr>
            </w:pPr>
            <w:r w:rsidDel="00000000" w:rsidR="00000000" w:rsidRPr="00000000">
              <w:rPr>
                <w:sz w:val="18"/>
                <w:szCs w:val="18"/>
                <w:rtl w:val="0"/>
              </w:rPr>
              <w:t xml:space="preserve">Nifty 50</w:t>
            </w:r>
          </w:p>
        </w:tc>
      </w:tr>
      <w:tr>
        <w:trPr>
          <w:cantSplit w:val="0"/>
          <w:trHeight w:val="288" w:hRule="atLeast"/>
          <w:tblHeader w:val="0"/>
        </w:trPr>
        <w:tc>
          <w:tcPr>
            <w:gridSpan w:val="6"/>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B8">
            <w:pPr>
              <w:rPr>
                <w:sz w:val="18"/>
                <w:szCs w:val="18"/>
              </w:rPr>
            </w:pPr>
            <w:r w:rsidDel="00000000" w:rsidR="00000000" w:rsidRPr="00000000">
              <w:rPr>
                <w:b w:val="1"/>
                <w:bCs w:val="1"/>
                <w:sz w:val="18"/>
                <w:szCs w:val="18"/>
                <w:rtl w:val="0"/>
              </w:rPr>
              <w:t xml:space="preserve">INTERNATIONAL MARKET INDEX</w:t>
            </w:r>
            <w:r w:rsidDel="00000000" w:rsidR="00000000" w:rsidRPr="00000000">
              <w:rPr>
                <w:rtl w:val="0"/>
              </w:rPr>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rPr>
                <w:sz w:val="18"/>
                <w:szCs w:val="18"/>
              </w:rPr>
            </w:pPr>
            <w:r w:rsidDel="00000000" w:rsidR="00000000" w:rsidRPr="00000000">
              <w:rPr>
                <w:sz w:val="18"/>
                <w:szCs w:val="18"/>
                <w:rtl w:val="0"/>
              </w:rPr>
              <w:t xml:space="preserve">HNGSNGBEES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rPr>
                <w:sz w:val="18"/>
                <w:szCs w:val="18"/>
              </w:rPr>
            </w:pPr>
            <w:r w:rsidDel="00000000" w:rsidR="00000000" w:rsidRPr="00000000">
              <w:rPr>
                <w:sz w:val="18"/>
                <w:szCs w:val="18"/>
                <w:rtl w:val="0"/>
              </w:rPr>
              <w:t xml:space="preserve">0.61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rPr>
                <w:sz w:val="18"/>
                <w:szCs w:val="18"/>
              </w:rPr>
            </w:pPr>
            <w:r w:rsidDel="00000000" w:rsidR="00000000" w:rsidRPr="00000000">
              <w:rPr>
                <w:sz w:val="18"/>
                <w:szCs w:val="18"/>
                <w:rtl w:val="0"/>
              </w:rPr>
              <w:t xml:space="preserve">Hang Seng ETF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rPr>
                <w:sz w:val="18"/>
                <w:szCs w:val="18"/>
              </w:rPr>
            </w:pPr>
            <w:r w:rsidDel="00000000" w:rsidR="00000000" w:rsidRPr="00000000">
              <w:rPr>
                <w:sz w:val="18"/>
                <w:szCs w:val="18"/>
                <w:rtl w:val="0"/>
              </w:rPr>
              <w:t xml:space="preserve">Nippon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rPr>
                <w:sz w:val="18"/>
                <w:szCs w:val="18"/>
              </w:rPr>
            </w:pPr>
            <w:r w:rsidDel="00000000" w:rsidR="00000000" w:rsidRPr="00000000">
              <w:rPr>
                <w:sz w:val="18"/>
                <w:szCs w:val="18"/>
                <w:rtl w:val="0"/>
              </w:rPr>
              <w:t xml:space="preserve">Hong Kong equities</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rPr>
                <w:sz w:val="18"/>
                <w:szCs w:val="18"/>
              </w:rPr>
            </w:pPr>
            <w:r w:rsidDel="00000000" w:rsidR="00000000" w:rsidRPr="00000000">
              <w:rPr>
                <w:sz w:val="18"/>
                <w:szCs w:val="18"/>
                <w:rtl w:val="0"/>
              </w:rPr>
              <w:t xml:space="preserve">MAFANG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rPr>
                <w:sz w:val="18"/>
                <w:szCs w:val="18"/>
              </w:rPr>
            </w:pPr>
            <w:r w:rsidDel="00000000" w:rsidR="00000000" w:rsidRPr="00000000">
              <w:rPr>
                <w:sz w:val="18"/>
                <w:szCs w:val="18"/>
                <w:rtl w:val="0"/>
              </w:rPr>
              <w:t xml:space="preserve">0.64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rPr>
                <w:sz w:val="18"/>
                <w:szCs w:val="18"/>
              </w:rPr>
            </w:pPr>
            <w:r w:rsidDel="00000000" w:rsidR="00000000" w:rsidRPr="00000000">
              <w:rPr>
                <w:sz w:val="18"/>
                <w:szCs w:val="18"/>
                <w:rtl w:val="0"/>
              </w:rPr>
              <w:t xml:space="preserve">NYSE FANG+ ETF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rPr>
                <w:sz w:val="18"/>
                <w:szCs w:val="18"/>
              </w:rPr>
            </w:pPr>
            <w:r w:rsidDel="00000000" w:rsidR="00000000" w:rsidRPr="00000000">
              <w:rPr>
                <w:sz w:val="18"/>
                <w:szCs w:val="18"/>
                <w:rtl w:val="0"/>
              </w:rPr>
              <w:t xml:space="preserve">Motilal Oswal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rPr>
                <w:sz w:val="18"/>
                <w:szCs w:val="18"/>
              </w:rPr>
            </w:pPr>
            <w:r w:rsidDel="00000000" w:rsidR="00000000" w:rsidRPr="00000000">
              <w:rPr>
                <w:sz w:val="18"/>
                <w:szCs w:val="18"/>
                <w:rtl w:val="0"/>
              </w:rPr>
              <w:t xml:space="preserve">US technology leaders</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rPr>
                <w:sz w:val="18"/>
                <w:szCs w:val="18"/>
              </w:rPr>
            </w:pPr>
            <w:r w:rsidDel="00000000" w:rsidR="00000000" w:rsidRPr="00000000">
              <w:rPr>
                <w:sz w:val="18"/>
                <w:szCs w:val="18"/>
                <w:rtl w:val="0"/>
              </w:rPr>
              <w:t xml:space="preserve">MON100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rPr>
                <w:sz w:val="18"/>
                <w:szCs w:val="18"/>
              </w:rPr>
            </w:pPr>
            <w:r w:rsidDel="00000000" w:rsidR="00000000" w:rsidRPr="00000000">
              <w:rPr>
                <w:sz w:val="18"/>
                <w:szCs w:val="18"/>
                <w:rtl w:val="0"/>
              </w:rPr>
              <w:t xml:space="preserve">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rPr>
                <w:sz w:val="18"/>
                <w:szCs w:val="18"/>
              </w:rPr>
            </w:pPr>
            <w:r w:rsidDel="00000000" w:rsidR="00000000" w:rsidRPr="00000000">
              <w:rPr>
                <w:sz w:val="18"/>
                <w:szCs w:val="18"/>
                <w:rtl w:val="0"/>
              </w:rPr>
              <w:t xml:space="preserve">Nasdaq 100 ETF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rPr>
                <w:sz w:val="18"/>
                <w:szCs w:val="18"/>
              </w:rPr>
            </w:pPr>
            <w:r w:rsidDel="00000000" w:rsidR="00000000" w:rsidRPr="00000000">
              <w:rPr>
                <w:sz w:val="18"/>
                <w:szCs w:val="18"/>
                <w:rtl w:val="0"/>
              </w:rPr>
              <w:t xml:space="preserve">Motilal Oswal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rPr>
                <w:sz w:val="18"/>
                <w:szCs w:val="18"/>
              </w:rPr>
            </w:pPr>
            <w:r w:rsidDel="00000000" w:rsidR="00000000" w:rsidRPr="00000000">
              <w:rPr>
                <w:sz w:val="18"/>
                <w:szCs w:val="18"/>
                <w:rtl w:val="0"/>
              </w:rPr>
              <w:t xml:space="preserve">US Nasdaq 100</w:t>
            </w:r>
          </w:p>
        </w:tc>
      </w:tr>
    </w:tbl>
    <w:p w:rsidR="00000000" w:rsidDel="00000000" w:rsidP="00000000" w:rsidRDefault="00000000" w:rsidRPr="00000000" w14:paraId="000000D0">
      <w:pPr>
        <w:pStyle w:val="Heading2"/>
        <w:keepNext w:val="0"/>
        <w:keepLines w:val="0"/>
        <w:spacing w:after="80" w:lineRule="auto"/>
        <w:rPr>
          <w:b w:val="1"/>
          <w:bCs w:val="1"/>
          <w:sz w:val="34"/>
          <w:szCs w:val="34"/>
        </w:rPr>
      </w:pPr>
      <w:bookmarkStart w:colFirst="0" w:colLast="0" w:name="_wgw7wjxqlwhh" w:id="12"/>
      <w:bookmarkEnd w:id="12"/>
      <w:r w:rsidDel="00000000" w:rsidR="00000000" w:rsidRPr="00000000">
        <w:rPr>
          <w:b w:val="1"/>
          <w:bCs w:val="1"/>
          <w:sz w:val="34"/>
          <w:szCs w:val="34"/>
          <w:rtl w:val="0"/>
        </w:rPr>
        <w:t xml:space="preserve">4. Capital Allocation</w:t>
      </w:r>
    </w:p>
    <w:p w:rsidR="00000000" w:rsidDel="00000000" w:rsidP="00000000" w:rsidRDefault="00000000" w:rsidRPr="00000000" w14:paraId="000000D1">
      <w:pPr>
        <w:rPr/>
      </w:pPr>
      <w:r w:rsidDel="00000000" w:rsidR="00000000" w:rsidRPr="00000000">
        <w:rPr>
          <w:rtl w:val="0"/>
        </w:rPr>
      </w:r>
    </w:p>
    <w:tbl>
      <w:tblPr>
        <w:tblStyle w:val="Table2"/>
        <w:tblW w:w="5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55"/>
        <w:gridCol w:w="2385"/>
        <w:tblGridChange w:id="0">
          <w:tblGrid>
            <w:gridCol w:w="3555"/>
            <w:gridCol w:w="2385"/>
          </w:tblGrid>
        </w:tblGridChange>
      </w:tblGrid>
      <w:tr>
        <w:trPr>
          <w:cantSplit w:val="0"/>
          <w:trHeight w:val="500" w:hRule="atLeast"/>
          <w:tblHeader w:val="0"/>
        </w:trPr>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b w:val="1"/>
                <w:bCs w:val="1"/>
                <w:rtl w:val="0"/>
              </w:rPr>
              <w:t xml:space="preserve">Parameter</w:t>
            </w:r>
            <w:r w:rsidDel="00000000" w:rsidR="00000000" w:rsidRPr="00000000">
              <w:rPr>
                <w:rtl w:val="0"/>
              </w:rPr>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b w:val="1"/>
                <w:bCs w:val="1"/>
                <w:rtl w:val="0"/>
              </w:rPr>
              <w:t xml:space="preserve">Specification</w:t>
            </w:r>
            <w:r w:rsidDel="00000000" w:rsidR="00000000" w:rsidRPr="00000000">
              <w:rPr>
                <w:rtl w:val="0"/>
              </w:rPr>
            </w:r>
          </w:p>
        </w:tc>
      </w:tr>
      <w:tr>
        <w:trPr>
          <w:cantSplit w:val="0"/>
          <w:trHeight w:val="500" w:hRule="atLeast"/>
          <w:tblHeader w:val="0"/>
        </w:trPr>
        <w:tc>
          <w:tcPr>
            <w:tcBorders>
              <w:top w:color="434343"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Total Corpus</w:t>
            </w:r>
          </w:p>
        </w:tc>
        <w:tc>
          <w:tcPr>
            <w:tcBorders>
              <w:top w:color="434343"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1,50,00,000</w:t>
            </w:r>
          </w:p>
        </w:tc>
      </w:tr>
      <w:tr>
        <w:trPr>
          <w:cantSplit w:val="0"/>
          <w:trHeight w:val="500" w:hRule="atLeast"/>
          <w:tblHeader w:val="0"/>
        </w:trPr>
        <w:tc>
          <w:tcPr>
            <w:tcBorders>
              <w:top w:color="434343"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Initial Tranche</w:t>
            </w:r>
          </w:p>
        </w:tc>
        <w:tc>
          <w:tcPr>
            <w:tcBorders>
              <w:top w:color="434343"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₹3,00,000 (2%)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Second Tranche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₹2,00,000 (1.33%)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Third Tranche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₹1,50,000 (1%)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Fourth Onwards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₹1,00,000 (0.66%)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Maximum Position Size (per ETF)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₹12,50,000 (8.33%)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Maximum Number of Tranches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9</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Position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Long only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Time Stop Loss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4 Months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Duration of Add 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One Week</w:t>
            </w:r>
          </w:p>
        </w:tc>
      </w:tr>
    </w:tbl>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pStyle w:val="Heading2"/>
        <w:keepNext w:val="0"/>
        <w:keepLines w:val="0"/>
        <w:spacing w:after="80" w:lineRule="auto"/>
        <w:rPr>
          <w:b w:val="1"/>
          <w:bCs w:val="1"/>
          <w:sz w:val="34"/>
          <w:szCs w:val="34"/>
        </w:rPr>
      </w:pPr>
      <w:bookmarkStart w:colFirst="0" w:colLast="0" w:name="_o9jhi4vh3200" w:id="13"/>
      <w:bookmarkEnd w:id="13"/>
      <w:r w:rsidDel="00000000" w:rsidR="00000000" w:rsidRPr="00000000">
        <w:br w:type="page"/>
      </w:r>
      <w:r w:rsidDel="00000000" w:rsidR="00000000" w:rsidRPr="00000000">
        <w:rPr>
          <w:rtl w:val="0"/>
        </w:rPr>
      </w:r>
    </w:p>
    <w:p w:rsidR="00000000" w:rsidDel="00000000" w:rsidP="00000000" w:rsidRDefault="00000000" w:rsidRPr="00000000" w14:paraId="000000EA">
      <w:pPr>
        <w:pStyle w:val="Heading2"/>
        <w:keepNext w:val="0"/>
        <w:keepLines w:val="0"/>
        <w:spacing w:after="80" w:lineRule="auto"/>
        <w:rPr>
          <w:b w:val="1"/>
          <w:bCs w:val="1"/>
          <w:sz w:val="34"/>
          <w:szCs w:val="34"/>
        </w:rPr>
      </w:pPr>
      <w:bookmarkStart w:colFirst="0" w:colLast="0" w:name="_tehblya4hz1p" w:id="14"/>
      <w:bookmarkEnd w:id="14"/>
      <w:r w:rsidDel="00000000" w:rsidR="00000000" w:rsidRPr="00000000">
        <w:rPr>
          <w:b w:val="1"/>
          <w:bCs w:val="1"/>
          <w:sz w:val="34"/>
          <w:szCs w:val="34"/>
          <w:rtl w:val="0"/>
        </w:rPr>
        <w:t xml:space="preserve">5.   TREND Framework</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The strategy uses EMA21 and EMA60 on a daily time frame to define intermediate trend alignment. </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A </w:t>
      </w:r>
      <w:r w:rsidDel="00000000" w:rsidR="00000000" w:rsidRPr="00000000">
        <w:rPr>
          <w:b w:val="1"/>
          <w:bCs w:val="1"/>
          <w:rtl w:val="0"/>
        </w:rPr>
        <w:t xml:space="preserve">Strong Trend</w:t>
      </w:r>
      <w:r w:rsidDel="00000000" w:rsidR="00000000" w:rsidRPr="00000000">
        <w:rPr>
          <w:rtl w:val="0"/>
        </w:rPr>
        <w:t xml:space="preserve"> is identified when price is above EMA21, EMA21 is above EMA60. </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A </w:t>
      </w:r>
      <w:r w:rsidDel="00000000" w:rsidR="00000000" w:rsidRPr="00000000">
        <w:rPr>
          <w:b w:val="1"/>
          <w:bCs w:val="1"/>
          <w:rtl w:val="0"/>
        </w:rPr>
        <w:t xml:space="preserve">Neutral Trend</w:t>
      </w:r>
      <w:r w:rsidDel="00000000" w:rsidR="00000000" w:rsidRPr="00000000">
        <w:rPr>
          <w:rtl w:val="0"/>
        </w:rPr>
        <w:t xml:space="preserve"> exists when price remains above EMA60 but below EMA21. In this add-ons are allowed at 50% allocation.</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A </w:t>
      </w:r>
      <w:r w:rsidDel="00000000" w:rsidR="00000000" w:rsidRPr="00000000">
        <w:rPr>
          <w:b w:val="1"/>
          <w:bCs w:val="1"/>
          <w:rtl w:val="0"/>
        </w:rPr>
        <w:t xml:space="preserve">Weak Trend</w:t>
      </w:r>
      <w:r w:rsidDel="00000000" w:rsidR="00000000" w:rsidRPr="00000000">
        <w:rPr>
          <w:rtl w:val="0"/>
        </w:rPr>
        <w:t xml:space="preserve"> is defined by price closing below EMA60, under which no new positions or add-ons are allowed. The existing position will be monitored. </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This structured hierarchy ensures capital is deployed primarily during confirmed strength and preserved during structural deterioration.</w:t>
      </w:r>
      <w:r w:rsidDel="00000000" w:rsidR="00000000" w:rsidRPr="00000000">
        <w:rPr>
          <w:rtl w:val="0"/>
        </w:rPr>
      </w:r>
    </w:p>
    <w:p w:rsidR="00000000" w:rsidDel="00000000" w:rsidP="00000000" w:rsidRDefault="00000000" w:rsidRPr="00000000" w14:paraId="000000F1">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left"/>
        <w:rPr>
          <w:b w:val="1"/>
          <w:bCs w:val="1"/>
          <w:sz w:val="34"/>
          <w:szCs w:val="34"/>
        </w:rPr>
      </w:pPr>
      <w:bookmarkStart w:colFirst="0" w:colLast="0" w:name="_1qmk36t0el47" w:id="15"/>
      <w:bookmarkEnd w:id="15"/>
      <w:r w:rsidDel="00000000" w:rsidR="00000000" w:rsidRPr="00000000">
        <w:rPr>
          <w:b w:val="1"/>
          <w:bCs w:val="1"/>
          <w:sz w:val="34"/>
          <w:szCs w:val="34"/>
          <w:rtl w:val="0"/>
        </w:rPr>
        <w:t xml:space="preserve">6. Rules : Entry &amp; Exit </w:t>
      </w:r>
    </w:p>
    <w:p w:rsidR="00000000" w:rsidDel="00000000" w:rsidP="00000000" w:rsidRDefault="00000000" w:rsidRPr="00000000" w14:paraId="000000F2">
      <w:pPr>
        <w:pStyle w:val="Heading3"/>
        <w:keepNext w:val="0"/>
        <w:keepLines w:val="0"/>
        <w:spacing w:before="280" w:lineRule="auto"/>
        <w:rPr>
          <w:b w:val="1"/>
          <w:bCs w:val="1"/>
          <w:color w:val="000000"/>
          <w:sz w:val="26"/>
          <w:szCs w:val="26"/>
        </w:rPr>
      </w:pPr>
      <w:bookmarkStart w:colFirst="0" w:colLast="0" w:name="_ul3jypdwyf1k" w:id="16"/>
      <w:bookmarkEnd w:id="16"/>
      <w:r w:rsidDel="00000000" w:rsidR="00000000" w:rsidRPr="00000000">
        <w:rPr>
          <w:b w:val="1"/>
          <w:bCs w:val="1"/>
          <w:color w:val="000000"/>
          <w:sz w:val="26"/>
          <w:szCs w:val="26"/>
          <w:rtl w:val="0"/>
        </w:rPr>
        <w:t xml:space="preserve">5.1 Entry Rules – New Position</w:t>
      </w:r>
    </w:p>
    <w:p w:rsidR="00000000" w:rsidDel="00000000" w:rsidP="00000000" w:rsidRDefault="00000000" w:rsidRPr="00000000" w14:paraId="000000F3">
      <w:pPr>
        <w:spacing w:after="240" w:before="240" w:lineRule="auto"/>
        <w:jc w:val="both"/>
        <w:rPr/>
      </w:pPr>
      <w:r w:rsidDel="00000000" w:rsidR="00000000" w:rsidRPr="00000000">
        <w:rPr>
          <w:rtl w:val="0"/>
        </w:rPr>
        <w:t xml:space="preserve">A new position may be initiated only if there is no existing position in the ETF and the trend qualification is valid. The trend qualification on the daily timeframe is defined as: Close Price &gt; EMA(21) and EMA(21) &gt; EMA(60).</w:t>
      </w:r>
    </w:p>
    <w:p w:rsidR="00000000" w:rsidDel="00000000" w:rsidP="00000000" w:rsidRDefault="00000000" w:rsidRPr="00000000" w14:paraId="000000F4">
      <w:pPr>
        <w:spacing w:after="240" w:before="240" w:lineRule="auto"/>
        <w:jc w:val="both"/>
        <w:rPr/>
      </w:pPr>
      <w:r w:rsidDel="00000000" w:rsidR="00000000" w:rsidRPr="00000000">
        <w:rPr>
          <w:rtl w:val="0"/>
        </w:rPr>
        <w:t xml:space="preserve">A buy order shall be initiated once the pullback condition is met. A pullback is considered valid when the price has declined from the highest closing price in the relevant lookback period by at least 2.5% over the last 5 trading days (weekly pullback) or by at least 5% over the last 21 trading days (monthly pullback).</w:t>
      </w:r>
    </w:p>
    <w:p w:rsidR="00000000" w:rsidDel="00000000" w:rsidP="00000000" w:rsidRDefault="00000000" w:rsidRPr="00000000" w14:paraId="000000F5">
      <w:pPr>
        <w:spacing w:after="240" w:before="240" w:lineRule="auto"/>
        <w:jc w:val="both"/>
        <w:rPr/>
      </w:pPr>
      <w:r w:rsidDel="00000000" w:rsidR="00000000" w:rsidRPr="00000000">
        <w:rPr>
          <w:rtl w:val="0"/>
        </w:rPr>
        <w:t xml:space="preserve">Upon satisfaction of both the trend and pullback conditions, ETF units worth ₹3,00,000 shall be purchased, and the execution price shall be recorded as the Last Buy Price (LBP).</w:t>
      </w:r>
    </w:p>
    <w:p w:rsidR="00000000" w:rsidDel="00000000" w:rsidP="00000000" w:rsidRDefault="00000000" w:rsidRPr="00000000" w14:paraId="000000F6">
      <w:pPr>
        <w:pStyle w:val="Heading3"/>
        <w:keepNext w:val="0"/>
        <w:keepLines w:val="0"/>
        <w:spacing w:after="80" w:lineRule="auto"/>
        <w:rPr>
          <w:sz w:val="26"/>
          <w:szCs w:val="26"/>
        </w:rPr>
      </w:pPr>
      <w:bookmarkStart w:colFirst="0" w:colLast="0" w:name="_ketvig5v64jp" w:id="17"/>
      <w:bookmarkEnd w:id="17"/>
      <w:r w:rsidDel="00000000" w:rsidR="00000000" w:rsidRPr="00000000">
        <w:rPr>
          <w:b w:val="1"/>
          <w:bCs w:val="1"/>
          <w:color w:val="000000"/>
          <w:sz w:val="26"/>
          <w:szCs w:val="26"/>
          <w:rtl w:val="0"/>
        </w:rPr>
        <w:t xml:space="preserve">5.4 Entry Rules – Additional Tranches</w:t>
      </w: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This rule is applicable only when an existing position is already present. An additional tranche may be initiated when the current price is less than or equal to 97.5% of the Last Buy Price (LBP), indicating a price decline of at least 2.5% from the last buy price.</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Each add-on tranche shall be executed for a value of ₹1,00,000, subject to the condition that the total deployed capital does not exceed the maximum position size of ₹10,00,000. Trend qualification is not revalidated for the execution of additional tranches.</w:t>
      </w:r>
    </w:p>
    <w:p w:rsidR="00000000" w:rsidDel="00000000" w:rsidP="00000000" w:rsidRDefault="00000000" w:rsidRPr="00000000" w14:paraId="000000F9">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20" w:line="276" w:lineRule="auto"/>
        <w:ind w:left="0" w:right="0" w:firstLine="0"/>
        <w:jc w:val="left"/>
        <w:rPr>
          <w:b w:val="1"/>
          <w:bCs w:val="1"/>
          <w:color w:val="000000"/>
          <w:sz w:val="26"/>
          <w:szCs w:val="26"/>
        </w:rPr>
      </w:pPr>
      <w:bookmarkStart w:colFirst="0" w:colLast="0" w:name="_k9osqz9zpzwy" w:id="18"/>
      <w:bookmarkEnd w:id="18"/>
      <w:r w:rsidDel="00000000" w:rsidR="00000000" w:rsidRPr="00000000">
        <w:rPr>
          <w:b w:val="1"/>
          <w:bCs w:val="1"/>
          <w:color w:val="000000"/>
          <w:sz w:val="26"/>
          <w:szCs w:val="26"/>
          <w:rtl w:val="0"/>
        </w:rPr>
        <w:t xml:space="preserve">5.5 Exit Rules</w:t>
      </w:r>
    </w:p>
    <w:p w:rsidR="00000000" w:rsidDel="00000000" w:rsidP="00000000" w:rsidRDefault="00000000" w:rsidRPr="00000000" w14:paraId="000000FA">
      <w:pPr>
        <w:spacing w:after="240" w:before="240" w:lineRule="auto"/>
        <w:jc w:val="both"/>
        <w:rPr/>
      </w:pPr>
      <w:r w:rsidDel="00000000" w:rsidR="00000000" w:rsidRPr="00000000">
        <w:rPr>
          <w:rtl w:val="0"/>
        </w:rPr>
        <w:t xml:space="preserve">The entire position shall be exited when the market price reaches or exceeds 105% of the weighted average buy price, resulting in a 5% profit. The exit shall be executed in a single transaction, with no partial exits and no price-based stop-loss.</w:t>
      </w:r>
    </w:p>
    <w:p w:rsidR="00000000" w:rsidDel="00000000" w:rsidP="00000000" w:rsidRDefault="00000000" w:rsidRPr="00000000" w14:paraId="000000FB">
      <w:pPr>
        <w:spacing w:after="240" w:before="240" w:lineRule="auto"/>
        <w:jc w:val="both"/>
        <w:rPr/>
      </w:pPr>
      <w:r w:rsidDel="00000000" w:rsidR="00000000" w:rsidRPr="00000000">
        <w:rPr>
          <w:rtl w:val="0"/>
        </w:rPr>
        <w:t xml:space="preserve">A time-based exit shall apply if the profit target is not achieved within four months from the initial entry, in which case the entire position shall be exited at the prevailing market price</w:t>
      </w:r>
    </w:p>
    <w:p w:rsidR="00000000" w:rsidDel="00000000" w:rsidP="00000000" w:rsidRDefault="00000000" w:rsidRPr="00000000" w14:paraId="000000FC">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20" w:line="276" w:lineRule="auto"/>
        <w:ind w:left="0" w:right="0" w:firstLine="0"/>
        <w:jc w:val="left"/>
        <w:rPr>
          <w:b w:val="1"/>
          <w:bCs w:val="1"/>
          <w:color w:val="000000"/>
          <w:sz w:val="26"/>
          <w:szCs w:val="26"/>
        </w:rPr>
      </w:pPr>
      <w:bookmarkStart w:colFirst="0" w:colLast="0" w:name="_7c6zxn2bkwe4" w:id="19"/>
      <w:bookmarkEnd w:id="19"/>
      <w:r w:rsidDel="00000000" w:rsidR="00000000" w:rsidRPr="00000000">
        <w:rPr>
          <w:b w:val="1"/>
          <w:bCs w:val="1"/>
          <w:color w:val="000000"/>
          <w:sz w:val="26"/>
          <w:szCs w:val="26"/>
          <w:rtl w:val="0"/>
        </w:rPr>
        <w:t xml:space="preserve">5.5 TimeFrame</w:t>
      </w:r>
    </w:p>
    <w:p w:rsidR="00000000" w:rsidDel="00000000" w:rsidP="00000000" w:rsidRDefault="00000000" w:rsidRPr="00000000" w14:paraId="000000FD">
      <w:pPr>
        <w:spacing w:after="240" w:before="240" w:lineRule="auto"/>
        <w:jc w:val="both"/>
        <w:rPr/>
      </w:pPr>
      <w:r w:rsidDel="00000000" w:rsidR="00000000" w:rsidRPr="00000000">
        <w:rPr>
          <w:rtl w:val="0"/>
        </w:rPr>
        <w:t xml:space="preserve">The system shall scan conditions </w:t>
      </w:r>
      <w:r w:rsidDel="00000000" w:rsidR="00000000" w:rsidRPr="00000000">
        <w:rPr>
          <w:b w:val="1"/>
          <w:bCs w:val="1"/>
          <w:rtl w:val="0"/>
        </w:rPr>
        <w:t xml:space="preserve">daily</w:t>
      </w:r>
      <w:r w:rsidDel="00000000" w:rsidR="00000000" w:rsidRPr="00000000">
        <w:rPr>
          <w:rtl w:val="0"/>
        </w:rPr>
        <w:t xml:space="preserve"> after market close, execute orders on the next trading day as </w:t>
      </w:r>
      <w:r w:rsidDel="00000000" w:rsidR="00000000" w:rsidRPr="00000000">
        <w:rPr>
          <w:b w:val="1"/>
          <w:bCs w:val="1"/>
          <w:rtl w:val="0"/>
        </w:rPr>
        <w:t xml:space="preserve">limit orders</w:t>
      </w:r>
      <w:r w:rsidDel="00000000" w:rsidR="00000000" w:rsidRPr="00000000">
        <w:rPr>
          <w:rtl w:val="0"/>
        </w:rPr>
        <w:t xml:space="preserve"> only and restrict all trades to delivery-based execution only</w:t>
      </w:r>
    </w:p>
    <w:p w:rsidR="00000000" w:rsidDel="00000000" w:rsidP="00000000" w:rsidRDefault="00000000" w:rsidRPr="00000000" w14:paraId="000000FE">
      <w:pPr>
        <w:spacing w:after="240" w:before="240" w:lineRule="auto"/>
        <w:jc w:val="both"/>
        <w:rPr/>
      </w:pPr>
      <w:r w:rsidDel="00000000" w:rsidR="00000000" w:rsidRPr="00000000">
        <w:rPr>
          <w:rtl w:val="0"/>
        </w:rPr>
      </w:r>
    </w:p>
    <w:p w:rsidR="00000000" w:rsidDel="00000000" w:rsidP="00000000" w:rsidRDefault="00000000" w:rsidRPr="00000000" w14:paraId="000000FF">
      <w:pPr>
        <w:spacing w:after="240" w:before="240" w:lineRule="auto"/>
        <w:ind w:left="0" w:firstLine="0"/>
        <w:rPr/>
      </w:pPr>
      <w:r w:rsidDel="00000000" w:rsidR="00000000" w:rsidRPr="00000000">
        <w:rPr>
          <w:rtl w:val="0"/>
        </w:rPr>
      </w:r>
    </w:p>
    <w:p w:rsidR="00000000" w:rsidDel="00000000" w:rsidP="00000000" w:rsidRDefault="00000000" w:rsidRPr="00000000" w14:paraId="00000100">
      <w:pPr>
        <w:pStyle w:val="Heading2"/>
        <w:keepNext w:val="0"/>
        <w:keepLines w:val="0"/>
        <w:spacing w:after="80" w:lineRule="auto"/>
        <w:rPr>
          <w:b w:val="1"/>
          <w:bCs w:val="1"/>
          <w:sz w:val="34"/>
          <w:szCs w:val="34"/>
        </w:rPr>
      </w:pPr>
      <w:bookmarkStart w:colFirst="0" w:colLast="0" w:name="_w4rhvfpk9qdi" w:id="20"/>
      <w:bookmarkEnd w:id="20"/>
      <w:r w:rsidDel="00000000" w:rsidR="00000000" w:rsidRPr="00000000">
        <w:rPr>
          <w:b w:val="1"/>
          <w:bCs w:val="1"/>
          <w:sz w:val="34"/>
          <w:szCs w:val="34"/>
          <w:rtl w:val="0"/>
        </w:rPr>
        <w:t xml:space="preserve">6. Return Expectation</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Based on portfolio simulations and sensitivity analysis across profit targets and holding durations, this strategy is expected to deliver stable, market-linked returns with improved capital efficiency. All return expectations are indicative in nature and subject to market conditions.</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pPr>
      <w:r w:rsidDel="00000000" w:rsidR="00000000" w:rsidRPr="00000000">
        <w:rPr/>
        <w:drawing>
          <wp:inline distB="114300" distT="114300" distL="114300" distR="114300">
            <wp:extent cx="3447098" cy="2796072"/>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447098" cy="2796072"/>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Assuming a maximum position size of ₹10 lakh per ETF, 12 concurrent positions, and an average holding period of approximately 4 months (implying ~3 capital cycles per year), the portfolio is designed to generate annualised pre-tax returns in the range of </w:t>
      </w:r>
      <w:r w:rsidDel="00000000" w:rsidR="00000000" w:rsidRPr="00000000">
        <w:rPr>
          <w:b w:val="1"/>
          <w:bCs w:val="1"/>
          <w:rtl w:val="0"/>
        </w:rPr>
        <w:t xml:space="preserve">13% to 15%</w:t>
      </w:r>
      <w:r w:rsidDel="00000000" w:rsidR="00000000" w:rsidRPr="00000000">
        <w:rPr>
          <w:rtl w:val="0"/>
        </w:rPr>
        <w:t xml:space="preserve"> under the base-case scenario. This assumes a 5% profit target per completed trade, which is statistically aligned with historical return distributions observed across broad market, sectoral, and global equity indices.</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In a bear-case scenario, assuming 4% profit per trade, the portfolio is expected to generate ~11–12% annualised returns, broadly comparable to long-term index returns but with greater control over capital deployment and drawdown duration. </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In the best-case scenario, assuming 6% per trade, portfolio returns can rise to ~17% per annum. Importantly, returns are highly sensitive to holding period discipline—shorter average trade durations materially improve portfolio ROI, while prolonged holding periods reduce annualised returns. </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Overall, the strategy does not seek to outperform markets aggressively, but to deliver repeatable, rule-based returns with better capital velocity and risk-adjusted outcomes, positioning it as a tactical allocation overlay rather than a replacement for long-term strategic investing.</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pStyle w:val="Heading2"/>
        <w:keepNext w:val="0"/>
        <w:keepLines w:val="0"/>
        <w:spacing w:after="80" w:lineRule="auto"/>
        <w:rPr>
          <w:b w:val="1"/>
          <w:bCs w:val="1"/>
          <w:sz w:val="34"/>
          <w:szCs w:val="34"/>
        </w:rPr>
      </w:pPr>
      <w:bookmarkStart w:colFirst="0" w:colLast="0" w:name="_crohis3l2704" w:id="21"/>
      <w:bookmarkEnd w:id="21"/>
      <w:r w:rsidDel="00000000" w:rsidR="00000000" w:rsidRPr="00000000">
        <w:rPr>
          <w:b w:val="1"/>
          <w:bCs w:val="1"/>
          <w:sz w:val="34"/>
          <w:szCs w:val="34"/>
          <w:rtl w:val="0"/>
        </w:rPr>
        <w:t xml:space="preserve">7. Dashboards</w:t>
      </w:r>
    </w:p>
    <w:p w:rsidR="00000000" w:rsidDel="00000000" w:rsidP="00000000" w:rsidRDefault="00000000" w:rsidRPr="00000000" w14:paraId="0000010A">
      <w:pPr>
        <w:rPr/>
      </w:pPr>
      <w:r w:rsidDel="00000000" w:rsidR="00000000" w:rsidRPr="00000000">
        <w:rPr>
          <w:rtl w:val="0"/>
        </w:rPr>
        <w:t xml:space="preserve">Three level of </w:t>
      </w:r>
      <w:hyperlink r:id="rId8">
        <w:r w:rsidDel="00000000" w:rsidR="00000000" w:rsidRPr="00000000">
          <w:rPr>
            <w:color w:val="1155cc"/>
            <w:u w:val="single"/>
            <w:rtl w:val="0"/>
          </w:rPr>
          <w:t xml:space="preserve">hierarchy</w:t>
        </w:r>
      </w:hyperlink>
      <w:r w:rsidDel="00000000" w:rsidR="00000000" w:rsidRPr="00000000">
        <w:rPr>
          <w:rtl w:val="0"/>
        </w:rPr>
        <w:t xml:space="preserve"> Top is for decisions. Middle for Diagnostics and Bottom for evidence</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https://claude.ai/chat/90332ab8-403d-4be7-80fd-8ec270183b28</w:t>
      </w:r>
    </w:p>
    <w:p w:rsidR="00000000" w:rsidDel="00000000" w:rsidP="00000000" w:rsidRDefault="00000000" w:rsidRPr="00000000" w14:paraId="0000010D">
      <w:pPr>
        <w:rPr/>
      </w:pPr>
      <w:r w:rsidDel="00000000" w:rsidR="00000000" w:rsidRPr="00000000">
        <w:rPr>
          <w:rtl w:val="0"/>
        </w:rPr>
        <w:t xml:space="preserve">Decision Dashboards</w:t>
      </w:r>
    </w:p>
    <w:p w:rsidR="00000000" w:rsidDel="00000000" w:rsidP="00000000" w:rsidRDefault="00000000" w:rsidRPr="00000000" w14:paraId="0000010E">
      <w:pPr>
        <w:numPr>
          <w:ilvl w:val="0"/>
          <w:numId w:val="4"/>
        </w:numPr>
        <w:ind w:left="720" w:hanging="360"/>
        <w:rPr>
          <w:u w:val="none"/>
        </w:rPr>
      </w:pPr>
      <w:r w:rsidDel="00000000" w:rsidR="00000000" w:rsidRPr="00000000">
        <w:rPr>
          <w:rtl w:val="0"/>
        </w:rPr>
        <w:t xml:space="preserve">YTD ROI (%) </w:t>
      </w:r>
    </w:p>
    <w:p w:rsidR="00000000" w:rsidDel="00000000" w:rsidP="00000000" w:rsidRDefault="00000000" w:rsidRPr="00000000" w14:paraId="0000010F">
      <w:pPr>
        <w:numPr>
          <w:ilvl w:val="1"/>
          <w:numId w:val="4"/>
        </w:numPr>
        <w:ind w:left="1440" w:hanging="360"/>
        <w:rPr>
          <w:u w:val="none"/>
        </w:rPr>
      </w:pPr>
      <w:r w:rsidDel="00000000" w:rsidR="00000000" w:rsidRPr="00000000">
        <w:rPr>
          <w:rtl w:val="0"/>
        </w:rPr>
        <w:t xml:space="preserve">In Tab Include Expected ROI (%)</w:t>
      </w:r>
    </w:p>
    <w:p w:rsidR="00000000" w:rsidDel="00000000" w:rsidP="00000000" w:rsidRDefault="00000000" w:rsidRPr="00000000" w14:paraId="00000110">
      <w:pPr>
        <w:numPr>
          <w:ilvl w:val="1"/>
          <w:numId w:val="4"/>
        </w:numPr>
        <w:ind w:left="1440" w:hanging="360"/>
        <w:rPr>
          <w:u w:val="none"/>
        </w:rPr>
      </w:pPr>
      <w:r w:rsidDel="00000000" w:rsidR="00000000" w:rsidRPr="00000000">
        <w:rPr>
          <w:rtl w:val="0"/>
        </w:rPr>
        <w:t xml:space="preserve">Color code ROI as Green or RED based on comparison with Expected ROI.</w:t>
      </w:r>
    </w:p>
    <w:p w:rsidR="00000000" w:rsidDel="00000000" w:rsidP="00000000" w:rsidRDefault="00000000" w:rsidRPr="00000000" w14:paraId="00000111">
      <w:pPr>
        <w:numPr>
          <w:ilvl w:val="0"/>
          <w:numId w:val="4"/>
        </w:numPr>
        <w:ind w:left="720" w:hanging="360"/>
        <w:rPr>
          <w:u w:val="none"/>
        </w:rPr>
      </w:pPr>
      <w:r w:rsidDel="00000000" w:rsidR="00000000" w:rsidRPr="00000000">
        <w:rPr>
          <w:rtl w:val="0"/>
        </w:rPr>
        <w:t xml:space="preserve">Avg Duration (M)</w:t>
      </w:r>
    </w:p>
    <w:p w:rsidR="00000000" w:rsidDel="00000000" w:rsidP="00000000" w:rsidRDefault="00000000" w:rsidRPr="00000000" w14:paraId="00000112">
      <w:pPr>
        <w:numPr>
          <w:ilvl w:val="1"/>
          <w:numId w:val="4"/>
        </w:numPr>
        <w:ind w:left="1440" w:hanging="360"/>
        <w:rPr>
          <w:u w:val="none"/>
        </w:rPr>
      </w:pPr>
      <w:r w:rsidDel="00000000" w:rsidR="00000000" w:rsidRPr="00000000">
        <w:rPr>
          <w:rtl w:val="0"/>
        </w:rPr>
        <w:t xml:space="preserve">Average Holding Duration in months</w:t>
      </w:r>
    </w:p>
    <w:p w:rsidR="00000000" w:rsidDel="00000000" w:rsidP="00000000" w:rsidRDefault="00000000" w:rsidRPr="00000000" w14:paraId="00000113">
      <w:pPr>
        <w:numPr>
          <w:ilvl w:val="1"/>
          <w:numId w:val="4"/>
        </w:numPr>
        <w:ind w:left="1440" w:hanging="360"/>
        <w:rPr>
          <w:u w:val="none"/>
        </w:rPr>
      </w:pPr>
      <w:r w:rsidDel="00000000" w:rsidR="00000000" w:rsidRPr="00000000">
        <w:rPr>
          <w:rtl w:val="0"/>
        </w:rPr>
        <w:t xml:space="preserve">Expected Holding period</w:t>
      </w:r>
    </w:p>
    <w:p w:rsidR="00000000" w:rsidDel="00000000" w:rsidP="00000000" w:rsidRDefault="00000000" w:rsidRPr="00000000" w14:paraId="00000114">
      <w:pPr>
        <w:numPr>
          <w:ilvl w:val="1"/>
          <w:numId w:val="4"/>
        </w:numPr>
        <w:ind w:left="1440" w:hanging="360"/>
      </w:pPr>
      <w:r w:rsidDel="00000000" w:rsidR="00000000" w:rsidRPr="00000000">
        <w:rPr>
          <w:rtl w:val="0"/>
        </w:rPr>
        <w:t xml:space="preserve">Color code ROI as Green or RED based on comparison with Expected ROI.</w:t>
      </w:r>
    </w:p>
    <w:p w:rsidR="00000000" w:rsidDel="00000000" w:rsidP="00000000" w:rsidRDefault="00000000" w:rsidRPr="00000000" w14:paraId="00000115">
      <w:pPr>
        <w:numPr>
          <w:ilvl w:val="0"/>
          <w:numId w:val="4"/>
        </w:numPr>
        <w:ind w:left="720" w:hanging="360"/>
        <w:rPr>
          <w:u w:val="none"/>
        </w:rPr>
      </w:pPr>
      <w:r w:rsidDel="00000000" w:rsidR="00000000" w:rsidRPr="00000000">
        <w:rPr>
          <w:rtl w:val="0"/>
        </w:rPr>
        <w:t xml:space="preserve">Capital Utilized (%)</w:t>
      </w:r>
    </w:p>
    <w:p w:rsidR="00000000" w:rsidDel="00000000" w:rsidP="00000000" w:rsidRDefault="00000000" w:rsidRPr="00000000" w14:paraId="00000116">
      <w:pPr>
        <w:ind w:left="0" w:firstLine="0"/>
        <w:rPr/>
      </w:pPr>
      <w:r w:rsidDel="00000000" w:rsidR="00000000" w:rsidRPr="00000000">
        <w:rPr>
          <w:rtl w:val="0"/>
        </w:rPr>
      </w:r>
    </w:p>
    <w:p w:rsidR="00000000" w:rsidDel="00000000" w:rsidP="00000000" w:rsidRDefault="00000000" w:rsidRPr="00000000" w14:paraId="00000117">
      <w:pPr>
        <w:ind w:left="0" w:firstLine="0"/>
        <w:rPr/>
      </w:pPr>
      <w:r w:rsidDel="00000000" w:rsidR="00000000" w:rsidRPr="00000000">
        <w:rPr>
          <w:rtl w:val="0"/>
        </w:rPr>
        <w:t xml:space="preserve">Monthly Dashboard</w:t>
      </w:r>
    </w:p>
    <w:p w:rsidR="00000000" w:rsidDel="00000000" w:rsidP="00000000" w:rsidRDefault="00000000" w:rsidRPr="00000000" w14:paraId="00000118">
      <w:pPr>
        <w:numPr>
          <w:ilvl w:val="0"/>
          <w:numId w:val="4"/>
        </w:numPr>
        <w:ind w:left="720" w:hanging="360"/>
        <w:rPr>
          <w:u w:val="none"/>
        </w:rPr>
      </w:pPr>
      <w:r w:rsidDel="00000000" w:rsidR="00000000" w:rsidRPr="00000000">
        <w:rPr>
          <w:rtl w:val="0"/>
        </w:rPr>
        <w:t xml:space="preserve">New Positions</w:t>
      </w:r>
    </w:p>
    <w:p w:rsidR="00000000" w:rsidDel="00000000" w:rsidP="00000000" w:rsidRDefault="00000000" w:rsidRPr="00000000" w14:paraId="00000119">
      <w:pPr>
        <w:numPr>
          <w:ilvl w:val="0"/>
          <w:numId w:val="4"/>
        </w:numPr>
        <w:ind w:left="720" w:hanging="360"/>
        <w:rPr>
          <w:u w:val="none"/>
        </w:rPr>
      </w:pPr>
      <w:r w:rsidDel="00000000" w:rsidR="00000000" w:rsidRPr="00000000">
        <w:rPr>
          <w:rtl w:val="0"/>
        </w:rPr>
        <w:t xml:space="preserve">Add-on</w:t>
      </w:r>
    </w:p>
    <w:p w:rsidR="00000000" w:rsidDel="00000000" w:rsidP="00000000" w:rsidRDefault="00000000" w:rsidRPr="00000000" w14:paraId="0000011A">
      <w:pPr>
        <w:numPr>
          <w:ilvl w:val="0"/>
          <w:numId w:val="4"/>
        </w:numPr>
        <w:ind w:left="720" w:hanging="360"/>
        <w:rPr>
          <w:u w:val="none"/>
        </w:rPr>
      </w:pPr>
      <w:r w:rsidDel="00000000" w:rsidR="00000000" w:rsidRPr="00000000">
        <w:rPr>
          <w:rtl w:val="0"/>
        </w:rPr>
        <w:t xml:space="preserve">Exits</w:t>
      </w:r>
    </w:p>
    <w:p w:rsidR="00000000" w:rsidDel="00000000" w:rsidP="00000000" w:rsidRDefault="00000000" w:rsidRPr="00000000" w14:paraId="0000011B">
      <w:pPr>
        <w:numPr>
          <w:ilvl w:val="1"/>
          <w:numId w:val="4"/>
        </w:numPr>
        <w:ind w:left="1440" w:hanging="360"/>
        <w:rPr>
          <w:u w:val="none"/>
        </w:rPr>
      </w:pPr>
      <w:r w:rsidDel="00000000" w:rsidR="00000000" w:rsidRPr="00000000">
        <w:rPr>
          <w:rtl w:val="0"/>
        </w:rPr>
        <w:t xml:space="preserve">Time Exits</w:t>
      </w:r>
    </w:p>
    <w:p w:rsidR="00000000" w:rsidDel="00000000" w:rsidP="00000000" w:rsidRDefault="00000000" w:rsidRPr="00000000" w14:paraId="0000011C">
      <w:pPr>
        <w:numPr>
          <w:ilvl w:val="1"/>
          <w:numId w:val="4"/>
        </w:numPr>
        <w:ind w:left="1440" w:hanging="360"/>
        <w:rPr>
          <w:u w:val="none"/>
        </w:rPr>
      </w:pPr>
      <w:r w:rsidDel="00000000" w:rsidR="00000000" w:rsidRPr="00000000">
        <w:rPr>
          <w:rtl w:val="0"/>
        </w:rPr>
        <w:t xml:space="preserve">Profit Exits</w:t>
      </w:r>
    </w:p>
    <w:p w:rsidR="00000000" w:rsidDel="00000000" w:rsidP="00000000" w:rsidRDefault="00000000" w:rsidRPr="00000000" w14:paraId="0000011D">
      <w:pPr>
        <w:ind w:left="720" w:firstLine="0"/>
        <w:rPr/>
      </w:pPr>
      <w:r w:rsidDel="00000000" w:rsidR="00000000" w:rsidRPr="00000000">
        <w:rPr>
          <w:rtl w:val="0"/>
        </w:rPr>
      </w:r>
    </w:p>
    <w:p w:rsidR="00000000" w:rsidDel="00000000" w:rsidP="00000000" w:rsidRDefault="00000000" w:rsidRPr="00000000" w14:paraId="0000011E">
      <w:pPr>
        <w:ind w:left="0" w:firstLine="0"/>
        <w:rPr/>
      </w:pPr>
      <w:r w:rsidDel="00000000" w:rsidR="00000000" w:rsidRPr="00000000">
        <w:rPr>
          <w:rtl w:val="0"/>
        </w:rPr>
        <w:t xml:space="preserve">Charts (rolling twelve months)</w:t>
      </w:r>
    </w:p>
    <w:p w:rsidR="00000000" w:rsidDel="00000000" w:rsidP="00000000" w:rsidRDefault="00000000" w:rsidRPr="00000000" w14:paraId="0000011F">
      <w:pPr>
        <w:numPr>
          <w:ilvl w:val="1"/>
          <w:numId w:val="4"/>
        </w:numPr>
        <w:ind w:left="1440" w:hanging="360"/>
        <w:rPr>
          <w:u w:val="none"/>
        </w:rPr>
      </w:pPr>
      <w:r w:rsidDel="00000000" w:rsidR="00000000" w:rsidRPr="00000000">
        <w:rPr>
          <w:rtl w:val="0"/>
        </w:rPr>
        <w:t xml:space="preserve">X (months)</w:t>
      </w:r>
    </w:p>
    <w:p w:rsidR="00000000" w:rsidDel="00000000" w:rsidP="00000000" w:rsidRDefault="00000000" w:rsidRPr="00000000" w14:paraId="00000120">
      <w:pPr>
        <w:numPr>
          <w:ilvl w:val="1"/>
          <w:numId w:val="4"/>
        </w:numPr>
        <w:ind w:left="1440" w:hanging="360"/>
        <w:rPr>
          <w:u w:val="none"/>
        </w:rPr>
      </w:pPr>
      <w:r w:rsidDel="00000000" w:rsidR="00000000" w:rsidRPr="00000000">
        <w:rPr>
          <w:rtl w:val="0"/>
        </w:rPr>
        <w:t xml:space="preserve">Y ROI</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drawing>
          <wp:inline distB="114300" distT="114300" distL="114300" distR="114300">
            <wp:extent cx="5943600" cy="77978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77978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pStyle w:val="Heading3"/>
        <w:keepNext w:val="0"/>
        <w:keepLines w:val="0"/>
        <w:spacing w:after="80" w:lineRule="auto"/>
        <w:rPr/>
      </w:pPr>
      <w:bookmarkStart w:colFirst="0" w:colLast="0" w:name="_miaow2ez4stt" w:id="22"/>
      <w:bookmarkEnd w:id="22"/>
      <w:r w:rsidDel="00000000" w:rsidR="00000000" w:rsidRPr="00000000">
        <w:rPr>
          <w:rtl w:val="0"/>
        </w:rPr>
      </w:r>
    </w:p>
    <w:p w:rsidR="00000000" w:rsidDel="00000000" w:rsidP="00000000" w:rsidRDefault="00000000" w:rsidRPr="00000000" w14:paraId="0000012D">
      <w:pPr>
        <w:pStyle w:val="Heading3"/>
        <w:keepNext w:val="0"/>
        <w:keepLines w:val="0"/>
        <w:spacing w:after="80" w:lineRule="auto"/>
        <w:rPr/>
      </w:pPr>
      <w:bookmarkStart w:colFirst="0" w:colLast="0" w:name="_sze6gq81ikzg" w:id="23"/>
      <w:bookmarkEnd w:id="23"/>
      <w:r w:rsidDel="00000000" w:rsidR="00000000" w:rsidRPr="00000000">
        <w:rPr>
          <w:rtl w:val="0"/>
        </w:rPr>
        <w:t xml:space="preserve">8.1 </w:t>
      </w:r>
      <w:r w:rsidDel="00000000" w:rsidR="00000000" w:rsidRPr="00000000">
        <w:rPr>
          <w:rtl w:val="0"/>
        </w:rPr>
        <w:t xml:space="preserve">State Management (Per ETF)</w:t>
      </w:r>
    </w:p>
    <w:p w:rsidR="00000000" w:rsidDel="00000000" w:rsidP="00000000" w:rsidRDefault="00000000" w:rsidRPr="00000000" w14:paraId="0000012E">
      <w:pPr>
        <w:spacing w:after="240" w:before="240" w:lineRule="auto"/>
        <w:rPr/>
      </w:pPr>
      <w:r w:rsidDel="00000000" w:rsidR="00000000" w:rsidRPr="00000000">
        <w:rPr>
          <w:rtl w:val="0"/>
        </w:rPr>
        <w:t xml:space="preserve">The system must track:</w:t>
      </w:r>
    </w:p>
    <w:p w:rsidR="00000000" w:rsidDel="00000000" w:rsidP="00000000" w:rsidRDefault="00000000" w:rsidRPr="00000000" w14:paraId="0000012F">
      <w:pPr>
        <w:numPr>
          <w:ilvl w:val="0"/>
          <w:numId w:val="1"/>
        </w:numPr>
        <w:spacing w:after="0" w:afterAutospacing="0" w:before="240" w:lineRule="auto"/>
        <w:ind w:left="720" w:hanging="360"/>
      </w:pPr>
      <w:r w:rsidDel="00000000" w:rsidR="00000000" w:rsidRPr="00000000">
        <w:rPr>
          <w:rtl w:val="0"/>
        </w:rPr>
        <w:t xml:space="preserve">Position status (Active / Flat)</w:t>
      </w:r>
    </w:p>
    <w:p w:rsidR="00000000" w:rsidDel="00000000" w:rsidP="00000000" w:rsidRDefault="00000000" w:rsidRPr="00000000" w14:paraId="00000130">
      <w:pPr>
        <w:numPr>
          <w:ilvl w:val="0"/>
          <w:numId w:val="1"/>
        </w:numPr>
        <w:spacing w:after="0" w:afterAutospacing="0" w:before="0" w:beforeAutospacing="0" w:lineRule="auto"/>
        <w:ind w:left="720" w:hanging="360"/>
      </w:pPr>
      <w:r w:rsidDel="00000000" w:rsidR="00000000" w:rsidRPr="00000000">
        <w:rPr>
          <w:rtl w:val="0"/>
        </w:rPr>
        <w:t xml:space="preserve">Total capital deployed</w:t>
      </w:r>
    </w:p>
    <w:p w:rsidR="00000000" w:rsidDel="00000000" w:rsidP="00000000" w:rsidRDefault="00000000" w:rsidRPr="00000000" w14:paraId="00000131">
      <w:pPr>
        <w:numPr>
          <w:ilvl w:val="0"/>
          <w:numId w:val="1"/>
        </w:numPr>
        <w:spacing w:after="0" w:afterAutospacing="0" w:before="0" w:beforeAutospacing="0" w:lineRule="auto"/>
        <w:ind w:left="720" w:hanging="360"/>
      </w:pPr>
      <w:r w:rsidDel="00000000" w:rsidR="00000000" w:rsidRPr="00000000">
        <w:rPr>
          <w:rtl w:val="0"/>
        </w:rPr>
        <w:t xml:space="preserve">Tranches used</w:t>
      </w:r>
    </w:p>
    <w:p w:rsidR="00000000" w:rsidDel="00000000" w:rsidP="00000000" w:rsidRDefault="00000000" w:rsidRPr="00000000" w14:paraId="00000132">
      <w:pPr>
        <w:numPr>
          <w:ilvl w:val="0"/>
          <w:numId w:val="1"/>
        </w:numPr>
        <w:spacing w:after="0" w:afterAutospacing="0" w:before="0" w:beforeAutospacing="0" w:lineRule="auto"/>
        <w:ind w:left="720" w:hanging="360"/>
      </w:pPr>
      <w:r w:rsidDel="00000000" w:rsidR="00000000" w:rsidRPr="00000000">
        <w:rPr>
          <w:rtl w:val="0"/>
        </w:rPr>
        <w:t xml:space="preserve">Last buy price</w:t>
      </w:r>
    </w:p>
    <w:p w:rsidR="00000000" w:rsidDel="00000000" w:rsidP="00000000" w:rsidRDefault="00000000" w:rsidRPr="00000000" w14:paraId="00000133">
      <w:pPr>
        <w:numPr>
          <w:ilvl w:val="0"/>
          <w:numId w:val="1"/>
        </w:numPr>
        <w:spacing w:after="0" w:afterAutospacing="0" w:before="0" w:beforeAutospacing="0" w:lineRule="auto"/>
        <w:ind w:left="720" w:hanging="360"/>
      </w:pPr>
      <w:r w:rsidDel="00000000" w:rsidR="00000000" w:rsidRPr="00000000">
        <w:rPr>
          <w:rtl w:val="0"/>
        </w:rPr>
        <w:t xml:space="preserve">Weighted average cost</w:t>
      </w:r>
    </w:p>
    <w:p w:rsidR="00000000" w:rsidDel="00000000" w:rsidP="00000000" w:rsidRDefault="00000000" w:rsidRPr="00000000" w14:paraId="00000134">
      <w:pPr>
        <w:numPr>
          <w:ilvl w:val="0"/>
          <w:numId w:val="1"/>
        </w:numPr>
        <w:spacing w:after="0" w:afterAutospacing="0" w:before="0" w:beforeAutospacing="0" w:lineRule="auto"/>
        <w:ind w:left="720" w:hanging="360"/>
      </w:pPr>
      <w:r w:rsidDel="00000000" w:rsidR="00000000" w:rsidRPr="00000000">
        <w:rPr>
          <w:rtl w:val="0"/>
        </w:rPr>
        <w:t xml:space="preserve">Unrealized P&amp;L</w:t>
      </w:r>
    </w:p>
    <w:p w:rsidR="00000000" w:rsidDel="00000000" w:rsidP="00000000" w:rsidRDefault="00000000" w:rsidRPr="00000000" w14:paraId="00000135">
      <w:pPr>
        <w:numPr>
          <w:ilvl w:val="0"/>
          <w:numId w:val="1"/>
        </w:numPr>
        <w:spacing w:after="240" w:before="0" w:beforeAutospacing="0" w:lineRule="auto"/>
        <w:ind w:left="720" w:hanging="360"/>
      </w:pPr>
      <w:r w:rsidDel="00000000" w:rsidR="00000000" w:rsidRPr="00000000">
        <w:rPr>
          <w:rtl w:val="0"/>
        </w:rPr>
        <w:t xml:space="preserve">Trend qualification status</w:t>
      </w:r>
    </w:p>
    <w:p w:rsidR="00000000" w:rsidDel="00000000" w:rsidP="00000000" w:rsidRDefault="00000000" w:rsidRPr="00000000" w14:paraId="00000136">
      <w:pPr>
        <w:pStyle w:val="Heading3"/>
        <w:keepNext w:val="0"/>
        <w:keepLines w:val="0"/>
        <w:spacing w:after="80" w:lineRule="auto"/>
        <w:rPr/>
      </w:pPr>
      <w:bookmarkStart w:colFirst="0" w:colLast="0" w:name="_c7fbeixxa0yj" w:id="24"/>
      <w:bookmarkEnd w:id="24"/>
      <w:r w:rsidDel="00000000" w:rsidR="00000000" w:rsidRPr="00000000">
        <w:rPr>
          <w:rtl w:val="0"/>
        </w:rPr>
        <w:t xml:space="preserve">8.2. Alerts  </w:t>
      </w:r>
    </w:p>
    <w:p w:rsidR="00000000" w:rsidDel="00000000" w:rsidP="00000000" w:rsidRDefault="00000000" w:rsidRPr="00000000" w14:paraId="00000137">
      <w:pPr>
        <w:numPr>
          <w:ilvl w:val="0"/>
          <w:numId w:val="5"/>
        </w:numPr>
        <w:spacing w:after="0" w:afterAutospacing="0" w:before="240" w:lineRule="auto"/>
        <w:ind w:left="720" w:hanging="360"/>
      </w:pPr>
      <w:r w:rsidDel="00000000" w:rsidR="00000000" w:rsidRPr="00000000">
        <w:rPr>
          <w:rtl w:val="0"/>
        </w:rPr>
        <w:t xml:space="preserve">New position initiated</w:t>
      </w:r>
    </w:p>
    <w:p w:rsidR="00000000" w:rsidDel="00000000" w:rsidP="00000000" w:rsidRDefault="00000000" w:rsidRPr="00000000" w14:paraId="00000138">
      <w:pPr>
        <w:numPr>
          <w:ilvl w:val="0"/>
          <w:numId w:val="5"/>
        </w:numPr>
        <w:spacing w:after="0" w:afterAutospacing="0" w:before="0" w:beforeAutospacing="0" w:lineRule="auto"/>
        <w:ind w:left="720" w:hanging="360"/>
      </w:pPr>
      <w:r w:rsidDel="00000000" w:rsidR="00000000" w:rsidRPr="00000000">
        <w:rPr>
          <w:rtl w:val="0"/>
        </w:rPr>
        <w:t xml:space="preserve">Additional tranche executed</w:t>
      </w:r>
    </w:p>
    <w:p w:rsidR="00000000" w:rsidDel="00000000" w:rsidP="00000000" w:rsidRDefault="00000000" w:rsidRPr="00000000" w14:paraId="00000139">
      <w:pPr>
        <w:numPr>
          <w:ilvl w:val="0"/>
          <w:numId w:val="5"/>
        </w:numPr>
        <w:spacing w:after="0" w:afterAutospacing="0" w:before="0" w:beforeAutospacing="0" w:lineRule="auto"/>
        <w:ind w:left="720" w:hanging="360"/>
      </w:pPr>
      <w:r w:rsidDel="00000000" w:rsidR="00000000" w:rsidRPr="00000000">
        <w:rPr>
          <w:rtl w:val="0"/>
        </w:rPr>
        <w:t xml:space="preserve">Profit target exit</w:t>
      </w:r>
    </w:p>
    <w:p w:rsidR="00000000" w:rsidDel="00000000" w:rsidP="00000000" w:rsidRDefault="00000000" w:rsidRPr="00000000" w14:paraId="0000013A">
      <w:pPr>
        <w:numPr>
          <w:ilvl w:val="0"/>
          <w:numId w:val="5"/>
        </w:numPr>
        <w:spacing w:after="240" w:before="0" w:beforeAutospacing="0" w:lineRule="auto"/>
        <w:ind w:left="720" w:hanging="360"/>
      </w:pPr>
      <w:r w:rsidDel="00000000" w:rsidR="00000000" w:rsidRPr="00000000">
        <w:rPr>
          <w:rtl w:val="0"/>
        </w:rPr>
        <w:t xml:space="preserve">Trend filter violation (informational)</w:t>
      </w:r>
    </w:p>
    <w:p w:rsidR="00000000" w:rsidDel="00000000" w:rsidP="00000000" w:rsidRDefault="00000000" w:rsidRPr="00000000" w14:paraId="0000013B">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20" w:line="276" w:lineRule="auto"/>
        <w:ind w:left="0" w:right="0" w:firstLine="0"/>
        <w:jc w:val="left"/>
        <w:rPr/>
      </w:pPr>
      <w:bookmarkStart w:colFirst="0" w:colLast="0" w:name="_4tj8l1qspm25" w:id="25"/>
      <w:bookmarkEnd w:id="25"/>
      <w:r w:rsidDel="00000000" w:rsidR="00000000" w:rsidRPr="00000000">
        <w:rPr>
          <w:rtl w:val="0"/>
        </w:rPr>
        <w:t xml:space="preserve">8</w:t>
      </w:r>
      <w:r w:rsidDel="00000000" w:rsidR="00000000" w:rsidRPr="00000000">
        <w:rPr>
          <w:rtl w:val="0"/>
        </w:rPr>
        <w:t xml:space="preserve">.3 Reports</w:t>
      </w:r>
    </w:p>
    <w:p w:rsidR="00000000" w:rsidDel="00000000" w:rsidP="00000000" w:rsidRDefault="00000000" w:rsidRPr="00000000" w14:paraId="0000013C">
      <w:pPr>
        <w:numPr>
          <w:ilvl w:val="0"/>
          <w:numId w:val="2"/>
        </w:numPr>
        <w:spacing w:after="0" w:afterAutospacing="0" w:before="240" w:lineRule="auto"/>
        <w:ind w:left="720" w:hanging="360"/>
      </w:pPr>
      <w:r w:rsidDel="00000000" w:rsidR="00000000" w:rsidRPr="00000000">
        <w:rPr>
          <w:rtl w:val="0"/>
        </w:rPr>
        <w:t xml:space="preserve">Daily portfolio summary</w:t>
      </w:r>
    </w:p>
    <w:p w:rsidR="00000000" w:rsidDel="00000000" w:rsidP="00000000" w:rsidRDefault="00000000" w:rsidRPr="00000000" w14:paraId="0000013D">
      <w:pPr>
        <w:numPr>
          <w:ilvl w:val="0"/>
          <w:numId w:val="2"/>
        </w:numPr>
        <w:spacing w:after="0" w:afterAutospacing="0" w:before="0" w:beforeAutospacing="0" w:lineRule="auto"/>
        <w:ind w:left="720" w:hanging="360"/>
      </w:pPr>
      <w:r w:rsidDel="00000000" w:rsidR="00000000" w:rsidRPr="00000000">
        <w:rPr>
          <w:rtl w:val="0"/>
        </w:rPr>
        <w:t xml:space="preserve">ETF-wise allocation</w:t>
      </w:r>
    </w:p>
    <w:p w:rsidR="00000000" w:rsidDel="00000000" w:rsidP="00000000" w:rsidRDefault="00000000" w:rsidRPr="00000000" w14:paraId="0000013E">
      <w:pPr>
        <w:numPr>
          <w:ilvl w:val="0"/>
          <w:numId w:val="2"/>
        </w:numPr>
        <w:spacing w:after="0" w:afterAutospacing="0" w:before="0" w:beforeAutospacing="0" w:lineRule="auto"/>
        <w:ind w:left="720" w:hanging="360"/>
      </w:pPr>
      <w:r w:rsidDel="00000000" w:rsidR="00000000" w:rsidRPr="00000000">
        <w:rPr>
          <w:rtl w:val="0"/>
        </w:rPr>
        <w:t xml:space="preserve">AMC-wise exposure (optional)</w:t>
      </w:r>
    </w:p>
    <w:p w:rsidR="00000000" w:rsidDel="00000000" w:rsidP="00000000" w:rsidRDefault="00000000" w:rsidRPr="00000000" w14:paraId="0000013F">
      <w:pPr>
        <w:numPr>
          <w:ilvl w:val="0"/>
          <w:numId w:val="2"/>
        </w:numPr>
        <w:spacing w:after="240" w:before="0" w:beforeAutospacing="0" w:lineRule="auto"/>
        <w:ind w:left="720" w:hanging="360"/>
      </w:pPr>
      <w:r w:rsidDel="00000000" w:rsidR="00000000" w:rsidRPr="00000000">
        <w:rPr>
          <w:rtl w:val="0"/>
        </w:rPr>
        <w:t xml:space="preserve">Tranche utilization</w:t>
      </w:r>
    </w:p>
    <w:p w:rsidR="00000000" w:rsidDel="00000000" w:rsidP="00000000" w:rsidRDefault="00000000" w:rsidRPr="00000000" w14:paraId="00000140">
      <w:pPr>
        <w:pStyle w:val="Heading2"/>
        <w:keepNext w:val="0"/>
        <w:keepLines w:val="0"/>
        <w:spacing w:after="80" w:lineRule="auto"/>
        <w:rPr>
          <w:b w:val="1"/>
          <w:bCs w:val="1"/>
          <w:sz w:val="34"/>
          <w:szCs w:val="34"/>
        </w:rPr>
      </w:pPr>
      <w:bookmarkStart w:colFirst="0" w:colLast="0" w:name="_jwnyu2t9aloz" w:id="26"/>
      <w:bookmarkEnd w:id="26"/>
      <w:r w:rsidDel="00000000" w:rsidR="00000000" w:rsidRPr="00000000">
        <w:br w:type="page"/>
      </w:r>
      <w:r w:rsidDel="00000000" w:rsidR="00000000" w:rsidRPr="00000000">
        <w:rPr>
          <w:rtl w:val="0"/>
        </w:rPr>
      </w:r>
    </w:p>
    <w:p w:rsidR="00000000" w:rsidDel="00000000" w:rsidP="00000000" w:rsidRDefault="00000000" w:rsidRPr="00000000" w14:paraId="00000141">
      <w:pPr>
        <w:pStyle w:val="Heading2"/>
        <w:keepNext w:val="0"/>
        <w:keepLines w:val="0"/>
        <w:spacing w:after="80" w:lineRule="auto"/>
        <w:rPr>
          <w:b w:val="1"/>
          <w:bCs w:val="1"/>
          <w:sz w:val="34"/>
          <w:szCs w:val="34"/>
        </w:rPr>
      </w:pPr>
      <w:bookmarkStart w:colFirst="0" w:colLast="0" w:name="_psisvd380l9t" w:id="27"/>
      <w:bookmarkEnd w:id="27"/>
      <w:r w:rsidDel="00000000" w:rsidR="00000000" w:rsidRPr="00000000">
        <w:rPr>
          <w:b w:val="1"/>
          <w:bCs w:val="1"/>
          <w:sz w:val="34"/>
          <w:szCs w:val="34"/>
          <w:rtl w:val="0"/>
        </w:rPr>
        <w:t xml:space="preserve">8. Annexure I</w:t>
      </w:r>
    </w:p>
    <w:p w:rsidR="00000000" w:rsidDel="00000000" w:rsidP="00000000" w:rsidRDefault="00000000" w:rsidRPr="00000000" w14:paraId="00000142">
      <w:pPr>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4.5698657384387"/>
        <w:gridCol w:w="2141.024365987071"/>
        <w:gridCol w:w="1037.931377424167"/>
        <w:gridCol w:w="1037.931377424167"/>
        <w:gridCol w:w="982.0785678766782"/>
        <w:gridCol w:w="758.667329686723"/>
        <w:gridCol w:w="1847.7971158627547"/>
        <w:tblGridChange w:id="0">
          <w:tblGrid>
            <w:gridCol w:w="1554.5698657384387"/>
            <w:gridCol w:w="2141.024365987071"/>
            <w:gridCol w:w="1037.931377424167"/>
            <w:gridCol w:w="1037.931377424167"/>
            <w:gridCol w:w="982.0785678766782"/>
            <w:gridCol w:w="758.667329686723"/>
            <w:gridCol w:w="1847.7971158627547"/>
          </w:tblGrid>
        </w:tblGridChange>
      </w:tblGrid>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jc w:val="center"/>
              <w:rPr/>
            </w:pPr>
            <w:r w:rsidDel="00000000" w:rsidR="00000000" w:rsidRPr="00000000">
              <w:rPr>
                <w:b w:val="1"/>
                <w:bCs w:val="1"/>
                <w:rtl w:val="0"/>
              </w:rPr>
              <w:t xml:space="preserve">ETF Category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jc w:val="center"/>
              <w:rPr/>
            </w:pPr>
            <w:r w:rsidDel="00000000" w:rsidR="00000000" w:rsidRPr="00000000">
              <w:rPr>
                <w:b w:val="1"/>
                <w:bCs w:val="1"/>
                <w:rtl w:val="0"/>
              </w:rPr>
              <w:t xml:space="preserve">ETFs (Illustrative)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jc w:val="center"/>
              <w:rPr/>
            </w:pPr>
            <w:r w:rsidDel="00000000" w:rsidR="00000000" w:rsidRPr="00000000">
              <w:rPr>
                <w:b w:val="1"/>
                <w:bCs w:val="1"/>
                <w:rtl w:val="0"/>
              </w:rPr>
              <w:t xml:space="preserve">Profit Target – 3 Months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jc w:val="center"/>
              <w:rPr/>
            </w:pPr>
            <w:r w:rsidDel="00000000" w:rsidR="00000000" w:rsidRPr="00000000">
              <w:rPr>
                <w:b w:val="1"/>
                <w:bCs w:val="1"/>
                <w:rtl w:val="0"/>
              </w:rPr>
              <w:t xml:space="preserve">Profit Target – 4 Months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jc w:val="center"/>
              <w:rPr/>
            </w:pPr>
            <w:r w:rsidDel="00000000" w:rsidR="00000000" w:rsidRPr="00000000">
              <w:rPr>
                <w:b w:val="1"/>
                <w:bCs w:val="1"/>
                <w:rtl w:val="0"/>
              </w:rPr>
              <w:t xml:space="preserve">Time-Based Review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jc w:val="center"/>
              <w:rPr/>
            </w:pPr>
            <w:r w:rsidDel="00000000" w:rsidR="00000000" w:rsidRPr="00000000">
              <w:rPr>
                <w:b w:val="1"/>
                <w:bCs w:val="1"/>
                <w:rtl w:val="0"/>
              </w:rPr>
              <w:t xml:space="preserve">Add-on Gap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jc w:val="center"/>
              <w:rPr/>
            </w:pPr>
            <w:r w:rsidDel="00000000" w:rsidR="00000000" w:rsidRPr="00000000">
              <w:rPr>
                <w:b w:val="1"/>
                <w:bCs w:val="1"/>
                <w:rtl w:val="0"/>
              </w:rPr>
              <w:t xml:space="preserve">Rationale</w:t>
            </w:r>
            <w:r w:rsidDel="00000000" w:rsidR="00000000" w:rsidRPr="00000000">
              <w:rPr>
                <w:rtl w:val="0"/>
              </w:rPr>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b w:val="1"/>
                <w:bCs w:val="1"/>
                <w:rtl w:val="0"/>
              </w:rPr>
              <w:t xml:space="preserve">Core Index ETFs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tl w:val="0"/>
              </w:rPr>
              <w:t xml:space="preserve">NIFTYIETF, SENSEXIETF, JUNIORBEES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tl w:val="0"/>
              </w:rPr>
              <w:t xml:space="preserve">4–5%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t xml:space="preserve">5–6%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tl w:val="0"/>
              </w:rPr>
              <w:t xml:space="preserve">4 months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tl w:val="0"/>
              </w:rPr>
              <w:t xml:space="preserve">Stable trend behaviour, lower volatility, consistent return distribution</w:t>
            </w:r>
          </w:p>
        </w:tc>
      </w:tr>
      <w:tr>
        <w:trPr>
          <w:cantSplit w:val="0"/>
          <w:trHeight w:val="18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b w:val="1"/>
                <w:bCs w:val="1"/>
                <w:rtl w:val="0"/>
              </w:rPr>
              <w:t xml:space="preserve">Sectoral ETFs (Momentum)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tl w:val="0"/>
              </w:rPr>
              <w:t xml:space="preserve">BANKBEES, METALIETF, PHARMABEES, FMCGIETF, AUTOBEES, PSUBNKBEES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t xml:space="preserve">4–6%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tl w:val="0"/>
              </w:rPr>
              <w:t xml:space="preserve">5–7%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tl w:val="0"/>
              </w:rPr>
              <w:t xml:space="preserve">4 months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tl w:val="0"/>
              </w:rPr>
              <w:t xml:space="preserve">Higher dispersion than indices; benefit from slightly higher targets</w:t>
            </w:r>
          </w:p>
        </w:tc>
      </w:tr>
      <w:tr>
        <w:trPr>
          <w:cantSplit w:val="0"/>
          <w:trHeight w:val="18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b w:val="1"/>
                <w:bCs w:val="1"/>
                <w:rtl w:val="0"/>
              </w:rPr>
              <w:t xml:space="preserve">Mid &amp; Small-Cap ETFs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tl w:val="0"/>
              </w:rPr>
              <w:t xml:space="preserve">MIDCAPETF, HDFCSML250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tl w:val="0"/>
              </w:rPr>
              <w:t xml:space="preserve">5–6%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tl w:val="0"/>
              </w:rPr>
              <w:t xml:space="preserve">6–8%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tl w:val="0"/>
              </w:rPr>
              <w:t xml:space="preserve">4 months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tl w:val="0"/>
              </w:rPr>
              <w:t xml:space="preserve">Strong momentum characteristics; higher upside with acceptable volatility</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b w:val="1"/>
                <w:bCs w:val="1"/>
                <w:rtl w:val="0"/>
              </w:rPr>
              <w:t xml:space="preserve">Commodity ETFs – Gold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t xml:space="preserve">GOLDIETF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tl w:val="0"/>
              </w:rPr>
              <w:t xml:space="preserve">3–4%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t xml:space="preserve">4–5%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b w:val="1"/>
                <w:bCs w:val="1"/>
                <w:rtl w:val="0"/>
              </w:rPr>
              <w:t xml:space="preserve">3 months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b w:val="1"/>
                <w:bCs w:val="1"/>
                <w:rtl w:val="0"/>
              </w:rPr>
              <w:t xml:space="preserve">3.0%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tl w:val="0"/>
              </w:rPr>
              <w:t xml:space="preserve">Lower median returns, faster mean reversion, regime-driven behaviour</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b w:val="1"/>
                <w:bCs w:val="1"/>
                <w:rtl w:val="0"/>
              </w:rPr>
              <w:t xml:space="preserve">Commodity ETFs – Silver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tl w:val="0"/>
              </w:rPr>
              <w:t xml:space="preserve">SILVERIETF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t xml:space="preserve">4–6%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tl w:val="0"/>
              </w:rPr>
              <w:t xml:space="preserve">5–7%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b w:val="1"/>
                <w:bCs w:val="1"/>
                <w:rtl w:val="0"/>
              </w:rPr>
              <w:t xml:space="preserve">3 months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b w:val="1"/>
                <w:bCs w:val="1"/>
                <w:rtl w:val="0"/>
              </w:rPr>
              <w:t xml:space="preserve">3.5%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tl w:val="0"/>
              </w:rPr>
              <w:t xml:space="preserve">High volatility and momentum bursts; wider add-on spacing required</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b w:val="1"/>
                <w:bCs w:val="1"/>
                <w:rtl w:val="0"/>
              </w:rPr>
              <w:t xml:space="preserve">Global / Tech ETFs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tl w:val="0"/>
              </w:rPr>
              <w:t xml:space="preserve">MON100, MAFANG, HNGSNGBEES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tl w:val="0"/>
              </w:rPr>
              <w:t xml:space="preserve">4–6%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tl w:val="0"/>
              </w:rPr>
              <w:t xml:space="preserve">5–7%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tl w:val="0"/>
              </w:rPr>
              <w:t xml:space="preserve">4 months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tl w:val="0"/>
              </w:rPr>
              <w:t xml:space="preserve">Higher volatility than Indian indices but strong trend persistence</w:t>
            </w:r>
          </w:p>
        </w:tc>
      </w:tr>
    </w:tbl>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hyperlink" Target="http://hierarchy.t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