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2A4A"/>
          <w:sz w:val="40"/>
        </w:rPr>
        <w:t>RED Authoring Format Guide</w:t>
      </w:r>
    </w:p>
    <w:p>
      <w:pPr>
        <w:jc w:val="center"/>
      </w:pPr>
      <w:r>
        <w:rPr>
          <w:i/>
          <w:color w:val="5C6480"/>
          <w:sz w:val="21"/>
        </w:rPr>
        <w:t>How to structure a Reverse Engineering Document so the AIDLC pipeline consumes it correctly</w:t>
      </w:r>
    </w:p>
    <w:p>
      <w:pPr>
        <w:jc w:val="center"/>
      </w:pPr>
      <w:r>
        <w:rPr>
          <w:color w:val="5C6480"/>
          <w:sz w:val="17"/>
        </w:rPr>
        <w:t>UW Credit Risk  |  Verified against extract.py / chunker.py / retriever.py / stage_executor.py / re-kb-build.yaml / aidlc-kb kb-build</w:t>
      </w:r>
    </w:p>
    <w:p>
      <w:r>
        <w:rPr>
          <w:b/>
          <w:color w:val="1A2A4A"/>
          <w:sz w:val="30"/>
        </w:rPr>
        <w:t>0.  Executive Summary</w:t>
      </w:r>
    </w:p>
    <w:p>
      <w:r>
        <w:rPr>
          <w:b/>
          <w:i w:val="0"/>
          <w:sz w:val="20"/>
        </w:rPr>
        <w:t>The pipeline ingests a RED in two layers. Each needs a different structure:</w:t>
      </w:r>
    </w:p>
    <w:p>
      <w:pPr>
        <w:pStyle w:val="ListBullet"/>
      </w:pPr>
      <w:r>
        <w:rPr>
          <w:b/>
          <w:color w:val="1A6B3A"/>
        </w:rPr>
        <w:t xml:space="preserve">Business Rules (BR) — </w:t>
      </w:r>
      <w:r>
        <w:t>the existing per-module rule tables are already correct and drive the PRD business-rule coverage.</w:t>
      </w:r>
    </w:p>
    <w:p>
      <w:pPr>
        <w:pStyle w:val="ListBullet"/>
      </w:pPr>
      <w:r>
        <w:rPr>
          <w:b/>
          <w:color w:val="7A4000"/>
        </w:rPr>
        <w:t xml:space="preserve">All other card types (ENT/CMP/SCR/API/FR/WF) — </w:t>
      </w:r>
      <w:r>
        <w:t>entities, services, screens, integrations, functional requirements and workflows must be added as companion typed tables AND the RED must be run through the re-kb-build step to become typed cards.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8F5EE"/>
          </w:tcPr>
          <w:p>
            <w:r>
              <w:rPr>
                <w:b/>
                <w:color w:val="1A6B3A"/>
                <w:sz w:val="19"/>
              </w:rPr>
              <w:t xml:space="preserve">FINDING: </w:t>
            </w:r>
            <w:r>
              <w:rPr>
                <w:color w:val="1A6B3A"/>
                <w:sz w:val="19"/>
              </w:rPr>
              <w:t>The Admin_RED_Rules.docx reviewed for this guide ALREADY satisfies the Business-Rule format (module headings + 5-column rule tables + confidence %). No change is needed for BR. The work is to add the companion typed catalogues and to run re-kb-build.</w:t>
            </w:r>
          </w:p>
        </w:tc>
      </w:tr>
    </w:tbl>
    <w:p/>
    <w:p>
      <w:r>
        <w:rPr>
          <w:b/>
          <w:color w:val="1A2A4A"/>
          <w:sz w:val="30"/>
        </w:rPr>
        <w:t>1.  How the pipeline reads a RED (two mechanisms)</w:t>
      </w:r>
    </w:p>
    <w:p>
      <w:r>
        <w:rPr>
          <w:b w:val="0"/>
          <w:i w:val="0"/>
          <w:sz w:val="20"/>
        </w:rPr>
        <w:t>A RED uploaded via POST /{project}/documents does two things: it is kept raw as corpus (workspaces/&lt;app&gt;/corpus/&lt;kind&gt;/) and it is chunked + embedded into the pgvector store. There are then two ways its content reaches the agents: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A2A4A"/>
          </w:tcPr>
          <w:p>
            <w:r>
              <w:rPr>
                <w:b/>
                <w:color w:val="FFFFFF"/>
                <w:sz w:val="17"/>
              </w:rPr>
              <w:t>Mechanism</w:t>
            </w:r>
          </w:p>
        </w:tc>
        <w:tc>
          <w:tcPr>
            <w:tcW w:type="dxa" w:w="2160"/>
            <w:shd w:val="clear" w:fill="1A2A4A"/>
          </w:tcPr>
          <w:p>
            <w:r>
              <w:rPr>
                <w:b/>
                <w:color w:val="FFFFFF"/>
                <w:sz w:val="17"/>
              </w:rPr>
              <w:t>What triggers it</w:t>
            </w:r>
          </w:p>
        </w:tc>
        <w:tc>
          <w:tcPr>
            <w:tcW w:type="dxa" w:w="2160"/>
            <w:shd w:val="clear" w:fill="1A2A4A"/>
          </w:tcPr>
          <w:p>
            <w:r>
              <w:rPr>
                <w:b/>
                <w:color w:val="FFFFFF"/>
                <w:sz w:val="17"/>
              </w:rPr>
              <w:t>What it delivers</w:t>
            </w:r>
          </w:p>
        </w:tc>
        <w:tc>
          <w:tcPr>
            <w:tcW w:type="dxa" w:w="2160"/>
            <w:shd w:val="clear" w:fill="1A2A4A"/>
          </w:tcPr>
          <w:p>
            <w:r>
              <w:rPr>
                <w:b/>
                <w:color w:val="FFFFFF"/>
                <w:sz w:val="17"/>
              </w:rPr>
              <w:t>Covers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A. rule_catalogue → PRD map-reduce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Module heading + exact 5-column rule table + confidence % (see §2)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Every rule injected VERBATIM into the PRD (100% coverage), with module/type/source/confidence metadata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BR (③④) — and ⑯ error codes if in rules</w:t>
            </w:r>
          </w:p>
        </w:tc>
      </w:tr>
      <w:tr>
        <w:tc>
          <w:tcPr>
            <w:tcW w:type="dxa" w:w="2160"/>
            <w:shd w:val="clear" w:fill="EEF2FF"/>
          </w:tcPr>
          <w:p>
            <w:r>
              <w:rPr>
                <w:sz w:val="17"/>
              </w:rPr>
              <w:t>B. re-kb-build → CardStore → _card_context()</w:t>
            </w:r>
          </w:p>
        </w:tc>
        <w:tc>
          <w:tcPr>
            <w:tcW w:type="dxa" w:w="2160"/>
            <w:shd w:val="clear" w:fill="EEF2FF"/>
          </w:tcPr>
          <w:p>
            <w:r>
              <w:rPr>
                <w:sz w:val="17"/>
              </w:rPr>
              <w:t>Running the re-kb-build pipeline over the corpus BEFORE the SDLC pipeline (see §4)</w:t>
            </w:r>
          </w:p>
        </w:tc>
        <w:tc>
          <w:tcPr>
            <w:tcW w:type="dxa" w:w="2160"/>
            <w:shd w:val="clear" w:fill="EEF2FF"/>
          </w:tcPr>
          <w:p>
            <w:r>
              <w:rPr>
                <w:sz w:val="17"/>
              </w:rPr>
              <w:t>Typed cards (ENT/BR/FR/SCR/WF/CMP/API) injected as a '## Knowledge cards (cite by id)' block into EVERY docs stage (PRD, FRD, SDD, LLD/TDD)</w:t>
            </w:r>
          </w:p>
        </w:tc>
        <w:tc>
          <w:tcPr>
            <w:tcW w:type="dxa" w:w="2160"/>
            <w:shd w:val="clear" w:fill="EEF2FF"/>
          </w:tcPr>
          <w:p>
            <w:r>
              <w:rPr>
                <w:sz w:val="17"/>
              </w:rPr>
              <w:t>All typed categories → Architecture, LLD, TDD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8E8"/>
          </w:tcPr>
          <w:p>
            <w:r>
              <w:rPr>
                <w:b/>
                <w:color w:val="7A4000"/>
                <w:sz w:val="19"/>
              </w:rPr>
              <w:t xml:space="preserve">IMPORTANT: </w:t>
            </w:r>
            <w:r>
              <w:rPr>
                <w:color w:val="7A4000"/>
                <w:sz w:val="19"/>
              </w:rPr>
              <w:t>Card-ID prefixes (BR-/SCR-/ENT-…) placed in a plain uploaded document are INVISIBLE to the chunker. The chunker only recognises the rule_catalogue shape by its heading+table+confidence signature — not by IDs. Typed cards exist only after re-kb-build runs (mechanism B).</w:t>
            </w:r>
          </w:p>
        </w:tc>
      </w:tr>
    </w:tbl>
    <w:p/>
    <w:p>
      <w:r>
        <w:rPr>
          <w:b/>
          <w:color w:val="1A6B3A"/>
          <w:sz w:val="30"/>
        </w:rPr>
        <w:t>2.  Business-Rule format — the EXACT shape that triggers map-reduce coverage</w:t>
      </w:r>
    </w:p>
    <w:p>
      <w:r>
        <w:rPr>
          <w:b/>
          <w:i w:val="0"/>
          <w:sz w:val="20"/>
        </w:rPr>
        <w:t>Keep this format exactly. All three elements must be present in the document for detection to fire:</w:t>
      </w:r>
    </w:p>
    <w:p>
      <w:pPr>
        <w:pStyle w:val="ListBullet"/>
      </w:pPr>
      <w:r>
        <w:rPr>
          <w:b/>
        </w:rPr>
        <w:t xml:space="preserve">(1) </w:t>
      </w:r>
      <w:r>
        <w:t>a module heading in Word Heading-3 style, text form:  N.N.N  NN-slug  Module  (N rules)</w:t>
      </w:r>
    </w:p>
    <w:p>
      <w:r>
        <w:rPr>
          <w:rFonts w:ascii="Consolas" w:hAnsi="Consolas"/>
          <w:color w:val="1A2A4A"/>
          <w:sz w:val="18"/>
        </w:rPr>
        <w:t>### 2.1.2 02-account-company Module (116 rules)</w:t>
      </w:r>
    </w:p>
    <w:p>
      <w:pPr>
        <w:pStyle w:val="ListBullet"/>
      </w:pPr>
      <w:r>
        <w:rPr>
          <w:b/>
        </w:rPr>
        <w:t xml:space="preserve">(2) </w:t>
      </w:r>
      <w:r>
        <w:t>a rule table whose header row is EXACTLY these five columns, in this order: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1A6B3A"/>
          </w:tcPr>
          <w:p>
            <w:r>
              <w:rPr>
                <w:b/>
                <w:color w:val="FFFFFF"/>
                <w:sz w:val="17"/>
              </w:rPr>
              <w:t>Rule Name</w:t>
            </w:r>
          </w:p>
        </w:tc>
        <w:tc>
          <w:tcPr>
            <w:tcW w:type="dxa" w:w="1728"/>
            <w:shd w:val="clear" w:fill="1A6B3A"/>
          </w:tcPr>
          <w:p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1728"/>
            <w:shd w:val="clear" w:fill="1A6B3A"/>
          </w:tcPr>
          <w:p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1728"/>
            <w:shd w:val="clear" w:fill="1A6B3A"/>
          </w:tcPr>
          <w:p>
            <w:r>
              <w:rPr>
                <w:b/>
                <w:color w:val="FFFFFF"/>
                <w:sz w:val="17"/>
              </w:rPr>
              <w:t>Source File</w:t>
            </w:r>
          </w:p>
        </w:tc>
        <w:tc>
          <w:tcPr>
            <w:tcW w:type="dxa" w:w="1728"/>
            <w:shd w:val="clear" w:fill="1A6B3A"/>
          </w:tcPr>
          <w:p>
            <w:r>
              <w:rPr>
                <w:b/>
                <w:color w:val="FFFFFF"/>
                <w:sz w:val="17"/>
              </w:rPr>
              <w:t>Confidence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Default Sort Order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Process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When no sort column is specified, results default to sorting by Name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CheckInsured.asp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95%</w:t>
            </w:r>
          </w:p>
        </w:tc>
      </w:tr>
      <w:tr>
        <w:tc>
          <w:tcPr>
            <w:tcW w:type="dxa" w:w="1728"/>
            <w:shd w:val="clear" w:fill="EEF2FF"/>
          </w:tcPr>
          <w:p>
            <w:r>
              <w:rPr>
                <w:sz w:val="17"/>
              </w:rPr>
              <w:t>Sort Column Validation</w:t>
            </w:r>
          </w:p>
        </w:tc>
        <w:tc>
          <w:tcPr>
            <w:tcW w:type="dxa" w:w="1728"/>
            <w:shd w:val="clear" w:fill="EEF2FF"/>
          </w:tcPr>
          <w:p>
            <w:r>
              <w:rPr>
                <w:sz w:val="17"/>
              </w:rPr>
              <w:t>Validation</w:t>
            </w:r>
          </w:p>
        </w:tc>
        <w:tc>
          <w:tcPr>
            <w:tcW w:type="dxa" w:w="1728"/>
            <w:shd w:val="clear" w:fill="EEF2FF"/>
          </w:tcPr>
          <w:p>
            <w:r>
              <w:rPr>
                <w:sz w:val="17"/>
              </w:rPr>
              <w:t>Sort column validated via IsValidColumn before use in SQL</w:t>
            </w:r>
          </w:p>
        </w:tc>
        <w:tc>
          <w:tcPr>
            <w:tcW w:type="dxa" w:w="1728"/>
            <w:shd w:val="clear" w:fill="EEF2FF"/>
          </w:tcPr>
          <w:p>
            <w:r>
              <w:rPr>
                <w:sz w:val="17"/>
              </w:rPr>
              <w:t>CheckInsured.asp</w:t>
            </w:r>
          </w:p>
        </w:tc>
        <w:tc>
          <w:tcPr>
            <w:tcW w:type="dxa" w:w="1728"/>
            <w:shd w:val="clear" w:fill="EEF2FF"/>
          </w:tcPr>
          <w:p>
            <w:r>
              <w:rPr>
                <w:sz w:val="17"/>
              </w:rPr>
              <w:t>90%</w:t>
            </w:r>
          </w:p>
        </w:tc>
      </w:tr>
    </w:tbl>
    <w:p>
      <w:pPr>
        <w:pStyle w:val="ListBullet"/>
      </w:pPr>
      <w:r>
        <w:rPr>
          <w:b/>
        </w:rPr>
        <w:t xml:space="preserve">(3) </w:t>
      </w:r>
      <w:r>
        <w:t>a confidence value rendered as a percentage cell (e.g. 95%).</w:t>
      </w:r>
    </w:p>
    <w:p>
      <w:r>
        <w:rPr>
          <w:b w:val="0"/>
          <w:i/>
          <w:color w:val="5C6480"/>
          <w:sz w:val="20"/>
        </w:rPr>
        <w:t>Allowed Type values map to downstream generators: Process, Validation, Calculation, Authorization/Eligibility, Workflow.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8E8"/>
          </w:tcPr>
          <w:p>
            <w:r>
              <w:rPr>
                <w:b/>
                <w:color w:val="7A4000"/>
                <w:sz w:val="19"/>
              </w:rPr>
              <w:t xml:space="preserve">DO NOT: </w:t>
            </w:r>
            <w:r>
              <w:rPr>
                <w:color w:val="7A4000"/>
                <w:sz w:val="19"/>
              </w:rPr>
              <w:t>Do NOT rename these five column headers, reorder them, or split the confidence number away from the % sign — any of those breaks detection and the RED silently drops from 100% coverage to a 24-chunk similarity sample.</w:t>
            </w:r>
          </w:p>
        </w:tc>
      </w:tr>
    </w:tbl>
    <w:p/>
    <w:p>
      <w:r>
        <w:rPr>
          <w:b/>
          <w:color w:val="1A4A7A"/>
          <w:sz w:val="30"/>
        </w:rPr>
        <w:t>3.  Companion typed catalogues — add one table per card type, per module</w:t>
      </w:r>
    </w:p>
    <w:p>
      <w:r>
        <w:rPr>
          <w:b w:val="0"/>
          <w:i w:val="0"/>
          <w:sz w:val="20"/>
        </w:rPr>
        <w:t>Add these alongside the rule tables, under the same module headings. They give re-kb-build clean, citable rows so it can synthesise ENT/CMP/SCR/API/FR/WF cards with evidence loci. Use stable IDs (PREFIX-UWCR-NNN) and always cite the Source File (and line range where possible).</w:t>
      </w:r>
    </w:p>
    <w:p>
      <w:r>
        <w:rPr>
          <w:b w:val="0"/>
          <w:i/>
          <w:color w:val="5C6480"/>
          <w:sz w:val="20"/>
        </w:rPr>
        <w:t>Use the EXACT columns below (identical to RED-Sample-Admin-Module and RED-Input-Requirements Table 21).</w:t>
      </w:r>
    </w:p>
    <w:p>
      <w:r>
        <w:rPr>
          <w:b/>
          <w:i w:val="0"/>
          <w:color w:val="1A4A7A"/>
          <w:sz w:val="20"/>
        </w:rPr>
        <w:t>3.1  ENT — Data Entities (→ @Entity / @Repository)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fill="1A2A4A"/>
          </w:tcPr>
          <w:p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1234"/>
            <w:shd w:val="clear" w:fill="1A2A4A"/>
          </w:tcPr>
          <w:p>
            <w:r>
              <w:rPr>
                <w:b/>
                <w:color w:val="FFFFFF"/>
                <w:sz w:val="17"/>
              </w:rPr>
              <w:t>Maps-to-table</w:t>
            </w:r>
          </w:p>
        </w:tc>
        <w:tc>
          <w:tcPr>
            <w:tcW w:type="dxa" w:w="1234"/>
            <w:shd w:val="clear" w:fill="1A2A4A"/>
          </w:tcPr>
          <w:p>
            <w:r>
              <w:rPr>
                <w:b/>
                <w:color w:val="FFFFFF"/>
                <w:sz w:val="17"/>
              </w:rPr>
              <w:t>Key columns (name:type:PK/FK)</w:t>
            </w:r>
          </w:p>
        </w:tc>
        <w:tc>
          <w:tcPr>
            <w:tcW w:type="dxa" w:w="1234"/>
            <w:shd w:val="clear" w:fill="1A2A4A"/>
          </w:tcPr>
          <w:p>
            <w:r>
              <w:rPr>
                <w:b/>
                <w:color w:val="FFFFFF"/>
                <w:sz w:val="17"/>
              </w:rPr>
              <w:t>Stored procedures</w:t>
            </w:r>
          </w:p>
        </w:tc>
        <w:tc>
          <w:tcPr>
            <w:tcW w:type="dxa" w:w="1234"/>
            <w:shd w:val="clear" w:fill="1A2A4A"/>
          </w:tcPr>
          <w:p>
            <w:r>
              <w:rPr>
                <w:b/>
                <w:color w:val="FFFFFF"/>
                <w:sz w:val="17"/>
              </w:rPr>
              <w:t>JPA-lookup</w:t>
            </w:r>
          </w:p>
        </w:tc>
        <w:tc>
          <w:tcPr>
            <w:tcW w:type="dxa" w:w="1234"/>
            <w:shd w:val="clear" w:fill="1A2A4A"/>
          </w:tcPr>
          <w:p>
            <w:r>
              <w:rPr>
                <w:b/>
                <w:color w:val="FFFFFF"/>
                <w:sz w:val="17"/>
              </w:rPr>
              <w:t>Source</w:t>
            </w:r>
          </w:p>
        </w:tc>
        <w:tc>
          <w:tcPr>
            <w:tcW w:type="dxa" w:w="1234"/>
            <w:shd w:val="clear" w:fill="1A2A4A"/>
          </w:tcPr>
          <w:p>
            <w:r>
              <w:rPr>
                <w:b/>
                <w:color w:val="FFFFFF"/>
                <w:sz w:val="17"/>
              </w:rPr>
              <w:t>Conf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ENT-UWCR-012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dbo.tblSystemAdmin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AdminID:int:PK; strUserName:varchar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spGetSystemAdmin (read)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Yes (read-only)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CheckInsured.asp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90%</w:t>
            </w:r>
          </w:p>
        </w:tc>
      </w:tr>
      <w:tr>
        <w:tc>
          <w:tcPr>
            <w:tcW w:type="dxa" w:w="1234"/>
            <w:shd w:val="clear" w:fill="EEF2FF"/>
          </w:tcPr>
          <w:p>
            <w:r>
              <w:rPr>
                <w:sz w:val="17"/>
              </w:rPr>
              <w:t>ENT-UWCR-013</w:t>
            </w:r>
          </w:p>
        </w:tc>
        <w:tc>
          <w:tcPr>
            <w:tcW w:type="dxa" w:w="1234"/>
            <w:shd w:val="clear" w:fill="EEF2FF"/>
          </w:tcPr>
          <w:p>
            <w:r>
              <w:rPr>
                <w:sz w:val="17"/>
              </w:rPr>
              <w:t>dbo.qryInsuredNotInTable</w:t>
            </w:r>
          </w:p>
        </w:tc>
        <w:tc>
          <w:tcPr>
            <w:tcW w:type="dxa" w:w="1234"/>
            <w:shd w:val="clear" w:fill="EEF2FF"/>
          </w:tcPr>
          <w:p>
            <w:r>
              <w:rPr>
                <w:sz w:val="17"/>
              </w:rPr>
              <w:t>AppNo:int; AccountName:varchar; InsuredName:varchar</w:t>
            </w:r>
          </w:p>
        </w:tc>
        <w:tc>
          <w:tcPr>
            <w:tcW w:type="dxa" w:w="1234"/>
            <w:shd w:val="clear" w:fill="EEF2FF"/>
          </w:tcPr>
          <w:p>
            <w:r>
              <w:rPr>
                <w:sz w:val="17"/>
              </w:rPr>
              <w:t>(view)</w:t>
            </w:r>
          </w:p>
        </w:tc>
        <w:tc>
          <w:tcPr>
            <w:tcW w:type="dxa" w:w="1234"/>
            <w:shd w:val="clear" w:fill="EEF2FF"/>
          </w:tcPr>
          <w:p>
            <w:r>
              <w:rPr>
                <w:sz w:val="17"/>
              </w:rPr>
              <w:t>No (view)</w:t>
            </w:r>
          </w:p>
        </w:tc>
        <w:tc>
          <w:tcPr>
            <w:tcW w:type="dxa" w:w="1234"/>
            <w:shd w:val="clear" w:fill="EEF2FF"/>
          </w:tcPr>
          <w:p>
            <w:r>
              <w:rPr>
                <w:sz w:val="17"/>
              </w:rPr>
              <w:t>CheckInsured.asp</w:t>
            </w:r>
          </w:p>
        </w:tc>
        <w:tc>
          <w:tcPr>
            <w:tcW w:type="dxa" w:w="1234"/>
            <w:shd w:val="clear" w:fill="EEF2FF"/>
          </w:tcPr>
          <w:p>
            <w:r>
              <w:rPr>
                <w:sz w:val="17"/>
              </w:rPr>
              <w:t>85%</w:t>
            </w:r>
          </w:p>
        </w:tc>
      </w:tr>
    </w:tbl>
    <w:p>
      <w:r>
        <w:rPr>
          <w:b/>
          <w:i w:val="0"/>
          <w:color w:val="1A4A7A"/>
          <w:sz w:val="20"/>
        </w:rPr>
        <w:t>3.2  CMP — Components / Services (→ Spring Boot @Service)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fill="1A2A4A"/>
          </w:tcPr>
          <w:p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1234"/>
            <w:shd w:val="clear" w:fill="1A2A4A"/>
          </w:tcPr>
          <w:p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1234"/>
            <w:shd w:val="clear" w:fill="1A2A4A"/>
          </w:tcPr>
          <w:p>
            <w:r>
              <w:rPr>
                <w:b/>
                <w:color w:val="FFFFFF"/>
                <w:sz w:val="17"/>
              </w:rPr>
              <w:t>Business function</w:t>
            </w:r>
          </w:p>
        </w:tc>
        <w:tc>
          <w:tcPr>
            <w:tcW w:type="dxa" w:w="1234"/>
            <w:shd w:val="clear" w:fill="1A2A4A"/>
          </w:tcPr>
          <w:p>
            <w:r>
              <w:rPr>
                <w:b/>
                <w:color w:val="FFFFFF"/>
                <w:sz w:val="17"/>
              </w:rPr>
              <w:t>Callers</w:t>
            </w:r>
          </w:p>
        </w:tc>
        <w:tc>
          <w:tcPr>
            <w:tcW w:type="dxa" w:w="1234"/>
            <w:shd w:val="clear" w:fill="1A2A4A"/>
          </w:tcPr>
          <w:p>
            <w:r>
              <w:rPr>
                <w:b/>
                <w:color w:val="FFFFFF"/>
                <w:sz w:val="17"/>
              </w:rPr>
              <w:t>DB objects used</w:t>
            </w:r>
          </w:p>
        </w:tc>
        <w:tc>
          <w:tcPr>
            <w:tcW w:type="dxa" w:w="1234"/>
            <w:shd w:val="clear" w:fill="1A2A4A"/>
          </w:tcPr>
          <w:p>
            <w:r>
              <w:rPr>
                <w:b/>
                <w:color w:val="FFFFFF"/>
                <w:sz w:val="17"/>
              </w:rPr>
              <w:t>Migration target</w:t>
            </w:r>
          </w:p>
        </w:tc>
        <w:tc>
          <w:tcPr>
            <w:tcW w:type="dxa" w:w="1234"/>
            <w:shd w:val="clear" w:fill="1A2A4A"/>
          </w:tcPr>
          <w:p>
            <w:r>
              <w:rPr>
                <w:b/>
                <w:color w:val="FFFFFF"/>
                <w:sz w:val="17"/>
              </w:rPr>
              <w:t>Conf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CMP-UWCR-001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InsuredReconciliation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Identify insureds missing from company master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SCR-UWCR-001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ENT-UWCR-012/013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InsuredReconciliationService.java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85%</w:t>
            </w:r>
          </w:p>
        </w:tc>
      </w:tr>
    </w:tbl>
    <w:p>
      <w:r>
        <w:rPr>
          <w:b/>
          <w:i w:val="0"/>
          <w:color w:val="1A4A7A"/>
          <w:sz w:val="20"/>
        </w:rPr>
        <w:t>3.3  SCR — Screens / UI Forms (→ Angular component)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fill="1A2A4A"/>
          </w:tcPr>
          <w:p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1234"/>
            <w:shd w:val="clear" w:fill="1A2A4A"/>
          </w:tcPr>
          <w:p>
            <w:r>
              <w:rPr>
                <w:b/>
                <w:color w:val="FFFFFF"/>
                <w:sz w:val="17"/>
              </w:rPr>
              <w:t>Screen / Route</w:t>
            </w:r>
          </w:p>
        </w:tc>
        <w:tc>
          <w:tcPr>
            <w:tcW w:type="dxa" w:w="1234"/>
            <w:shd w:val="clear" w:fill="1A2A4A"/>
          </w:tcPr>
          <w:p>
            <w:r>
              <w:rPr>
                <w:b/>
                <w:color w:val="FFFFFF"/>
                <w:sz w:val="17"/>
              </w:rPr>
              <w:t>Roles-visible</w:t>
            </w:r>
          </w:p>
        </w:tc>
        <w:tc>
          <w:tcPr>
            <w:tcW w:type="dxa" w:w="1234"/>
            <w:shd w:val="clear" w:fill="1A2A4A"/>
          </w:tcPr>
          <w:p>
            <w:r>
              <w:rPr>
                <w:b/>
                <w:color w:val="FFFFFF"/>
                <w:sz w:val="17"/>
              </w:rPr>
              <w:t>Key fields (name:component:req)</w:t>
            </w:r>
          </w:p>
        </w:tc>
        <w:tc>
          <w:tcPr>
            <w:tcW w:type="dxa" w:w="1234"/>
            <w:shd w:val="clear" w:fill="1A2A4A"/>
          </w:tcPr>
          <w:p>
            <w:r>
              <w:rPr>
                <w:b/>
                <w:color w:val="FFFFFF"/>
                <w:sz w:val="17"/>
              </w:rPr>
              <w:t>Buttons (label:role:API)</w:t>
            </w:r>
          </w:p>
        </w:tc>
        <w:tc>
          <w:tcPr>
            <w:tcW w:type="dxa" w:w="1234"/>
            <w:shd w:val="clear" w:fill="1A2A4A"/>
          </w:tcPr>
          <w:p>
            <w:r>
              <w:rPr>
                <w:b/>
                <w:color w:val="FFFFFF"/>
                <w:sz w:val="17"/>
              </w:rPr>
              <w:t>Source</w:t>
            </w:r>
          </w:p>
        </w:tc>
        <w:tc>
          <w:tcPr>
            <w:tcW w:type="dxa" w:w="1234"/>
            <w:shd w:val="clear" w:fill="1A2A4A"/>
          </w:tcPr>
          <w:p>
            <w:r>
              <w:rPr>
                <w:b/>
                <w:color w:val="FFFFFF"/>
                <w:sz w:val="17"/>
              </w:rPr>
              <w:t>Conf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SCR-UWCR-001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Insured Reconciliation List /admin/insured-recon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RM Admin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AppNo:text:n; AccountName:text:n; SortBy:select:n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Add Company:RM Admin:API-UWCR-001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CheckInsured.asp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90%</w:t>
            </w:r>
          </w:p>
        </w:tc>
      </w:tr>
    </w:tbl>
    <w:p>
      <w:r>
        <w:rPr>
          <w:b/>
          <w:i w:val="0"/>
          <w:color w:val="1A4A7A"/>
          <w:sz w:val="20"/>
        </w:rPr>
        <w:t>3.4  API — Integration Points (→ messaging / external calls)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fill="1A2A4A"/>
          </w:tcPr>
          <w:p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1234"/>
            <w:shd w:val="clear" w:fill="1A2A4A"/>
          </w:tcPr>
          <w:p>
            <w:r>
              <w:rPr>
                <w:b/>
                <w:color w:val="FFFFFF"/>
                <w:sz w:val="17"/>
              </w:rPr>
              <w:t>Integration type</w:t>
            </w:r>
          </w:p>
        </w:tc>
        <w:tc>
          <w:tcPr>
            <w:tcW w:type="dxa" w:w="1234"/>
            <w:shd w:val="clear" w:fill="1A2A4A"/>
          </w:tcPr>
          <w:p>
            <w:r>
              <w:rPr>
                <w:b/>
                <w:color w:val="FFFFFF"/>
                <w:sz w:val="17"/>
              </w:rPr>
              <w:t>Target (via SP)</w:t>
            </w:r>
          </w:p>
        </w:tc>
        <w:tc>
          <w:tcPr>
            <w:tcW w:type="dxa" w:w="1234"/>
            <w:shd w:val="clear" w:fill="1A2A4A"/>
          </w:tcPr>
          <w:p>
            <w:r>
              <w:rPr>
                <w:b/>
                <w:color w:val="FFFFFF"/>
                <w:sz w:val="17"/>
              </w:rPr>
              <w:t>Protocol</w:t>
            </w:r>
          </w:p>
        </w:tc>
        <w:tc>
          <w:tcPr>
            <w:tcW w:type="dxa" w:w="1234"/>
            <w:shd w:val="clear" w:fill="1A2A4A"/>
          </w:tcPr>
          <w:p>
            <w:r>
              <w:rPr>
                <w:b/>
                <w:color w:val="FFFFFF"/>
                <w:sz w:val="17"/>
              </w:rPr>
              <w:t>Schema</w:t>
            </w:r>
          </w:p>
        </w:tc>
        <w:tc>
          <w:tcPr>
            <w:tcW w:type="dxa" w:w="1234"/>
            <w:shd w:val="clear" w:fill="1A2A4A"/>
          </w:tcPr>
          <w:p>
            <w:r>
              <w:rPr>
                <w:b/>
                <w:color w:val="FFFFFF"/>
                <w:sz w:val="17"/>
              </w:rPr>
              <w:t>Error handling</w:t>
            </w:r>
          </w:p>
        </w:tc>
        <w:tc>
          <w:tcPr>
            <w:tcW w:type="dxa" w:w="1234"/>
            <w:shd w:val="clear" w:fill="1A2A4A"/>
          </w:tcPr>
          <w:p>
            <w:r>
              <w:rPr>
                <w:b/>
                <w:color w:val="FFFFFF"/>
                <w:sz w:val="17"/>
              </w:rPr>
              <w:t>Conf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API-UWCR-001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Internal navigation (add company)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tblCompany via spCompanyUpsert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HTTP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{companyName, businessLineRef}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Validation error → inline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70%</w:t>
            </w:r>
          </w:p>
        </w:tc>
      </w:tr>
    </w:tbl>
    <w:p>
      <w:r>
        <w:rPr>
          <w:b/>
          <w:i w:val="0"/>
          <w:color w:val="1A4A7A"/>
          <w:sz w:val="20"/>
        </w:rPr>
        <w:t>3.5  FR — Functional Requirements (→ FRD FR-&lt;area&gt;-NNN)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1A2A4A"/>
          </w:tcPr>
          <w:p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1440"/>
            <w:shd w:val="clear" w:fill="1A2A4A"/>
          </w:tcPr>
          <w:p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1440"/>
            <w:shd w:val="clear" w:fill="1A2A4A"/>
          </w:tcPr>
          <w:p>
            <w:r>
              <w:rPr>
                <w:b/>
                <w:color w:val="FFFFFF"/>
                <w:sz w:val="17"/>
              </w:rPr>
              <w:t>Source (BR-UWCR-NNN)</w:t>
            </w:r>
          </w:p>
        </w:tc>
        <w:tc>
          <w:tcPr>
            <w:tcW w:type="dxa" w:w="1440"/>
            <w:shd w:val="clear" w:fill="1A2A4A"/>
          </w:tcPr>
          <w:p>
            <w:r>
              <w:rPr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1440"/>
            <w:shd w:val="clear" w:fill="1A2A4A"/>
          </w:tcPr>
          <w:p>
            <w:r>
              <w:rPr>
                <w:b/>
                <w:color w:val="FFFFFF"/>
                <w:sz w:val="17"/>
              </w:rPr>
              <w:t>Verification (Given/When/Then)</w:t>
            </w:r>
          </w:p>
        </w:tc>
        <w:tc>
          <w:tcPr>
            <w:tcW w:type="dxa" w:w="1440"/>
            <w:shd w:val="clear" w:fill="1A2A4A"/>
          </w:tcPr>
          <w:p>
            <w:r>
              <w:rPr>
                <w:b/>
                <w:color w:val="FFFFFF"/>
                <w:sz w:val="17"/>
              </w:rPr>
              <w:t>Conf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FR-UWCR-001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RM Admin can view insureds missing from the company master and navigate to add them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CMP-UWCR-001; Default Sort Order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Must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Given orphaned insureds exist, When admin opens the list, Then they appear sorted by Name with an Add action.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90%</w:t>
            </w:r>
          </w:p>
        </w:tc>
      </w:tr>
    </w:tbl>
    <w:p>
      <w:r>
        <w:rPr>
          <w:b/>
          <w:i w:val="0"/>
          <w:color w:val="1A4A7A"/>
          <w:sz w:val="20"/>
        </w:rPr>
        <w:t>3.6  WF — Workflows / State Machines (→ service orchestration)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1A2A4A"/>
          </w:tcPr>
          <w:p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1440"/>
            <w:shd w:val="clear" w:fill="1A2A4A"/>
          </w:tcPr>
          <w:p>
            <w:r>
              <w:rPr>
                <w:b/>
                <w:color w:val="FFFFFF"/>
                <w:sz w:val="17"/>
              </w:rPr>
              <w:t>Entity (table.column)</w:t>
            </w:r>
          </w:p>
        </w:tc>
        <w:tc>
          <w:tcPr>
            <w:tcW w:type="dxa" w:w="1440"/>
            <w:shd w:val="clear" w:fill="1A2A4A"/>
          </w:tcPr>
          <w:p>
            <w:r>
              <w:rPr>
                <w:b/>
                <w:color w:val="FFFFFF"/>
                <w:sz w:val="17"/>
              </w:rPr>
              <w:t>States</w:t>
            </w:r>
          </w:p>
        </w:tc>
        <w:tc>
          <w:tcPr>
            <w:tcW w:type="dxa" w:w="1440"/>
            <w:shd w:val="clear" w:fill="1A2A4A"/>
          </w:tcPr>
          <w:p>
            <w:r>
              <w:rPr>
                <w:b/>
                <w:color w:val="FFFFFF"/>
                <w:sz w:val="17"/>
              </w:rPr>
              <w:t>Transitions (from&gt;to:trigger:SP)</w:t>
            </w:r>
          </w:p>
        </w:tc>
        <w:tc>
          <w:tcPr>
            <w:tcW w:type="dxa" w:w="1440"/>
            <w:shd w:val="clear" w:fill="1A2A4A"/>
          </w:tcPr>
          <w:p>
            <w:r>
              <w:rPr>
                <w:b/>
                <w:color w:val="FFFFFF"/>
                <w:sz w:val="17"/>
              </w:rPr>
              <w:t>Events fired</w:t>
            </w:r>
          </w:p>
        </w:tc>
        <w:tc>
          <w:tcPr>
            <w:tcW w:type="dxa" w:w="1440"/>
            <w:shd w:val="clear" w:fill="1A2A4A"/>
          </w:tcPr>
          <w:p>
            <w:r>
              <w:rPr>
                <w:b/>
                <w:color w:val="FFFFFF"/>
                <w:sz w:val="17"/>
              </w:rPr>
              <w:t>Conf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WF-UWCR-001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tblBusinessLine.InsuredStatus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Flagged; Reviewed; Resolved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Flagged&gt;Reviewed:admin opens list; Reviewed&gt;Resolved:company added:spCompanyUpsert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InsuredResolved → queue:recon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75%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8E8"/>
          </w:tcPr>
          <w:p>
            <w:r>
              <w:rPr>
                <w:b/>
                <w:color w:val="7A4000"/>
                <w:sz w:val="19"/>
              </w:rPr>
              <w:t xml:space="preserve">ID NOTE: </w:t>
            </w:r>
            <w:r>
              <w:rPr>
                <w:color w:val="7A4000"/>
                <w:sz w:val="19"/>
              </w:rPr>
              <w:t>re-kb-build re-derives cards under a cite-or-abstain rule: every card must anchor to a source locus (file.txt#L&lt;start&gt;-L&lt;end&gt;) or it is dropped. It mints its own stable IDs — your IDs guide extraction but are not guaranteed verbatim unless you supply a pre-built kb/ tree (see §5).</w:t>
            </w:r>
          </w:p>
        </w:tc>
      </w:tr>
    </w:tbl>
    <w:p/>
    <w:p>
      <w:r>
        <w:rPr>
          <w:b/>
          <w:color w:val="C0302A"/>
          <w:sz w:val="30"/>
        </w:rPr>
        <w:t>4.  Ingestion procedure — the step that actually closes the gap</w:t>
      </w:r>
    </w:p>
    <w:p>
      <w:r>
        <w:rPr>
          <w:b/>
          <w:i w:val="0"/>
          <w:sz w:val="20"/>
        </w:rPr>
        <w:t>Order matters. The SDLC pipeline must run AFTER the KB is built, or the CardStore is empty and only BR carry forward.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A2A4A"/>
          </w:tcPr>
          <w:p>
            <w:r>
              <w:rPr>
                <w:b/>
                <w:color w:val="FFFFFF"/>
                <w:sz w:val="17"/>
              </w:rPr>
              <w:t>Step</w:t>
            </w:r>
          </w:p>
        </w:tc>
        <w:tc>
          <w:tcPr>
            <w:tcW w:type="dxa" w:w="2880"/>
            <w:shd w:val="clear" w:fill="1A2A4A"/>
          </w:tcPr>
          <w:p>
            <w:r>
              <w:rPr>
                <w:b/>
                <w:color w:val="FFFFFF"/>
                <w:sz w:val="17"/>
              </w:rPr>
              <w:t>Action</w:t>
            </w:r>
          </w:p>
        </w:tc>
        <w:tc>
          <w:tcPr>
            <w:tcW w:type="dxa" w:w="2880"/>
            <w:shd w:val="clear" w:fill="1A2A4A"/>
          </w:tcPr>
          <w:p>
            <w:r>
              <w:rPr>
                <w:b/>
                <w:color w:val="FFFFFF"/>
                <w:sz w:val="17"/>
              </w:rPr>
              <w:t>Result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Upload the RED (and companion catalogues) via POST /{project}/documents, document_kind = reverse-engineering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Kept as corpus + chunked into pgvector. BR already map-reduce-ready.</w:t>
            </w:r>
          </w:p>
        </w:tc>
      </w:tr>
      <w:tr>
        <w:tc>
          <w:tcPr>
            <w:tcW w:type="dxa" w:w="2880"/>
            <w:shd w:val="clear" w:fill="EEF2FF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880"/>
            <w:shd w:val="clear" w:fill="EEF2FF"/>
          </w:tcPr>
          <w:p>
            <w:r>
              <w:rPr>
                <w:sz w:val="17"/>
              </w:rPr>
              <w:t>Supply the DB-details document to the AIDLC-db agents (schema-reverse-engineer, procedure-introspector)</w:t>
            </w:r>
          </w:p>
        </w:tc>
        <w:tc>
          <w:tcPr>
            <w:tcW w:type="dxa" w:w="2880"/>
            <w:shd w:val="clear" w:fill="EEF2FF"/>
          </w:tcPr>
          <w:p>
            <w:r>
              <w:rPr>
                <w:sz w:val="17"/>
              </w:rPr>
              <w:t>Produces schema-snapshot.json + SP-catalog.json — the authoritative ⑩⑪ track (not from RED prose).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Run the re-kb-build pipeline over the corpus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kb-build synthesises ENT/BR/FR/SCR/WF/CMP/API cards → publishes kb/ tree to the CardStore.</w:t>
            </w:r>
          </w:p>
        </w:tc>
      </w:tr>
      <w:tr>
        <w:tc>
          <w:tcPr>
            <w:tcW w:type="dxa" w:w="2880"/>
            <w:shd w:val="clear" w:fill="EEF2FF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2880"/>
            <w:shd w:val="clear" w:fill="EEF2FF"/>
          </w:tcPr>
          <w:p>
            <w:r>
              <w:rPr>
                <w:sz w:val="17"/>
              </w:rPr>
              <w:t>Run the SDLC pipeline (uw-cr-global → architecture → mini)</w:t>
            </w:r>
          </w:p>
        </w:tc>
        <w:tc>
          <w:tcPr>
            <w:tcW w:type="dxa" w:w="2880"/>
            <w:shd w:val="clear" w:fill="EEF2FF"/>
          </w:tcPr>
          <w:p>
            <w:r>
              <w:rPr>
                <w:sz w:val="17"/>
              </w:rPr>
              <w:t>_card_context() injects typed cards into every docs stage: PRD, FRD, SDD, LLD/TDD — carrying to UI + API creation.</w:t>
            </w:r>
          </w:p>
        </w:tc>
      </w:tr>
    </w:tbl>
    <w:p>
      <w:r>
        <w:rPr>
          <w:b/>
          <w:color w:val="1A2A4A"/>
          <w:sz w:val="30"/>
        </w:rPr>
        <w:t>5.  Optional — preserving your exact IDs verbatim</w:t>
      </w:r>
    </w:p>
    <w:p>
      <w:r>
        <w:rPr>
          <w:b w:val="0"/>
          <w:i w:val="0"/>
          <w:sz w:val="20"/>
        </w:rPr>
        <w:t>If you need the exact BR-UWCR-001 / ENT-UWCR-012 IDs preserved (not re-minted), supply the knowledge not as a prose RED but as an already-built kb/-shaped tree: cards/&lt;ID&gt;.json|md + graph.json + evidence_map.json. The platform's normalize_kb_layout converts that in place to the canonical knowledge/&lt;kind&gt;/&lt;ID&gt;.md tree, keeping your IDs. This is effectively pre-building the KB offline instead of letting re-kb-build derive it.</w:t>
      </w:r>
    </w:p>
    <w:p>
      <w:r>
        <w:rPr>
          <w:b/>
          <w:color w:val="1A2A4A"/>
          <w:sz w:val="30"/>
        </w:rPr>
        <w:t>6.  What ends up where (quick map)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A2A4A"/>
          </w:tcPr>
          <w:p>
            <w:r>
              <w:rPr>
                <w:b/>
                <w:color w:val="FFFFFF"/>
                <w:sz w:val="17"/>
              </w:rPr>
              <w:t>RED element</w:t>
            </w:r>
          </w:p>
        </w:tc>
        <w:tc>
          <w:tcPr>
            <w:tcW w:type="dxa" w:w="2880"/>
            <w:shd w:val="clear" w:fill="1A2A4A"/>
          </w:tcPr>
          <w:p>
            <w:r>
              <w:rPr>
                <w:b/>
                <w:color w:val="FFFFFF"/>
                <w:sz w:val="17"/>
              </w:rPr>
              <w:t>Becomes</w:t>
            </w:r>
          </w:p>
        </w:tc>
        <w:tc>
          <w:tcPr>
            <w:tcW w:type="dxa" w:w="2880"/>
            <w:shd w:val="clear" w:fill="1A2A4A"/>
          </w:tcPr>
          <w:p>
            <w:r>
              <w:rPr>
                <w:b/>
                <w:color w:val="FFFFFF"/>
                <w:sz w:val="17"/>
              </w:rPr>
              <w:t>Reaches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Rule tables (§2)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PRD business rules (map-reduce 100%)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PRD → FRD → EPIC/Feature/Story → TDD</w:t>
            </w:r>
          </w:p>
        </w:tc>
      </w:tr>
      <w:tr>
        <w:tc>
          <w:tcPr>
            <w:tcW w:type="dxa" w:w="2880"/>
            <w:shd w:val="clear" w:fill="EEF2FF"/>
          </w:tcPr>
          <w:p>
            <w:r>
              <w:rPr>
                <w:sz w:val="17"/>
              </w:rPr>
              <w:t>ENT / CMP / SCR / API / FR / WF tables (§3) + re-kb-build</w:t>
            </w:r>
          </w:p>
        </w:tc>
        <w:tc>
          <w:tcPr>
            <w:tcW w:type="dxa" w:w="2880"/>
            <w:shd w:val="clear" w:fill="EEF2FF"/>
          </w:tcPr>
          <w:p>
            <w:r>
              <w:rPr>
                <w:sz w:val="17"/>
              </w:rPr>
              <w:t>Typed cards in CardStore</w:t>
            </w:r>
          </w:p>
        </w:tc>
        <w:tc>
          <w:tcPr>
            <w:tcW w:type="dxa" w:w="2880"/>
            <w:shd w:val="clear" w:fill="EEF2FF"/>
          </w:tcPr>
          <w:p>
            <w:r>
              <w:rPr>
                <w:sz w:val="17"/>
              </w:rPr>
              <w:t>_card_context() → PRD, FRD, SDD, LLD/TDD (UI + API)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DB-details doc (§4 step 2)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schema-snapshot.json / SP-catalog.json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M1 TDD design + EA2 DB integration (DAO gen)</w:t>
            </w:r>
          </w:p>
        </w:tc>
      </w:tr>
    </w:tbl>
    <w:p>
      <w:r>
        <w:rPr>
          <w:b/>
          <w:color w:val="1A2A4A"/>
          <w:sz w:val="30"/>
        </w:rPr>
        <w:t>7.  Card Type → Respective Pipeline Stages</w:t>
      </w:r>
    </w:p>
    <w:p>
      <w:r>
        <w:rPr>
          <w:b w:val="0"/>
          <w:i w:val="0"/>
          <w:sz w:val="19"/>
        </w:rPr>
        <w:t>Cards are injected (via _card_context) ONLY into docs-target stages — Global G1–G6, Architecture A1–A4, and Mini M1 (LLD/TDDs); each stage pulls the cards relevant to it.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8E8"/>
          </w:tcPr>
          <w:p>
            <w:r>
              <w:rPr>
                <w:b/>
                <w:color w:val="7A4000"/>
                <w:sz w:val="19"/>
              </w:rPr>
              <w:t xml:space="preserve">NO INJECTION: </w:t>
            </w:r>
            <w:r>
              <w:rPr>
                <w:color w:val="7A4000"/>
                <w:sz w:val="19"/>
              </w:rPr>
              <w:t>NO card injection at M2 UI-code, M3 API-code, M4 Security-OPA, M5 API-test, M6 UI-smoke, or any Epic-Assembler stage. They build from the TDDs + domain-pack, so a card must land in the M1 TDD to influence generated code.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A2A4A"/>
          </w:tcPr>
          <w:p>
            <w:r>
              <w:rPr>
                <w:b/>
                <w:color w:val="FFFFFF"/>
                <w:sz w:val="17"/>
              </w:rPr>
              <w:t>Card</w:t>
            </w:r>
          </w:p>
        </w:tc>
        <w:tc>
          <w:tcPr>
            <w:tcW w:type="dxa" w:w="2160"/>
            <w:shd w:val="clear" w:fill="1A2A4A"/>
          </w:tcPr>
          <w:p>
            <w:r>
              <w:rPr>
                <w:b/>
                <w:color w:val="FFFFFF"/>
                <w:sz w:val="17"/>
              </w:rPr>
              <w:t>Injected at (docs stages)</w:t>
            </w:r>
          </w:p>
        </w:tc>
        <w:tc>
          <w:tcPr>
            <w:tcW w:type="dxa" w:w="2160"/>
            <w:shd w:val="clear" w:fill="1A2A4A"/>
          </w:tcPr>
          <w:p>
            <w:r>
              <w:rPr>
                <w:b/>
                <w:color w:val="FFFFFF"/>
                <w:sz w:val="17"/>
              </w:rPr>
              <w:t>Primary home stage</w:t>
            </w:r>
          </w:p>
        </w:tc>
        <w:tc>
          <w:tcPr>
            <w:tcW w:type="dxa" w:w="2160"/>
            <w:shd w:val="clear" w:fill="1A2A4A"/>
          </w:tcPr>
          <w:p>
            <w:r>
              <w:rPr>
                <w:b/>
                <w:color w:val="FFFFFF"/>
                <w:sz w:val="17"/>
              </w:rPr>
              <w:t>Ultimately builds (via TDD)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FR — Functional Requirement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G1, G2, G3–G5, A-tier, M1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G2 FRD (FR-&lt;area&gt;-nnn)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Drives EPIC/Feature/Story → M1 TDDs</w:t>
            </w:r>
          </w:p>
        </w:tc>
      </w:tr>
      <w:tr>
        <w:tc>
          <w:tcPr>
            <w:tcW w:type="dxa" w:w="2160"/>
            <w:shd w:val="clear" w:fill="EEF2FF"/>
          </w:tcPr>
          <w:p>
            <w:r>
              <w:rPr>
                <w:sz w:val="17"/>
              </w:rPr>
              <w:t>SCR — Screen / UI</w:t>
            </w:r>
          </w:p>
        </w:tc>
        <w:tc>
          <w:tcPr>
            <w:tcW w:type="dxa" w:w="2160"/>
            <w:shd w:val="clear" w:fill="EEF2FF"/>
          </w:tcPr>
          <w:p>
            <w:r>
              <w:rPr>
                <w:sz w:val="17"/>
              </w:rPr>
              <w:t>G2, A3, M1</w:t>
            </w:r>
          </w:p>
        </w:tc>
        <w:tc>
          <w:tcPr>
            <w:tcW w:type="dxa" w:w="2160"/>
            <w:shd w:val="clear" w:fill="EEF2FF"/>
          </w:tcPr>
          <w:p>
            <w:r>
              <w:rPr>
                <w:sz w:val="17"/>
              </w:rPr>
              <w:t>G2 FRD + M1 UI-TDD</w:t>
            </w:r>
          </w:p>
        </w:tc>
        <w:tc>
          <w:tcPr>
            <w:tcW w:type="dxa" w:w="2160"/>
            <w:shd w:val="clear" w:fill="EEF2FF"/>
          </w:tcPr>
          <w:p>
            <w:r>
              <w:rPr>
                <w:sz w:val="17"/>
              </w:rPr>
              <w:t>M2 UI-code (Angular)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CMP — Component / Service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A3, M1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A3 SDD + M1 Service-TDD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M3 API-code (Spring Boot)</w:t>
            </w:r>
          </w:p>
        </w:tc>
      </w:tr>
      <w:tr>
        <w:tc>
          <w:tcPr>
            <w:tcW w:type="dxa" w:w="2160"/>
            <w:shd w:val="clear" w:fill="EEF2FF"/>
          </w:tcPr>
          <w:p>
            <w:r>
              <w:rPr>
                <w:sz w:val="17"/>
              </w:rPr>
              <w:t>ENT — Data Entity</w:t>
            </w:r>
          </w:p>
        </w:tc>
        <w:tc>
          <w:tcPr>
            <w:tcW w:type="dxa" w:w="2160"/>
            <w:shd w:val="clear" w:fill="EEF2FF"/>
          </w:tcPr>
          <w:p>
            <w:r>
              <w:rPr>
                <w:sz w:val="17"/>
              </w:rPr>
              <w:t>A3, M1</w:t>
            </w:r>
          </w:p>
        </w:tc>
        <w:tc>
          <w:tcPr>
            <w:tcW w:type="dxa" w:w="2160"/>
            <w:shd w:val="clear" w:fill="EEF2FF"/>
          </w:tcPr>
          <w:p>
            <w:r>
              <w:rPr>
                <w:sz w:val="17"/>
              </w:rPr>
              <w:t>A3 SDD + M1 Service-TDD</w:t>
            </w:r>
          </w:p>
        </w:tc>
        <w:tc>
          <w:tcPr>
            <w:tcW w:type="dxa" w:w="2160"/>
            <w:shd w:val="clear" w:fill="EEF2FF"/>
          </w:tcPr>
          <w:p>
            <w:r>
              <w:rPr>
                <w:sz w:val="17"/>
              </w:rPr>
              <w:t>M3 DAO (authoritative = schema-snapshot.json)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API — Integration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A1, A3, M1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A3 SDD + M1 Service-TDD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M3 messaging / integration</w:t>
            </w:r>
          </w:p>
        </w:tc>
      </w:tr>
      <w:tr>
        <w:tc>
          <w:tcPr>
            <w:tcW w:type="dxa" w:w="2160"/>
            <w:shd w:val="clear" w:fill="EEF2FF"/>
          </w:tcPr>
          <w:p>
            <w:r>
              <w:rPr>
                <w:sz w:val="17"/>
              </w:rPr>
              <w:t>WF — Workflow / State Machine</w:t>
            </w:r>
          </w:p>
        </w:tc>
        <w:tc>
          <w:tcPr>
            <w:tcW w:type="dxa" w:w="2160"/>
            <w:shd w:val="clear" w:fill="EEF2FF"/>
          </w:tcPr>
          <w:p>
            <w:r>
              <w:rPr>
                <w:sz w:val="17"/>
              </w:rPr>
              <w:t>G2, A3, M1</w:t>
            </w:r>
          </w:p>
        </w:tc>
        <w:tc>
          <w:tcPr>
            <w:tcW w:type="dxa" w:w="2160"/>
            <w:shd w:val="clear" w:fill="EEF2FF"/>
          </w:tcPr>
          <w:p>
            <w:r>
              <w:rPr>
                <w:sz w:val="17"/>
              </w:rPr>
              <w:t>A3 SDD + M1 Service-TDD</w:t>
            </w:r>
          </w:p>
        </w:tc>
        <w:tc>
          <w:tcPr>
            <w:tcW w:type="dxa" w:w="2160"/>
            <w:shd w:val="clear" w:fill="EEF2FF"/>
          </w:tcPr>
          <w:p>
            <w:r>
              <w:rPr>
                <w:sz w:val="17"/>
              </w:rPr>
              <w:t>M3 async / batch / orchestration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BR — Business Rule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G1, G2, M1 (M4 via business-rules.md)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G1 PRD + 100% map-reduce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Service business logic + M4 OPA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0F0"/>
          </w:tcPr>
          <w:p>
            <w:r>
              <w:rPr>
                <w:b/>
                <w:color w:val="C0302A"/>
                <w:sz w:val="19"/>
              </w:rPr>
              <w:t xml:space="preserve">COMPLETENESS: </w:t>
            </w:r>
            <w:r>
              <w:rPr>
                <w:color w:val="C0302A"/>
                <w:sz w:val="19"/>
              </w:rPr>
              <w:t>Injection is relevance-gated top-K for the six non-BR types (not exhaustive). Only BR gets 100% coverage (map-reduce at PRD). Well-scoped cards + good per-stage retrieval_queries decide what surfaces. Requires the CardStore to exist (run re-kb-build).</w:t>
            </w:r>
          </w:p>
        </w:tc>
      </w:tr>
    </w:tbl>
    <w:p/>
    <w:p/>
    <w:p>
      <w:pPr>
        <w:jc w:val="center"/>
      </w:pPr>
      <w:r>
        <w:rPr>
          <w:color w:val="5C6480"/>
          <w:sz w:val="16"/>
        </w:rPr>
        <w:t>genai-aig-core-aidlc-platform  |  RED Authoring Format Guide  |  verified against source code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