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6B8798"/>
          <w:sz w:val="15"/>
        </w:rPr>
        <w:t>WEBSITE REVIEW • SEO • ENGAGEMENT</w:t>
      </w:r>
    </w:p>
    <w:p>
      <w:pPr>
        <w:spacing w:after="20"/>
        <w:jc w:val="center"/>
      </w:pPr>
      <w:r>
        <w:rPr>
          <w:b/>
          <w:color w:val="17324D"/>
          <w:sz w:val="44"/>
        </w:rPr>
        <w:t>Website Review &amp; Improvement Recommendations</w:t>
      </w:r>
    </w:p>
    <w:p>
      <w:pPr>
        <w:jc w:val="center"/>
      </w:pPr>
      <w:r>
        <w:rPr>
          <w:b/>
          <w:color w:val="2B6178"/>
          <w:sz w:val="28"/>
        </w:rPr>
        <w:t>OrphanHealthcare</w:t>
      </w:r>
    </w:p>
    <w:p>
      <w:pPr>
        <w:jc w:val="center"/>
      </w:pPr>
      <w:r>
        <w:rPr>
          <w:color w:val="6B6F73"/>
          <w:sz w:val="17"/>
        </w:rPr>
        <w:t>Prepared for Frank Grossmann  |  orphanhealthcare.net</w:t>
      </w:r>
    </w:p>
    <w:tbl>
      <w:tblPr>
        <w:tblW w:type="auto" w:w="0"/>
        <w:jc w:val="center"/>
        <w:tblLook w:firstColumn="1" w:firstRow="1" w:lastColumn="0" w:lastRow="0" w:noHBand="0" w:noVBand="1" w:val="04A0"/>
      </w:tblPr>
      <w:tblGrid>
        <w:gridCol w:w="10224"/>
      </w:tblGrid>
      <w:tr>
        <w:tc>
          <w:tcPr>
            <w:tcW w:type="dxa" w:w="10224"/>
            <w:shd w:fill="EEF5F7"/>
            <w:vAlign w:val="center"/>
          </w:tcPr>
          <w:p>
            <w:pPr>
              <w:spacing w:after="20"/>
              <w:ind w:left="115" w:right="115"/>
            </w:pPr>
            <w:r/>
            <w:r>
              <w:rPr>
                <w:b w:val="0"/>
                <w:color w:val="17324D"/>
                <w:sz w:val="18"/>
              </w:rPr>
              <w:t>Objective: strengthen organic visibility, improve visitor journeys, and convert more relevant traffic into donations, support requests, registrations and direct enquiries.</w:t>
            </w:r>
          </w:p>
        </w:tc>
      </w:tr>
    </w:tbl>
    <w:p>
      <w:pPr>
        <w:pStyle w:val="Heading1"/>
      </w:pPr>
      <w:r>
        <w:t>Introduction</w:t>
      </w:r>
    </w:p>
    <w:p>
      <w:r>
        <w:t>This review highlights practical opportunities to improve OrphanHealthcare’s user experience, online visibility, visitor engagement and conversion journey. The current website already communicates a clear mission around rare diseases, family support, research and social impact. The next step is to connect SEO-driven traffic with a more intentional, guided visitor journey.</w:t>
      </w:r>
      <w:r>
        <w:t xml:space="preserve"> The recommendations below are designed as a focused improvement roadmap rather than a technical audit.</w:t>
      </w:r>
    </w:p>
    <w:p>
      <w:pPr>
        <w:pStyle w:val="Heading1"/>
      </w:pPr>
      <w:r>
        <w:t>Positive Observations</w:t>
      </w:r>
    </w:p>
    <w:p>
      <w:pPr>
        <w:pStyle w:val="ListBullet"/>
        <w:spacing w:after="40"/>
        <w:ind w:left="259"/>
      </w:pPr>
      <w:r>
        <w:t>Clear mission and purpose focused on people and families affected by rare diseases.</w:t>
      </w:r>
    </w:p>
    <w:p>
      <w:pPr>
        <w:pStyle w:val="ListBullet"/>
        <w:spacing w:after="40"/>
        <w:ind w:left="259"/>
      </w:pPr>
      <w:r>
        <w:t>Strong rare-disease awareness, education and family-support positioning.</w:t>
      </w:r>
    </w:p>
    <w:p>
      <w:pPr>
        <w:pStyle w:val="ListBullet"/>
        <w:spacing w:after="40"/>
        <w:ind w:left="259"/>
      </w:pPr>
      <w:r>
        <w:t>Professional organization profile with a credible history and visible leadership.</w:t>
      </w:r>
    </w:p>
    <w:p>
      <w:pPr>
        <w:pStyle w:val="ListBullet"/>
        <w:spacing w:after="40"/>
        <w:ind w:left="259"/>
      </w:pPr>
      <w:r>
        <w:t>Valuable educational, research, project and community initiatives.</w:t>
      </w:r>
    </w:p>
    <w:p>
      <w:pPr>
        <w:pStyle w:val="ListBullet"/>
        <w:spacing w:after="40"/>
        <w:ind w:left="259"/>
      </w:pPr>
      <w:r>
        <w:t>Good foundation for future growth through content, SEO, donations, partnerships and digital engagement.</w:t>
      </w:r>
    </w:p>
    <w:p>
      <w:pPr>
        <w:pStyle w:val="Heading1"/>
      </w:pPr>
      <w:r>
        <w:t>Website Improvement Recommendations</w:t>
      </w:r>
    </w:p>
    <w:p>
      <w:pPr>
        <w:pStyle w:val="Heading2"/>
      </w:pPr>
      <w:r>
        <w:t>Homepage &amp; User Experience</w:t>
      </w:r>
    </w:p>
    <w:p>
      <w:pPr>
        <w:pStyle w:val="ListBullet"/>
        <w:spacing w:after="40"/>
        <w:ind w:left="259"/>
      </w:pPr>
      <w:r>
        <w:t>Strengthen the first-screen value proposition so visitors immediately understand who OrphanHealthcare helps, what it does and how they can help.</w:t>
      </w:r>
    </w:p>
    <w:p>
      <w:pPr>
        <w:pStyle w:val="ListBullet"/>
        <w:spacing w:after="40"/>
        <w:ind w:left="259"/>
      </w:pPr>
      <w:r>
        <w:t>Use clearer primary calls-to-action such as “Donate”, “I Need Support”, “Support Our Work” and “Contact Us”.</w:t>
      </w:r>
    </w:p>
    <w:p>
      <w:pPr>
        <w:pStyle w:val="ListBullet"/>
        <w:spacing w:after="40"/>
        <w:ind w:left="259"/>
      </w:pPr>
      <w:r>
        <w:t>Improve content hierarchy, readability and visual scanning with shorter sections, stronger headings and impact-led storytelling.</w:t>
      </w:r>
    </w:p>
    <w:p>
      <w:pPr>
        <w:pStyle w:val="ListBullet"/>
        <w:spacing w:after="40"/>
        <w:ind w:left="259"/>
      </w:pPr>
      <w:r>
        <w:t>Prioritize a mobile-first experience with clear buttons, readable text and simplified navigation.</w:t>
      </w:r>
    </w:p>
    <w:p>
      <w:pPr>
        <w:pStyle w:val="ListBullet"/>
        <w:spacing w:after="40"/>
        <w:ind w:left="259"/>
      </w:pPr>
      <w:r>
        <w:t>Keep the main navigation focused on key journeys: About, Support, Projects, Research, Donate, Shop, News and Contact.</w:t>
      </w:r>
    </w:p>
    <w:p>
      <w:pPr>
        <w:pStyle w:val="Heading2"/>
      </w:pPr>
      <w:r>
        <w:t>Lead Generation</w:t>
      </w:r>
    </w:p>
    <w:p>
      <w:pPr>
        <w:pStyle w:val="ListBullet"/>
        <w:spacing w:after="40"/>
        <w:ind w:left="259"/>
      </w:pPr>
      <w:r>
        <w:t>Place consultation/contact forms on relevant service and support pages.</w:t>
      </w:r>
    </w:p>
    <w:p>
      <w:pPr>
        <w:pStyle w:val="ListBullet"/>
        <w:spacing w:after="40"/>
        <w:ind w:left="259"/>
      </w:pPr>
      <w:r>
        <w:t>Add a simple newsletter signup with a clear reason to subscribe.</w:t>
      </w:r>
    </w:p>
    <w:p>
      <w:pPr>
        <w:pStyle w:val="ListBullet"/>
        <w:spacing w:after="40"/>
        <w:ind w:left="259"/>
      </w:pPr>
      <w:r>
        <w:t>Use a sticky contact/help button on mobile and desktop.</w:t>
      </w:r>
    </w:p>
    <w:p>
      <w:pPr>
        <w:pStyle w:val="ListBullet"/>
        <w:spacing w:after="40"/>
        <w:ind w:left="259"/>
      </w:pPr>
      <w:r>
        <w:t>Create a dedicated Contact/Request Support pathway that reduces unnecessary steps.</w:t>
      </w:r>
    </w:p>
    <w:p>
      <w:pPr>
        <w:pStyle w:val="Heading2"/>
      </w:pPr>
      <w:r>
        <w:t>Trust &amp; Credibility</w:t>
      </w:r>
    </w:p>
    <w:p>
      <w:pPr>
        <w:pStyle w:val="ListBullet"/>
        <w:spacing w:after="40"/>
        <w:ind w:left="259"/>
      </w:pPr>
      <w:r>
        <w:t>Create a stronger Founder/Leadership profile for Dr. Frank Grossmann and the wider team.</w:t>
      </w:r>
    </w:p>
    <w:p>
      <w:pPr>
        <w:pStyle w:val="ListBullet"/>
        <w:spacing w:after="40"/>
        <w:ind w:left="259"/>
      </w:pPr>
      <w:r>
        <w:t>Add selected testimonials, family stories and measurable success stories.</w:t>
      </w:r>
    </w:p>
    <w:p>
      <w:pPr>
        <w:pStyle w:val="ListBullet"/>
        <w:spacing w:after="40"/>
        <w:ind w:left="259"/>
      </w:pPr>
      <w:r>
        <w:t>Display relevant partner, association, certification and affiliation logos with short explanations.</w:t>
      </w:r>
    </w:p>
    <w:p>
      <w:pPr>
        <w:pStyle w:val="ListBullet"/>
        <w:spacing w:after="40"/>
        <w:ind w:left="259"/>
      </w:pPr>
      <w:r>
        <w:t>Make organizational status, transparency and impact information easy to find.</w:t>
      </w:r>
    </w:p>
    <w:p>
      <w:pPr>
        <w:pStyle w:val="Heading2"/>
      </w:pPr>
      <w:r>
        <w:t>Engagement Features</w:t>
      </w:r>
    </w:p>
    <w:p>
      <w:pPr>
        <w:pStyle w:val="ListBullet"/>
        <w:spacing w:after="40"/>
        <w:ind w:left="259"/>
      </w:pPr>
      <w:r>
        <w:t>Deploy an AI chatbot or live-chat experience to guide visitors to the correct next step.</w:t>
      </w:r>
    </w:p>
    <w:p>
      <w:pPr>
        <w:pStyle w:val="ListBullet"/>
        <w:spacing w:after="40"/>
        <w:ind w:left="259"/>
      </w:pPr>
      <w:r>
        <w:t>Add a concise FAQ for common donor, family, partner and support questions.</w:t>
      </w:r>
    </w:p>
    <w:p>
      <w:pPr>
        <w:pStyle w:val="ListBullet"/>
        <w:spacing w:after="40"/>
        <w:ind w:left="259"/>
      </w:pPr>
      <w:r>
        <w:t>Build a consistent Blog/Insights section around rare diseases, patient advocacy and community impact.</w:t>
      </w:r>
    </w:p>
    <w:p>
      <w:pPr>
        <w:pStyle w:val="ListBullet"/>
        <w:spacing w:after="40"/>
        <w:ind w:left="259"/>
      </w:pPr>
      <w:r>
        <w:t>Create a Resource Center for guides, stories, educational materials and support information.</w:t>
      </w:r>
    </w:p>
    <w:p>
      <w:r>
        <w:br w:type="page"/>
      </w:r>
    </w:p>
    <w:p>
      <w:pPr>
        <w:pStyle w:val="Heading1"/>
      </w:pPr>
      <w:r>
        <w:t>Social Impact &amp; Donation Experience</w:t>
      </w:r>
    </w:p>
    <w:p>
      <w:r>
        <w:t>The current website already connects the shop and donation experience with the organization’s social mission. The opportunity is to make that connection more visible, measurable and emotionally compelling. The homepage currently presents Shop, Spenden and project content, creating a strong base for a clearer impact journey.</w:t>
      </w:r>
    </w:p>
    <w:p>
      <w:pPr>
        <w:pStyle w:val="ListBullet"/>
        <w:spacing w:after="40"/>
        <w:ind w:left="259"/>
      </w:pPr>
      <w:r>
        <w:t>Add an “Impact of Your Purchase” section explaining how products and purchases support children, families, education and programs.</w:t>
      </w:r>
    </w:p>
    <w:p>
      <w:pPr>
        <w:pStyle w:val="ListBullet"/>
        <w:spacing w:after="40"/>
        <w:ind w:left="259"/>
      </w:pPr>
      <w:r>
        <w:t>Show beneficiary stories and project outcomes using concise, human-centered storytelling.</w:t>
      </w:r>
    </w:p>
    <w:p>
      <w:pPr>
        <w:pStyle w:val="ListBullet"/>
        <w:spacing w:after="40"/>
        <w:ind w:left="259"/>
      </w:pPr>
      <w:r>
        <w:t>Highlight social-impact achievements with simple numbers, milestones and recent outcomes.</w:t>
      </w:r>
    </w:p>
    <w:p>
      <w:pPr>
        <w:pStyle w:val="ListBullet"/>
        <w:spacing w:after="40"/>
        <w:ind w:left="259"/>
      </w:pPr>
      <w:r>
        <w:t>Increase visibility of donation opportunities across high-intent pages, not only the donation page.</w:t>
      </w:r>
    </w:p>
    <w:p>
      <w:pPr>
        <w:pStyle w:val="ListBullet"/>
        <w:spacing w:after="40"/>
        <w:ind w:left="259"/>
      </w:pPr>
      <w:r>
        <w:t>Add a simple impact dashboard showing initiatives, people/families reached, projects supported and current priorities.</w:t>
      </w:r>
    </w:p>
    <w:p>
      <w:r>
        <w:rPr>
          <w:b/>
        </w:rPr>
        <w:t xml:space="preserve">Expected benefit: </w:t>
      </w:r>
      <w:r>
        <w:t>stronger trust, higher engagement, clearer transparency and a more compelling reason for visitors to donate or support the mission.</w:t>
      </w:r>
    </w:p>
    <w:p>
      <w:pPr>
        <w:pStyle w:val="Heading1"/>
      </w:pPr>
      <w:r>
        <w:t>SEO Recommendations</w:t>
      </w:r>
    </w:p>
    <w:p>
      <w:pPr>
        <w:pStyle w:val="Heading2"/>
      </w:pPr>
      <w:r>
        <w:t>On-Page SEO</w:t>
      </w:r>
    </w:p>
    <w:p>
      <w:pPr>
        <w:pStyle w:val="ListBullet"/>
        <w:spacing w:after="40"/>
        <w:ind w:left="259"/>
      </w:pPr>
      <w:r>
        <w:t>Optimize page titles and meta descriptions around search intent and target audiences.</w:t>
      </w:r>
    </w:p>
    <w:p>
      <w:pPr>
        <w:pStyle w:val="ListBullet"/>
        <w:spacing w:after="40"/>
        <w:ind w:left="259"/>
      </w:pPr>
      <w:r>
        <w:t>Improve H1/H2 heading structure so each page has a clear topic and content hierarchy.</w:t>
      </w:r>
    </w:p>
    <w:p>
      <w:pPr>
        <w:pStyle w:val="ListBullet"/>
        <w:spacing w:after="40"/>
        <w:ind w:left="259"/>
      </w:pPr>
      <w:r>
        <w:t>Add descriptive image alt text and ensure important images support the page topic.</w:t>
      </w:r>
    </w:p>
    <w:p>
      <w:pPr>
        <w:pStyle w:val="ListBullet"/>
        <w:spacing w:after="40"/>
        <w:ind w:left="259"/>
      </w:pPr>
      <w:r>
        <w:t>Strengthen internal links between educational content, projects, support resources, donation pages and related stories.</w:t>
      </w:r>
    </w:p>
    <w:p>
      <w:pPr>
        <w:pStyle w:val="ListBullet"/>
        <w:spacing w:after="40"/>
        <w:ind w:left="259"/>
      </w:pPr>
      <w:r>
        <w:t>Create focused landing pages for high-value topics such as rare disease support, patient advocacy and caregiver resources.</w:t>
      </w:r>
    </w:p>
    <w:p>
      <w:pPr>
        <w:pStyle w:val="Heading2"/>
      </w:pPr>
      <w:r>
        <w:t>Technical SEO</w:t>
      </w:r>
    </w:p>
    <w:p>
      <w:pPr>
        <w:pStyle w:val="ListBullet"/>
        <w:spacing w:after="40"/>
        <w:ind w:left="259"/>
      </w:pPr>
      <w:r>
        <w:t>Maintain a clean XML sitemap and submit it through Google Search Console.</w:t>
      </w:r>
    </w:p>
    <w:p>
      <w:pPr>
        <w:pStyle w:val="ListBullet"/>
        <w:spacing w:after="40"/>
        <w:ind w:left="259"/>
      </w:pPr>
      <w:r>
        <w:t>Set up/verify Google Search Console and monitor indexing, queries, clicks and page performance.</w:t>
      </w:r>
    </w:p>
    <w:p>
      <w:pPr>
        <w:pStyle w:val="ListBullet"/>
        <w:spacing w:after="40"/>
        <w:ind w:left="259"/>
      </w:pPr>
      <w:r>
        <w:t>Prioritize mobile optimization, Core Web Vitals and page-speed improvements.</w:t>
      </w:r>
    </w:p>
    <w:p>
      <w:pPr>
        <w:pStyle w:val="ListBullet"/>
        <w:spacing w:after="40"/>
        <w:ind w:left="259"/>
      </w:pPr>
      <w:r>
        <w:t>Review broken links, redirects, canonicalization, structured data and indexability as part of the technical SEO process.</w:t>
      </w:r>
    </w:p>
    <w:p>
      <w:pPr>
        <w:pStyle w:val="Heading2"/>
      </w:pPr>
      <w:r>
        <w:t>Content Opportunities</w:t>
      </w:r>
    </w:p>
    <w:p>
      <w:pPr>
        <w:pStyle w:val="ListBullet"/>
        <w:spacing w:after="40"/>
        <w:ind w:left="259"/>
      </w:pPr>
      <w:r>
        <w:t>Rare Disease Awareness</w:t>
      </w:r>
    </w:p>
    <w:p>
      <w:pPr>
        <w:pStyle w:val="ListBullet"/>
        <w:spacing w:after="40"/>
        <w:ind w:left="259"/>
      </w:pPr>
      <w:r>
        <w:t>Patient Advocacy</w:t>
      </w:r>
    </w:p>
    <w:p>
      <w:pPr>
        <w:pStyle w:val="ListBullet"/>
        <w:spacing w:after="40"/>
        <w:ind w:left="259"/>
      </w:pPr>
      <w:r>
        <w:t>Caregiver Resources</w:t>
      </w:r>
    </w:p>
    <w:p>
      <w:pPr>
        <w:pStyle w:val="ListBullet"/>
        <w:spacing w:after="40"/>
        <w:ind w:left="259"/>
      </w:pPr>
      <w:r>
        <w:t>Community Support Programs</w:t>
      </w:r>
    </w:p>
    <w:p>
      <w:pPr>
        <w:pStyle w:val="ListBullet"/>
        <w:spacing w:after="40"/>
        <w:ind w:left="259"/>
      </w:pPr>
      <w:r>
        <w:t>Healthcare Education</w:t>
      </w:r>
    </w:p>
    <w:p>
      <w:pPr>
        <w:pStyle w:val="ListBullet"/>
        <w:spacing w:after="40"/>
        <w:ind w:left="259"/>
      </w:pPr>
      <w:r>
        <w:t>Success Stories &amp; Impact Stories</w:t>
      </w:r>
    </w:p>
    <w:p>
      <w:pPr>
        <w:pStyle w:val="ListBullet"/>
        <w:spacing w:after="40"/>
        <w:ind w:left="259"/>
      </w:pPr>
      <w:r>
        <w:t>Research &amp; Clinical Trial Education</w:t>
      </w:r>
    </w:p>
    <w:p>
      <w:pPr>
        <w:pStyle w:val="ListBullet"/>
        <w:spacing w:after="40"/>
        <w:ind w:left="259"/>
      </w:pPr>
      <w:r>
        <w:t>International Rare Disease Partnerships</w:t>
      </w:r>
    </w:p>
    <w:p>
      <w:pPr>
        <w:pStyle w:val="Heading1"/>
      </w:pPr>
      <w:r>
        <w:t>SEO → Interactive Chatbot → Conversion Journey</w:t>
      </w:r>
    </w:p>
    <w:p>
      <w:r>
        <w:t>A key recommendation is to treat SEO and the chatbot as one connected conversion system. SEO brings qualified visitors to relevant content; the chatbot then identifies visitor intent and guides each person toward the most appropriate action.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vAlign w:val="center"/>
          </w:tcPr>
          <w:p>
            <w:pPr>
              <w:spacing w:after="20"/>
            </w:pPr>
            <w:r/>
            <w:r>
              <w:rPr>
                <w:b/>
                <w:color w:val="FFFFFF"/>
                <w:sz w:val="16"/>
              </w:rPr>
              <w:t>Stage</w:t>
            </w:r>
          </w:p>
        </w:tc>
        <w:tc>
          <w:tcPr>
            <w:tcW w:type="dxa" w:w="2556"/>
            <w:shd w:fill="17324D"/>
            <w:vAlign w:val="center"/>
          </w:tcPr>
          <w:p>
            <w:pPr>
              <w:spacing w:after="20"/>
            </w:pPr>
            <w:r/>
            <w:r>
              <w:rPr>
                <w:b/>
                <w:color w:val="FFFFFF"/>
                <w:sz w:val="16"/>
              </w:rPr>
              <w:t>Visitor Journey</w:t>
            </w:r>
          </w:p>
        </w:tc>
        <w:tc>
          <w:tcPr>
            <w:tcW w:type="dxa" w:w="2556"/>
            <w:shd w:fill="17324D"/>
            <w:vAlign w:val="center"/>
          </w:tcPr>
          <w:p>
            <w:pPr>
              <w:spacing w:after="20"/>
            </w:pPr>
            <w:r/>
            <w:r>
              <w:rPr>
                <w:b/>
                <w:color w:val="FFFFFF"/>
                <w:sz w:val="16"/>
              </w:rPr>
              <w:t>Chatbot Action</w:t>
            </w:r>
          </w:p>
        </w:tc>
        <w:tc>
          <w:tcPr>
            <w:tcW w:type="dxa" w:w="2556"/>
            <w:shd w:fill="17324D"/>
            <w:vAlign w:val="center"/>
          </w:tcPr>
          <w:p>
            <w:pPr>
              <w:spacing w:after="20"/>
            </w:pPr>
            <w:r/>
            <w:r>
              <w:rPr>
                <w:b/>
                <w:color w:val="FFFFFF"/>
                <w:sz w:val="16"/>
              </w:rPr>
              <w:t>Primary Outcome</w:t>
            </w:r>
          </w:p>
        </w:tc>
      </w:tr>
      <w:tr>
        <w:tc>
          <w:tcPr>
            <w:tcW w:type="dxa" w:w="2556"/>
            <w:vAlign w:val="center"/>
          </w:tcPr>
          <w:p>
            <w:pPr>
              <w:spacing w:after="20"/>
            </w:pPr>
            <w:r>
              <w:rPr>
                <w:b/>
              </w:rPr>
            </w:r>
            <w:r>
              <w:rPr>
                <w:b w:val="0"/>
                <w:sz w:val="15"/>
              </w:rPr>
              <w:t>1. SEO Traffic</w:t>
            </w:r>
          </w:p>
        </w:tc>
        <w:tc>
          <w:tcPr>
            <w:tcW w:type="dxa" w:w="2556"/>
            <w:vAlign w:val="center"/>
          </w:tcPr>
          <w:p>
            <w:pPr>
              <w:spacing w:after="20"/>
            </w:pPr>
            <w:r/>
            <w:r>
              <w:rPr>
                <w:b w:val="0"/>
                <w:sz w:val="15"/>
              </w:rPr>
              <w:t>Visitor discovers OrphanHealthcare through Google/search content.</w:t>
            </w:r>
          </w:p>
        </w:tc>
        <w:tc>
          <w:tcPr>
            <w:tcW w:type="dxa" w:w="2556"/>
            <w:vAlign w:val="center"/>
          </w:tcPr>
          <w:p>
            <w:pPr>
              <w:spacing w:after="20"/>
            </w:pPr>
            <w:r/>
            <w:r>
              <w:rPr>
                <w:b w:val="0"/>
                <w:sz w:val="15"/>
              </w:rPr>
              <w:t>Welcome, identify topic/need and offer guided choices.</w:t>
            </w:r>
          </w:p>
        </w:tc>
        <w:tc>
          <w:tcPr>
            <w:tcW w:type="dxa" w:w="2556"/>
            <w:vAlign w:val="center"/>
          </w:tcPr>
          <w:p>
            <w:pPr>
              <w:spacing w:after="20"/>
            </w:pPr>
            <w:r/>
            <w:r>
              <w:rPr>
                <w:b w:val="0"/>
                <w:sz w:val="15"/>
              </w:rPr>
              <w:t>Relevant engagement</w:t>
            </w:r>
          </w:p>
        </w:tc>
      </w:tr>
      <w:tr>
        <w:tc>
          <w:tcPr>
            <w:tcW w:type="dxa" w:w="2556"/>
            <w:vAlign w:val="center"/>
          </w:tcPr>
          <w:p>
            <w:pPr>
              <w:spacing w:after="20"/>
            </w:pPr>
            <w:r>
              <w:rPr>
                <w:b/>
              </w:rPr>
            </w:r>
            <w:r>
              <w:rPr>
                <w:b w:val="0"/>
                <w:sz w:val="15"/>
              </w:rPr>
              <w:t>2. Intent Detection</w:t>
            </w:r>
          </w:p>
        </w:tc>
        <w:tc>
          <w:tcPr>
            <w:tcW w:type="dxa" w:w="2556"/>
            <w:vAlign w:val="center"/>
          </w:tcPr>
          <w:p>
            <w:pPr>
              <w:spacing w:after="20"/>
            </w:pPr>
            <w:r/>
            <w:r>
              <w:rPr>
                <w:b w:val="0"/>
                <w:sz w:val="15"/>
              </w:rPr>
              <w:t>Visitor indicates why they are visiting.</w:t>
            </w:r>
          </w:p>
        </w:tc>
        <w:tc>
          <w:tcPr>
            <w:tcW w:type="dxa" w:w="2556"/>
            <w:vAlign w:val="center"/>
          </w:tcPr>
          <w:p>
            <w:pPr>
              <w:spacing w:after="20"/>
            </w:pPr>
            <w:r/>
            <w:r>
              <w:rPr>
                <w:b w:val="0"/>
                <w:sz w:val="15"/>
              </w:rPr>
              <w:t>Classify as potential Donor, Person/Family Needing Support, or Other/Contact.</w:t>
            </w:r>
          </w:p>
        </w:tc>
        <w:tc>
          <w:tcPr>
            <w:tcW w:type="dxa" w:w="2556"/>
            <w:vAlign w:val="center"/>
          </w:tcPr>
          <w:p>
            <w:pPr>
              <w:spacing w:after="20"/>
            </w:pPr>
            <w:r/>
            <w:r>
              <w:rPr>
                <w:b w:val="0"/>
                <w:sz w:val="15"/>
              </w:rPr>
              <w:t>Correct pathway</w:t>
            </w:r>
          </w:p>
        </w:tc>
      </w:tr>
      <w:tr>
        <w:tc>
          <w:tcPr>
            <w:tcW w:type="dxa" w:w="2556"/>
            <w:vAlign w:val="center"/>
          </w:tcPr>
          <w:p>
            <w:pPr>
              <w:spacing w:after="20"/>
            </w:pPr>
            <w:r>
              <w:rPr>
                <w:b/>
              </w:rPr>
            </w:r>
            <w:r>
              <w:rPr>
                <w:b w:val="0"/>
                <w:sz w:val="15"/>
              </w:rPr>
              <w:t>3A. Donor Path</w:t>
            </w:r>
          </w:p>
        </w:tc>
        <w:tc>
          <w:tcPr>
            <w:tcW w:type="dxa" w:w="2556"/>
            <w:vAlign w:val="center"/>
          </w:tcPr>
          <w:p>
            <w:pPr>
              <w:spacing w:after="20"/>
            </w:pPr>
            <w:r/>
            <w:r>
              <w:rPr>
                <w:b w:val="0"/>
                <w:sz w:val="15"/>
              </w:rPr>
              <w:t>Visitor wants to support the mission.</w:t>
            </w:r>
          </w:p>
        </w:tc>
        <w:tc>
          <w:tcPr>
            <w:tcW w:type="dxa" w:w="2556"/>
            <w:vAlign w:val="center"/>
          </w:tcPr>
          <w:p>
            <w:pPr>
              <w:spacing w:after="20"/>
            </w:pPr>
            <w:r/>
            <w:r>
              <w:rPr>
                <w:b w:val="0"/>
                <w:sz w:val="15"/>
              </w:rPr>
              <w:t>Present relevant impact/test case, explain how support helps, answer questions and build donation intent.</w:t>
            </w:r>
          </w:p>
        </w:tc>
        <w:tc>
          <w:tcPr>
            <w:tcW w:type="dxa" w:w="2556"/>
            <w:vAlign w:val="center"/>
          </w:tcPr>
          <w:p>
            <w:pPr>
              <w:spacing w:after="20"/>
            </w:pPr>
            <w:r/>
            <w:r>
              <w:rPr>
                <w:b w:val="0"/>
                <w:sz w:val="15"/>
              </w:rPr>
              <w:t>Higher donation interest</w:t>
            </w:r>
          </w:p>
        </w:tc>
      </w:tr>
      <w:tr>
        <w:tc>
          <w:tcPr>
            <w:tcW w:type="dxa" w:w="2556"/>
            <w:vAlign w:val="center"/>
          </w:tcPr>
          <w:p>
            <w:pPr>
              <w:spacing w:after="20"/>
            </w:pPr>
            <w:r>
              <w:rPr>
                <w:b/>
              </w:rPr>
            </w:r>
            <w:r>
              <w:rPr>
                <w:b w:val="0"/>
                <w:sz w:val="15"/>
              </w:rPr>
              <w:t>4A. Donation</w:t>
            </w:r>
          </w:p>
        </w:tc>
        <w:tc>
          <w:tcPr>
            <w:tcW w:type="dxa" w:w="2556"/>
            <w:vAlign w:val="center"/>
          </w:tcPr>
          <w:p>
            <w:pPr>
              <w:spacing w:after="20"/>
            </w:pPr>
            <w:r/>
            <w:r>
              <w:rPr>
                <w:b w:val="0"/>
                <w:sz w:val="15"/>
              </w:rPr>
              <w:t>Visitor is ready to contribute.</w:t>
            </w:r>
          </w:p>
        </w:tc>
        <w:tc>
          <w:tcPr>
            <w:tcW w:type="dxa" w:w="2556"/>
            <w:vAlign w:val="center"/>
          </w:tcPr>
          <w:p>
            <w:pPr>
              <w:spacing w:after="20"/>
            </w:pPr>
            <w:r/>
            <w:r>
              <w:rPr>
                <w:b w:val="0"/>
                <w:sz w:val="15"/>
              </w:rPr>
              <w:t>Provide clear CTA to the secure donation/payment page.</w:t>
            </w:r>
          </w:p>
        </w:tc>
        <w:tc>
          <w:tcPr>
            <w:tcW w:type="dxa" w:w="2556"/>
            <w:vAlign w:val="center"/>
          </w:tcPr>
          <w:p>
            <w:pPr>
              <w:spacing w:after="20"/>
            </w:pPr>
            <w:r/>
            <w:r>
              <w:rPr>
                <w:b w:val="0"/>
                <w:sz w:val="15"/>
              </w:rPr>
              <w:t>Donation conversion</w:t>
            </w:r>
          </w:p>
        </w:tc>
      </w:tr>
      <w:tr>
        <w:tc>
          <w:tcPr>
            <w:tcW w:type="dxa" w:w="2556"/>
            <w:vAlign w:val="center"/>
          </w:tcPr>
          <w:p>
            <w:pPr>
              <w:spacing w:after="20"/>
            </w:pPr>
            <w:r>
              <w:rPr>
                <w:b/>
              </w:rPr>
            </w:r>
            <w:r>
              <w:rPr>
                <w:b w:val="0"/>
                <w:sz w:val="15"/>
              </w:rPr>
              <w:t>3B. Support Path</w:t>
            </w:r>
          </w:p>
        </w:tc>
        <w:tc>
          <w:tcPr>
            <w:tcW w:type="dxa" w:w="2556"/>
            <w:vAlign w:val="center"/>
          </w:tcPr>
          <w:p>
            <w:pPr>
              <w:spacing w:after="20"/>
            </w:pPr>
            <w:r/>
            <w:r>
              <w:rPr>
                <w:b w:val="0"/>
                <w:sz w:val="15"/>
              </w:rPr>
              <w:t>Visitor needs help, guidance or support.</w:t>
            </w:r>
          </w:p>
        </w:tc>
        <w:tc>
          <w:tcPr>
            <w:tcW w:type="dxa" w:w="2556"/>
            <w:vAlign w:val="center"/>
          </w:tcPr>
          <w:p>
            <w:pPr>
              <w:spacing w:after="20"/>
            </w:pPr>
            <w:r/>
            <w:r>
              <w:rPr>
                <w:b w:val="0"/>
                <w:sz w:val="15"/>
              </w:rPr>
              <w:t>Explain available support and direct the visitor to the appropriate registration/request form.</w:t>
            </w:r>
          </w:p>
        </w:tc>
        <w:tc>
          <w:tcPr>
            <w:tcW w:type="dxa" w:w="2556"/>
            <w:vAlign w:val="center"/>
          </w:tcPr>
          <w:p>
            <w:pPr>
              <w:spacing w:after="20"/>
            </w:pPr>
            <w:r/>
            <w:r>
              <w:rPr>
                <w:b w:val="0"/>
                <w:sz w:val="15"/>
              </w:rPr>
              <w:t>Qualified support request</w:t>
            </w:r>
          </w:p>
        </w:tc>
      </w:tr>
      <w:tr>
        <w:tc>
          <w:tcPr>
            <w:tcW w:type="dxa" w:w="2556"/>
            <w:vAlign w:val="center"/>
          </w:tcPr>
          <w:p>
            <w:pPr>
              <w:spacing w:after="20"/>
            </w:pPr>
            <w:r>
              <w:rPr>
                <w:b/>
              </w:rPr>
            </w:r>
            <w:r>
              <w:rPr>
                <w:b w:val="0"/>
                <w:sz w:val="15"/>
              </w:rPr>
              <w:t>3C. Other/Partner</w:t>
            </w:r>
          </w:p>
        </w:tc>
        <w:tc>
          <w:tcPr>
            <w:tcW w:type="dxa" w:w="2556"/>
            <w:vAlign w:val="center"/>
          </w:tcPr>
          <w:p>
            <w:pPr>
              <w:spacing w:after="20"/>
            </w:pPr>
            <w:r/>
            <w:r>
              <w:rPr>
                <w:b w:val="0"/>
                <w:sz w:val="15"/>
              </w:rPr>
              <w:t>Visitor has another enquiry.</w:t>
            </w:r>
          </w:p>
        </w:tc>
        <w:tc>
          <w:tcPr>
            <w:tcW w:type="dxa" w:w="2556"/>
            <w:vAlign w:val="center"/>
          </w:tcPr>
          <w:p>
            <w:pPr>
              <w:spacing w:after="20"/>
            </w:pPr>
            <w:r/>
            <w:r>
              <w:rPr>
                <w:b w:val="0"/>
                <w:sz w:val="15"/>
              </w:rPr>
              <w:t>Route to the relevant contact person/team or contact form.</w:t>
            </w:r>
          </w:p>
        </w:tc>
        <w:tc>
          <w:tcPr>
            <w:tcW w:type="dxa" w:w="2556"/>
            <w:vAlign w:val="center"/>
          </w:tcPr>
          <w:p>
            <w:pPr>
              <w:spacing w:after="20"/>
            </w:pPr>
            <w:r/>
            <w:r>
              <w:rPr>
                <w:b w:val="0"/>
                <w:sz w:val="15"/>
              </w:rPr>
              <w:t>Qualified enquiry</w:t>
            </w:r>
          </w:p>
        </w:tc>
      </w:tr>
    </w:tbl>
    <w:p>
      <w:pPr>
        <w:spacing w:before="100"/>
      </w:pPr>
      <w:r>
        <w:rPr>
          <w:b/>
        </w:rPr>
        <w:t xml:space="preserve">Important: </w:t>
      </w:r>
      <w:r>
        <w:t>The chatbot should not replace human support. It should act as an intelligent first layer that identifies intent, provides relevant information and routes the visitor to the correct form, payment page or contact person.</w:t>
      </w:r>
    </w:p>
    <w:p>
      <w:r>
        <w:br w:type="page"/>
      </w:r>
    </w:p>
    <w:p>
      <w:pPr>
        <w:pStyle w:val="Heading1"/>
      </w:pPr>
      <w:r>
        <w:t>Expected Benefits</w:t>
      </w:r>
    </w:p>
    <w:tbl>
      <w:tblPr>
        <w:tblStyle w:val="TableGrid"/>
        <w:tblW w:type="auto" w:w="0"/>
        <w:jc w:val="center"/>
        <w:tblLook w:firstColumn="1" w:firstRow="1" w:lastColumn="0" w:lastRow="0" w:noHBand="0" w:noVBand="1" w:val="04A0"/>
      </w:tblPr>
      <w:tblGrid>
        <w:gridCol w:w="5112"/>
        <w:gridCol w:w="5112"/>
      </w:tblGrid>
      <w:tr>
        <w:tc>
          <w:tcPr>
            <w:tcW w:type="dxa" w:w="5112"/>
            <w:shd w:fill="17324D"/>
            <w:vAlign w:val="center"/>
          </w:tcPr>
          <w:p>
            <w:pPr>
              <w:spacing w:after="20"/>
            </w:pPr>
            <w:r/>
            <w:r>
              <w:rPr>
                <w:b/>
                <w:color w:val="FFFFFF"/>
                <w:sz w:val="18"/>
              </w:rPr>
              <w:t>Area</w:t>
            </w:r>
          </w:p>
        </w:tc>
        <w:tc>
          <w:tcPr>
            <w:tcW w:type="dxa" w:w="5112"/>
            <w:shd w:fill="17324D"/>
            <w:vAlign w:val="center"/>
          </w:tcPr>
          <w:p>
            <w:pPr>
              <w:spacing w:after="20"/>
            </w:pPr>
            <w:r/>
            <w:r>
              <w:rPr>
                <w:b/>
                <w:color w:val="FFFFFF"/>
                <w:sz w:val="18"/>
              </w:rPr>
              <w:t>Expected Benefit</w:t>
            </w:r>
          </w:p>
        </w:tc>
      </w:tr>
      <w:tr>
        <w:tc>
          <w:tcPr>
            <w:tcW w:type="dxa" w:w="5112"/>
            <w:vAlign w:val="center"/>
          </w:tcPr>
          <w:p>
            <w:pPr>
              <w:spacing w:after="20"/>
            </w:pPr>
            <w:r/>
            <w:r>
              <w:rPr>
                <w:b/>
                <w:sz w:val="17"/>
              </w:rPr>
              <w:t>Website Experience</w:t>
            </w:r>
          </w:p>
        </w:tc>
        <w:tc>
          <w:tcPr>
            <w:tcW w:type="dxa" w:w="5112"/>
            <w:vAlign w:val="center"/>
          </w:tcPr>
          <w:p>
            <w:pPr>
              <w:spacing w:after="20"/>
            </w:pPr>
            <w:r/>
            <w:r>
              <w:rPr>
                <w:b w:val="0"/>
                <w:sz w:val="17"/>
              </w:rPr>
              <w:t>Better user engagement and easier navigation</w:t>
            </w:r>
          </w:p>
        </w:tc>
      </w:tr>
      <w:tr>
        <w:tc>
          <w:tcPr>
            <w:tcW w:type="dxa" w:w="5112"/>
            <w:vAlign w:val="center"/>
          </w:tcPr>
          <w:p>
            <w:pPr>
              <w:spacing w:after="20"/>
            </w:pPr>
            <w:r/>
            <w:r>
              <w:rPr>
                <w:b/>
                <w:sz w:val="17"/>
              </w:rPr>
              <w:t>Lead Generation</w:t>
            </w:r>
          </w:p>
        </w:tc>
        <w:tc>
          <w:tcPr>
            <w:tcW w:type="dxa" w:w="5112"/>
            <w:vAlign w:val="center"/>
          </w:tcPr>
          <w:p>
            <w:pPr>
              <w:spacing w:after="20"/>
            </w:pPr>
            <w:r/>
            <w:r>
              <w:rPr>
                <w:b w:val="0"/>
                <w:sz w:val="17"/>
              </w:rPr>
              <w:t>More enquiries, registrations and qualified contacts</w:t>
            </w:r>
          </w:p>
        </w:tc>
      </w:tr>
      <w:tr>
        <w:tc>
          <w:tcPr>
            <w:tcW w:type="dxa" w:w="5112"/>
            <w:vAlign w:val="center"/>
          </w:tcPr>
          <w:p>
            <w:pPr>
              <w:spacing w:after="20"/>
            </w:pPr>
            <w:r/>
            <w:r>
              <w:rPr>
                <w:b/>
                <w:sz w:val="17"/>
              </w:rPr>
              <w:t>SEO</w:t>
            </w:r>
          </w:p>
        </w:tc>
        <w:tc>
          <w:tcPr>
            <w:tcW w:type="dxa" w:w="5112"/>
            <w:vAlign w:val="center"/>
          </w:tcPr>
          <w:p>
            <w:pPr>
              <w:spacing w:after="20"/>
            </w:pPr>
            <w:r/>
            <w:r>
              <w:rPr>
                <w:b w:val="0"/>
                <w:sz w:val="17"/>
              </w:rPr>
              <w:t>Improved organic search visibility and qualified traffic</w:t>
            </w:r>
          </w:p>
        </w:tc>
      </w:tr>
      <w:tr>
        <w:tc>
          <w:tcPr>
            <w:tcW w:type="dxa" w:w="5112"/>
            <w:vAlign w:val="center"/>
          </w:tcPr>
          <w:p>
            <w:pPr>
              <w:spacing w:after="20"/>
            </w:pPr>
            <w:r/>
            <w:r>
              <w:rPr>
                <w:b/>
                <w:sz w:val="17"/>
              </w:rPr>
              <w:t>Trust &amp; Credibility</w:t>
            </w:r>
          </w:p>
        </w:tc>
        <w:tc>
          <w:tcPr>
            <w:tcW w:type="dxa" w:w="5112"/>
            <w:vAlign w:val="center"/>
          </w:tcPr>
          <w:p>
            <w:pPr>
              <w:spacing w:after="20"/>
            </w:pPr>
            <w:r/>
            <w:r>
              <w:rPr>
                <w:b w:val="0"/>
                <w:sz w:val="17"/>
              </w:rPr>
              <w:t>Stronger visitor confidence through proof and transparency</w:t>
            </w:r>
          </w:p>
        </w:tc>
      </w:tr>
      <w:tr>
        <w:tc>
          <w:tcPr>
            <w:tcW w:type="dxa" w:w="5112"/>
            <w:vAlign w:val="center"/>
          </w:tcPr>
          <w:p>
            <w:pPr>
              <w:spacing w:after="20"/>
            </w:pPr>
            <w:r/>
            <w:r>
              <w:rPr>
                <w:b/>
                <w:sz w:val="17"/>
              </w:rPr>
              <w:t>Social Impact Communication</w:t>
            </w:r>
          </w:p>
        </w:tc>
        <w:tc>
          <w:tcPr>
            <w:tcW w:type="dxa" w:w="5112"/>
            <w:vAlign w:val="center"/>
          </w:tcPr>
          <w:p>
            <w:pPr>
              <w:spacing w:after="20"/>
            </w:pPr>
            <w:r/>
            <w:r>
              <w:rPr>
                <w:b w:val="0"/>
                <w:sz w:val="17"/>
              </w:rPr>
              <w:t>Better awareness of outcomes and reasons to support</w:t>
            </w:r>
          </w:p>
        </w:tc>
      </w:tr>
      <w:tr>
        <w:tc>
          <w:tcPr>
            <w:tcW w:type="dxa" w:w="5112"/>
            <w:vAlign w:val="center"/>
          </w:tcPr>
          <w:p>
            <w:pPr>
              <w:spacing w:after="20"/>
            </w:pPr>
            <w:r/>
            <w:r>
              <w:rPr>
                <w:b/>
                <w:sz w:val="17"/>
              </w:rPr>
              <w:t>Community Engagement</w:t>
            </w:r>
          </w:p>
        </w:tc>
        <w:tc>
          <w:tcPr>
            <w:tcW w:type="dxa" w:w="5112"/>
            <w:vAlign w:val="center"/>
          </w:tcPr>
          <w:p>
            <w:pPr>
              <w:spacing w:after="20"/>
            </w:pPr>
            <w:r/>
            <w:r>
              <w:rPr>
                <w:b w:val="0"/>
                <w:sz w:val="17"/>
              </w:rPr>
              <w:t>Increased involvement, participation and repeat engagement</w:t>
            </w:r>
          </w:p>
        </w:tc>
      </w:tr>
      <w:tr>
        <w:tc>
          <w:tcPr>
            <w:tcW w:type="dxa" w:w="5112"/>
            <w:vAlign w:val="center"/>
          </w:tcPr>
          <w:p>
            <w:pPr>
              <w:spacing w:after="20"/>
            </w:pPr>
            <w:r/>
            <w:r>
              <w:rPr>
                <w:b/>
                <w:sz w:val="17"/>
              </w:rPr>
              <w:t>Donation Conversion</w:t>
            </w:r>
          </w:p>
        </w:tc>
        <w:tc>
          <w:tcPr>
            <w:tcW w:type="dxa" w:w="5112"/>
            <w:vAlign w:val="center"/>
          </w:tcPr>
          <w:p>
            <w:pPr>
              <w:spacing w:after="20"/>
            </w:pPr>
            <w:r/>
            <w:r>
              <w:rPr>
                <w:b w:val="0"/>
                <w:sz w:val="17"/>
              </w:rPr>
              <w:t>More guided donor journeys and stronger intent before payment</w:t>
            </w:r>
          </w:p>
        </w:tc>
      </w:tr>
    </w:tbl>
    <w:p>
      <w:pPr>
        <w:pStyle w:val="Heading1"/>
      </w:pPr>
      <w:r>
        <w:t>Recommended Implementation Priorities</w:t>
      </w:r>
    </w:p>
    <w:p>
      <w:pPr>
        <w:spacing w:after="60"/>
      </w:pPr>
      <w:r>
        <w:rPr>
          <w:b/>
        </w:rPr>
        <w:t xml:space="preserve">Phase 1 — Foundation: </w:t>
      </w:r>
      <w:r>
        <w:t>Homepage messaging, CTAs, mobile UX, contact/support pathways, Google Search Console and technical SEO essentials.</w:t>
      </w:r>
    </w:p>
    <w:p>
      <w:pPr>
        <w:spacing w:after="60"/>
      </w:pPr>
      <w:r>
        <w:rPr>
          <w:b/>
        </w:rPr>
        <w:t xml:space="preserve">Phase 2 — Visibility: </w:t>
      </w:r>
      <w:r>
        <w:t>Keyword-focused landing pages, internal linking, content calendar, educational resources and impact storytelling.</w:t>
      </w:r>
    </w:p>
    <w:p>
      <w:pPr>
        <w:spacing w:after="60"/>
      </w:pPr>
      <w:r>
        <w:rPr>
          <w:b/>
        </w:rPr>
        <w:t xml:space="preserve">Phase 3 — Engagement: </w:t>
      </w:r>
      <w:r>
        <w:t>Interactive AI chatbot, intent classification, FAQ and guided visitor journeys.</w:t>
      </w:r>
    </w:p>
    <w:p>
      <w:pPr>
        <w:spacing w:after="60"/>
      </w:pPr>
      <w:r>
        <w:rPr>
          <w:b/>
        </w:rPr>
        <w:t xml:space="preserve">Phase 4 — Conversion Optimization: </w:t>
      </w:r>
      <w:r>
        <w:t>Donor impact/test-case journeys, donation CTA optimization, support registration flow and conversion tracking.</w:t>
      </w:r>
    </w:p>
    <w:p>
      <w:pPr>
        <w:spacing w:after="60"/>
      </w:pPr>
      <w:r>
        <w:rPr>
          <w:b/>
        </w:rPr>
        <w:t xml:space="preserve">Phase 5 — Measurement: </w:t>
      </w:r>
      <w:r>
        <w:t>Track organic traffic, chatbot conversations, intent categories, form submissions, donation clicks and completed conversions.</w:t>
      </w:r>
    </w:p>
    <w:p>
      <w:pPr>
        <w:pStyle w:val="Heading1"/>
      </w:pPr>
      <w:r>
        <w:t>Conclusion</w:t>
      </w:r>
    </w:p>
    <w:p>
      <w:r>
        <w:t>OrphanHealthcare has a strong mission, meaningful initiatives and a solid digital foundation. The next opportunity is to turn the website into a more intentional visitor-conversion platform: SEO should attract people searching for relevant rare-disease and support topics, while the interactive chatbot should understand visitor intent and guide each person to the right action.</w:t>
      </w:r>
    </w:p>
    <w:p>
      <w:r>
        <w:t>For donors, the journey should build interest through relevant impact stories and clear evidence of what support enables before directing the visitor to the donation/payment page. For people seeking support, the chatbot should provide the appropriate information and route them to a registration/request form or the responsible contact person. Together, these improvements can strengthen visibility, engagement, trust, community participation and measurable social impact.</w:t>
      </w:r>
    </w:p>
    <w:p>
      <w:pPr>
        <w:spacing w:before="160"/>
      </w:pPr>
      <w:r>
        <w:rPr>
          <w:b/>
          <w:sz w:val="15"/>
        </w:rPr>
        <w:t xml:space="preserve">Review basis: </w:t>
      </w:r>
      <w:r>
        <w:rPr>
          <w:color w:val="6B6F73"/>
          <w:sz w:val="15"/>
        </w:rPr>
        <w:t>Publicly visible content and navigation on orphanhealthcare.net, reviewed August 19, 2026. Recommendations are directional and should be validated with analytics, Search Console data and conversion data.</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58B"/>
        <w:sz w:val="14"/>
      </w:rPr>
      <w:t>OrphanHealthcare • Website Review &amp; Improvement Recommendations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B61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