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Circular Capital in the Artificial Intelligence Stack:</w:t>
      </w:r>
      <w:r>
        <w:t xml:space="preserve"> </w:t>
      </w:r>
      <w:r>
        <w:t xml:space="preserve">A Game-Theoretic Analysis of Market Power, Financial Fragility, and Welfare</w:t>
      </w:r>
    </w:p>
    <w:p>
      <w:pPr>
        <w:pStyle w:val="Author"/>
      </w:pPr>
      <w:r>
        <w:t xml:space="preserve">Ranjith Keerikkattil</w:t>
      </w:r>
      <w:r>
        <w:br/>
      </w:r>
      <w:r>
        <w:rPr>
          <w:i/>
          <w:iCs/>
        </w:rPr>
        <w:t xml:space="preserve">University of Baltimore, Merrick School of Business</w:t>
      </w:r>
    </w:p>
    <w:p>
      <w:pPr>
        <w:pStyle w:val="Date"/>
      </w:pPr>
      <w:r>
        <w:t xml:space="preserve">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2024–2026 artificial-intelligence investment boom exhibits the</w:t>
      </w:r>
      <w:r>
        <w:t xml:space="preserve"> </w:t>
      </w:r>
      <w:r>
        <w:t xml:space="preserve">financing structure that preceded previous round-trip busts: dense,</w:t>
      </w:r>
      <w:r>
        <w:t xml:space="preserve"> </w:t>
      </w:r>
      <w:r>
        <w:t xml:space="preserve">committed circular capital in which upstream investment returns</w:t>
      </w:r>
      <w:r>
        <w:t xml:space="preserve"> </w:t>
      </w:r>
      <w:r>
        <w:t xml:space="preserve">downstream as contracted compute spend, measured here at $675.40 billion</w:t>
      </w:r>
      <w:r>
        <w:t xml:space="preserve"> </w:t>
      </w:r>
      <w:r>
        <w:t xml:space="preserve">across 17 committed contracts. This architecture concentrates burst</w:t>
      </w:r>
      <w:r>
        <w:t xml:space="preserve"> </w:t>
      </w:r>
      <w:r>
        <w:t xml:space="preserve">incidence upstream. While bubble indicators peak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83% among</w:t>
      </w:r>
      <w:r>
        <w:t xml:space="preserve"> </w:t>
      </w:r>
      <w:r>
        <w:t xml:space="preserve">frontier labs where valuations have detached from revenue, credit</w:t>
      </w:r>
      <w:r>
        <w:t xml:space="preserve"> </w:t>
      </w:r>
      <w:r>
        <w:t xml:space="preserve">markets already price stack leverage through a record single-name CDS</w:t>
      </w:r>
      <w:r>
        <w:t xml:space="preserve"> </w:t>
      </w:r>
      <w:r>
        <w:t xml:space="preserve">spread (215 bp) and downgrade. Six solved bilateral games reveal an</w:t>
      </w:r>
      <w:r>
        <w:t xml:space="preserve"> </w:t>
      </w:r>
      <w:r>
        <w:t xml:space="preserve">aggregate deadweight loss of $416.77 billion (71.28% efficiency),</w:t>
      </w:r>
      <w:r>
        <w:t xml:space="preserve"> </w:t>
      </w:r>
      <w:r>
        <w:t xml:space="preserve">with non-cooperation binding in the Hardware–Cloud bottleneck.</w:t>
      </w:r>
      <w:r>
        <w:t xml:space="preserve"> </w:t>
      </w:r>
      <w:r>
        <w:t xml:space="preserve">Consequently, a severe repricing destroys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$239 billion of Hardware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$133 billion of Cloud value first, transmitting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$139 billion</w:t>
      </w:r>
      <w:r>
        <w:t xml:space="preserve"> </w:t>
      </w:r>
      <w:r>
        <w:t xml:space="preserve">loss (</w:t>
      </w:r>
      <m:oMath>
        <m:r>
          <m:rPr>
            <m:sty m:val="p"/>
          </m:rPr>
          <m:t>∼</m:t>
        </m:r>
      </m:oMath>
      <w:r>
        <w:t xml:space="preserve">0.45% of GDP) to the U.S. economy via capex and</w:t>
      </w:r>
      <w:r>
        <w:t xml:space="preserve"> </w:t>
      </w:r>
      <w:r>
        <w:t xml:space="preserve">wealth channels. This loss hierarchy is structural: it survives 16</w:t>
      </w:r>
      <w:r>
        <w:t xml:space="preserve"> </w:t>
      </w:r>
      <w:r>
        <w:t xml:space="preserve">parameter extremes and 300 joint Monte Carlo draws, and reproduces the</w:t>
      </w:r>
      <w:r>
        <w:t xml:space="preserve"> </w:t>
      </w:r>
      <w:r>
        <w:t xml:space="preserve">historical loss order when applied blind to 2006–07 pre-crisis inputs from</w:t>
      </w:r>
      <w:r>
        <w:t xml:space="preserve"> </w:t>
      </w:r>
      <w:r>
        <w:t xml:space="preserve">the 2008 Global Financial Crisis. By benefit–cost ratio, optimal policy sequencing prioritizes</w:t>
      </w:r>
      <w:r>
        <w:t xml:space="preserve"> </w:t>
      </w:r>
      <w:r>
        <w:t xml:space="preserve">contract disclosure and lending caps. Three empirical</w:t>
      </w:r>
      <w:r>
        <w:t xml:space="preserve"> </w:t>
      </w:r>
      <w:r>
        <w:t xml:space="preserve">triggers would cancel the forecast if observed.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artificial intelligence; financial bubbles;</w:t>
      </w:r>
      <w:r>
        <w:t xml:space="preserve"> </w:t>
      </w:r>
      <w:r>
        <w:t xml:space="preserve">circular dealing; vendor financing; game theory; burst prediction;</w:t>
      </w:r>
      <w:r>
        <w:t xml:space="preserve"> </w:t>
      </w:r>
      <w:r>
        <w:t xml:space="preserve">financial stability; competition policy.</w:t>
      </w:r>
    </w:p>
    <w:p>
      <w:pPr>
        <w:pStyle w:val="Abstract"/>
      </w:pPr>
      <w:r>
        <w:rPr>
          <w:b/>
          <w:bCs/>
        </w:rPr>
        <w:t xml:space="preserve">JEL codes:</w:t>
      </w:r>
      <w:r>
        <w:t xml:space="preserve"> </w:t>
      </w:r>
      <w:r>
        <w:t xml:space="preserve">D43, G01, G12, G14, L13, L41, E44, O33.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paper converts a measured financing structure into a dated,</w:t>
      </w:r>
      <w:r>
        <w:t xml:space="preserve"> </w:t>
      </w:r>
      <w:r>
        <w:t xml:space="preserve">testable prediction: an AI-asset repricing is likely while the current</w:t>
      </w:r>
      <w:r>
        <w:t xml:space="preserve"> </w:t>
      </w:r>
      <w:r>
        <w:t xml:space="preserve">committed spend cycle runs; its losses will land first on Hardware, then</w:t>
      </w:r>
      <w:r>
        <w:t xml:space="preserve"> </w:t>
      </w:r>
      <w:r>
        <w:t xml:space="preserve">Cloud, then frontier labs, then apps; and the severe case costs the US</w:t>
      </w:r>
      <w:r>
        <w:t xml:space="preserve"> </w:t>
      </w:r>
      <w:r>
        <w:t xml:space="preserve">economy roughly $100–150 billion. Section </w:t>
      </w:r>
      <w:hyperlink w:anchor="sec:predic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states</w:t>
      </w:r>
      <w:r>
        <w:t xml:space="preserve"> </w:t>
      </w:r>
      <w:r>
        <w:t xml:space="preserve">that forecast as eight numbered claims, each with an assessed likelihood</w:t>
      </w:r>
      <w:r>
        <w:t xml:space="preserve"> </w:t>
      </w:r>
      <w:r>
        <w:t xml:space="preserve">(or an explicit abstention, P8) and a pointer to the observable that would</w:t>
      </w:r>
      <w:r>
        <w:t xml:space="preserve"> </w:t>
      </w:r>
      <w:r>
        <w:t xml:space="preserve">overturn it. The remaining</w:t>
      </w:r>
      <w:r>
        <w:t xml:space="preserve"> </w:t>
      </w:r>
      <w:r>
        <w:t xml:space="preserve">sections supply the evidence (Sections </w:t>
      </w:r>
      <w:hyperlink w:anchor="sec:capital">
        <w:r>
          <w:rPr>
            <w:rStyle w:val="Hyperlink"/>
          </w:rPr>
          <w:t xml:space="preserve">5</w:t>
        </w:r>
      </w:hyperlink>
      <w:r>
        <w:t xml:space="preserve">–</w:t>
      </w:r>
      <w:hyperlink w:anchor="sec:contagion">
        <w:r>
          <w:rPr>
            <w:rStyle w:val="Hyperlink"/>
          </w:rPr>
          <w:t xml:space="preserve">11</w:t>
        </w:r>
      </w:hyperlink>
      <w:r>
        <w:t xml:space="preserve">),</w:t>
      </w:r>
      <w:r>
        <w:t xml:space="preserve"> </w:t>
      </w:r>
      <w:r>
        <w:t xml:space="preserve">the record of stress testing and historical validation</w:t>
      </w:r>
      <w:r>
        <w:t xml:space="preserve"> </w:t>
      </w:r>
      <w:r>
        <w:t xml:space="preserve">(Sections </w:t>
      </w:r>
      <w:hyperlink w:anchor="sec:robustness">
        <w:r>
          <w:rPr>
            <w:rStyle w:val="Hyperlink"/>
          </w:rPr>
          <w:t xml:space="preserve">12</w:t>
        </w:r>
      </w:hyperlink>
      <w:r>
        <w:t xml:space="preserve">–</w:t>
      </w:r>
      <w:hyperlink w:anchor="sec:backtest">
        <w:r>
          <w:rPr>
            <w:rStyle w:val="Hyperlink"/>
          </w:rPr>
          <w:t xml:space="preserve">14</w:t>
        </w:r>
      </w:hyperlink>
      <w:r>
        <w:t xml:space="preserve">), and the investment and</w:t>
      </w:r>
      <w:r>
        <w:t xml:space="preserve"> </w:t>
      </w:r>
      <w:r>
        <w:t xml:space="preserve">policy implications (Sections </w:t>
      </w:r>
      <w:hyperlink w:anchor="sec:triggers">
        <w:r>
          <w:rPr>
            <w:rStyle w:val="Hyperlink"/>
          </w:rPr>
          <w:t xml:space="preserve">15</w:t>
        </w:r>
      </w:hyperlink>
      <w:r>
        <w:t xml:space="preserve">–</w:t>
      </w:r>
      <w:hyperlink w:anchor="sec:policy">
        <w:r>
          <w:rPr>
            <w:rStyle w:val="Hyperlink"/>
          </w:rPr>
          <w:t xml:space="preserve">19</w:t>
        </w:r>
      </w:hyperlink>
      <w:r>
        <w:t xml:space="preserve">).</w:t>
      </w:r>
      <w:r>
        <w:t xml:space="preserve"> </w:t>
      </w:r>
      <w:r>
        <w:t xml:space="preserve">An Online Appendix documents the grading apparatus, assumptions, and</w:t>
      </w:r>
      <w:r>
        <w:t xml:space="preserve"> </w:t>
      </w:r>
      <w:r>
        <w:t xml:space="preserve">caveats; the body below advances the predictions without interruption.</w:t>
      </w:r>
    </w:p>
    <w:p>
      <w:pPr>
        <w:pStyle w:val="BodyText"/>
      </w:pPr>
      <w:r>
        <w:t xml:space="preserve">The argument is a single chain with five links.</w:t>
      </w:r>
      <w:r>
        <w:t xml:space="preserve"> </w:t>
      </w:r>
      <w:r>
        <w:rPr>
          <w:b/>
          <w:bCs/>
        </w:rPr>
        <w:t xml:space="preserve">Measurement:</w:t>
      </w:r>
      <w:r>
        <w:t xml:space="preserve"> </w:t>
      </w:r>
      <w:r>
        <w:t xml:space="preserve">$675.40 billion of committed circular capital is read off signed</w:t>
      </w:r>
      <w:r>
        <w:t xml:space="preserve"> </w:t>
      </w:r>
      <w:r>
        <w:t xml:space="preserve">contracts, not inferred from sentiment or multiples</w:t>
      </w:r>
      <w:r>
        <w:t xml:space="preserve"> </w:t>
      </w:r>
      <w:r>
        <w:t xml:space="preserve">(Section </w:t>
      </w:r>
      <w:hyperlink w:anchor="sec:capital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Mechanism:</w:t>
      </w:r>
      <w:r>
        <w:t xml:space="preserve"> </w:t>
      </w:r>
      <w:r>
        <w:t xml:space="preserve">six solved bilateral games</w:t>
      </w:r>
      <w:r>
        <w:t xml:space="preserve"> </w:t>
      </w:r>
      <w:r>
        <w:t xml:space="preserve">show non-cooperation binds in exactly one cell — Hardware versus Cloud —</w:t>
      </w:r>
      <w:r>
        <w:t xml:space="preserve"> </w:t>
      </w:r>
      <w:r>
        <w:t xml:space="preserve">trapping value upstream (Sections </w:t>
      </w:r>
      <w:hyperlink w:anchor="sec:games">
        <w:r>
          <w:rPr>
            <w:rStyle w:val="Hyperlink"/>
          </w:rPr>
          <w:t xml:space="preserve">6</w:t>
        </w:r>
      </w:hyperlink>
      <w:r>
        <w:t xml:space="preserve">–</w:t>
      </w:r>
      <w:hyperlink w:anchor="sec:core">
        <w:r>
          <w:rPr>
            <w:rStyle w:val="Hyperlink"/>
          </w:rPr>
          <w:t xml:space="preserve">7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Incidence:</w:t>
      </w:r>
      <w:r>
        <w:t xml:space="preserve"> </w:t>
      </w:r>
      <w:r>
        <w:t xml:space="preserve">the trap fixes the burst order — Hardware (the</w:t>
      </w:r>
      <w:r>
        <w:t xml:space="preserve"> </w:t>
      </w:r>
      <w:r>
        <w:t xml:space="preserve">Toolmakers), Cloud (the Landlords), frontier labs (the Brain Builders),</w:t>
      </w:r>
      <w:r>
        <w:t xml:space="preserve"> </w:t>
      </w:r>
      <w:r>
        <w:t xml:space="preserve">apps (the App Builders) — with formation conditions worst where private marks</w:t>
      </w:r>
      <w:r>
        <w:t xml:space="preserve"> </w:t>
      </w:r>
      <w:r>
        <w:t xml:space="preserve">have detached furthest (Sections </w:t>
      </w:r>
      <w:hyperlink w:anchor="sec:bubble">
        <w:r>
          <w:rPr>
            <w:rStyle w:val="Hyperlink"/>
          </w:rPr>
          <w:t xml:space="preserve">9</w:t>
        </w:r>
      </w:hyperlink>
      <w:r>
        <w:t xml:space="preserve">–</w:t>
      </w:r>
      <w:hyperlink w:anchor="sec:burst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the order survives sixteen extremes and 300 joint</w:t>
      </w:r>
      <w:r>
        <w:t xml:space="preserve"> </w:t>
      </w:r>
      <w:r>
        <w:t xml:space="preserve">draws; the same modules recover the 2008 loss order, and on telecom</w:t>
      </w:r>
      <w:r>
        <w:t xml:space="preserve"> </w:t>
      </w:r>
      <w:r>
        <w:t xml:space="preserve">equipment in 2001 they recover the mechanism — the stuck vendor cell,</w:t>
      </w:r>
      <w:r>
        <w:t xml:space="preserve"> </w:t>
      </w:r>
      <w:r>
        <w:t xml:space="preserve">the first-to-fail ranking, the formation order — while missing dollar</w:t>
      </w:r>
      <w:r>
        <w:t xml:space="preserve"> </w:t>
      </w:r>
      <w:r>
        <w:t xml:space="preserve">incidence, which multiple compression decides outside contract arithmetic</w:t>
      </w:r>
      <w:r>
        <w:t xml:space="preserve"> </w:t>
      </w:r>
      <w:r>
        <w:t xml:space="preserve">(Sections </w:t>
      </w:r>
      <w:hyperlink w:anchor="sec:robustness">
        <w:r>
          <w:rPr>
            <w:rStyle w:val="Hyperlink"/>
          </w:rPr>
          <w:t xml:space="preserve">12</w:t>
        </w:r>
      </w:hyperlink>
      <w:r>
        <w:t xml:space="preserve">–</w:t>
      </w:r>
      <w:hyperlink w:anchor="sec:backtest">
        <w:r>
          <w:rPr>
            <w:rStyle w:val="Hyperlink"/>
          </w:rPr>
          <w:t xml:space="preserve">14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triggers monitor the preconditions and remedies sequence by benefit–cost</w:t>
      </w:r>
      <w:r>
        <w:t xml:space="preserve"> </w:t>
      </w:r>
      <w:r>
        <w:t xml:space="preserve">ratio, disclosure and lending caps first</w:t>
      </w:r>
      <w:r>
        <w:t xml:space="preserve"> </w:t>
      </w:r>
      <w:r>
        <w:t xml:space="preserve">(Sections </w:t>
      </w:r>
      <w:hyperlink w:anchor="sec:triggers">
        <w:r>
          <w:rPr>
            <w:rStyle w:val="Hyperlink"/>
          </w:rPr>
          <w:t xml:space="preserve">15</w:t>
        </w:r>
      </w:hyperlink>
      <w:r>
        <w:t xml:space="preserve">–</w:t>
      </w:r>
      <w:hyperlink w:anchor="sec:policy">
        <w:r>
          <w:rPr>
            <w:rStyle w:val="Hyperlink"/>
          </w:rPr>
          <w:t xml:space="preserve">19</w:t>
        </w:r>
      </w:hyperlink>
      <w:r>
        <w:t xml:space="preserve">). Break any link and the</w:t>
      </w:r>
      <w:r>
        <w:t xml:space="preserve"> </w:t>
      </w:r>
      <w:r>
        <w:t xml:space="preserve">conclusion falls; Section </w:t>
      </w:r>
      <w:hyperlink w:anchor="sec:validation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names the observables</w:t>
      </w:r>
      <w:r>
        <w:t xml:space="preserve"> </w:t>
      </w:r>
      <w:r>
        <w:t xml:space="preserve">that would break each one. One distinction governs every number that</w:t>
      </w:r>
      <w:r>
        <w:t xml:space="preserve"> </w:t>
      </w:r>
      <w:r>
        <w:t xml:space="preserve">follows:</w:t>
      </w:r>
      <w:r>
        <w:t xml:space="preserve"> </w:t>
      </w:r>
      <w:r>
        <w:rPr>
          <w:i/>
          <w:iCs/>
        </w:rPr>
        <w:t xml:space="preserve">rankings</w:t>
      </w:r>
      <w:r>
        <w:t xml:space="preserve"> </w:t>
      </w:r>
      <w:r>
        <w:t xml:space="preserve">are the high-confidence claims;</w:t>
      </w:r>
      <w:r>
        <w:t xml:space="preserve"> </w:t>
      </w:r>
      <w:r>
        <w:rPr>
          <w:i/>
          <w:iCs/>
        </w:rPr>
        <w:t xml:space="preserve">dollar</w:t>
      </w:r>
      <w:r>
        <w:rPr>
          <w:i/>
          <w:iCs/>
        </w:rPr>
        <w:t xml:space="preserve"> </w:t>
      </w:r>
      <w:r>
        <w:rPr>
          <w:i/>
          <w:iCs/>
        </w:rPr>
        <w:t xml:space="preserve">figures</w:t>
      </w:r>
      <w:r>
        <w:t xml:space="preserve"> </w:t>
      </w:r>
      <w:r>
        <w:t xml:space="preserve">mark scenario scale for sizing remedies.</w:t>
      </w:r>
    </w:p>
    <w:bookmarkEnd w:id="42"/>
    <w:bookmarkStart w:id="49" w:name="sec:prediction"/>
    <w:p>
      <w:pPr>
        <w:pStyle w:val="Heading2"/>
      </w:pPr>
      <w:r>
        <w:t xml:space="preserve">Central Forecast: Repricing Likelihood, Loss Incidence, and Macroeconomic Cost</w:t>
      </w:r>
    </w:p>
    <w:p>
      <w:pPr>
        <w:pStyle w:val="FirstParagraph"/>
      </w:pPr>
      <w:r>
        <w:t xml:space="preserve">This paper makes a prediction with three parts.</w:t>
      </w:r>
      <w:r>
        <w:t xml:space="preserve"> </w:t>
      </w:r>
      <w:r>
        <w:rPr>
          <w:b/>
          <w:bCs/>
        </w:rPr>
        <w:t xml:space="preserve">First</w:t>
      </w:r>
      <w:r>
        <w:t xml:space="preserve">, an AI-asset</w:t>
      </w:r>
      <w:r>
        <w:t xml:space="preserve"> </w:t>
      </w:r>
      <w:r>
        <w:t xml:space="preserve">repricing is likely while the current committed spend cycle runs: the</w:t>
      </w:r>
      <w:r>
        <w:t xml:space="preserve"> </w:t>
      </w:r>
      <w:r>
        <w:t xml:space="preserve">conditions that have preceded every modern round-trip bust — dense</w:t>
      </w:r>
      <w:r>
        <w:t xml:space="preserve"> </w:t>
      </w:r>
      <w:r>
        <w:t xml:space="preserve">reciprocal financing, private marks detached from capturable revenue, and</w:t>
      </w:r>
      <w:r>
        <w:t xml:space="preserve"> </w:t>
      </w:r>
      <w:r>
        <w:t xml:space="preserve">credit markets starting to charge for leverage — are all present at once.</w:t>
      </w:r>
      <w:r>
        <w:t xml:space="preserve"> </w:t>
      </w:r>
      <w:r>
        <w:rPr>
          <w:b/>
          <w:bCs/>
        </w:rPr>
        <w:t xml:space="preserve">Second</w:t>
      </w:r>
      <w:r>
        <w:t xml:space="preserve">, the damage has a fixed address: Hardware first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$239B), Cloud second (</w:t>
      </w:r>
      <m:oMath>
        <m:r>
          <m:rPr>
            <m:sty m:val="p"/>
          </m:rPr>
          <m:t>∼</m:t>
        </m:r>
      </m:oMath>
      <w:r>
        <w:t xml:space="preserve">$133B), frontier labs third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$85B), app companies last (</w:t>
      </w:r>
      <m:oMath>
        <m:r>
          <m:rPr>
            <m:sty m:val="p"/>
          </m:rPr>
          <m:t>∼</m:t>
        </m:r>
      </m:oMath>
      <w:r>
        <w:t xml:space="preserve">$21B), because contracts, not</w:t>
      </w:r>
      <w:r>
        <w:t xml:space="preserve"> </w:t>
      </w:r>
      <w:r>
        <w:t xml:space="preserve">sentiment, decide where losses land.</w:t>
      </w:r>
      <w:r>
        <w:t xml:space="preserve"> </w:t>
      </w:r>
      <w:r>
        <w:rPr>
          <w:b/>
          <w:bCs/>
        </w:rPr>
        <w:t xml:space="preserve">Third</w:t>
      </w:r>
      <w:r>
        <w:t xml:space="preserve">, the US GDP cost of the</w:t>
      </w:r>
      <w:r>
        <w:t xml:space="preserve"> </w:t>
      </w:r>
      <w:r>
        <w:t xml:space="preserve">severe case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$139B (</w:t>
      </w:r>
      <m:oMath>
        <m:r>
          <m:rPr>
            <m:sty m:val="p"/>
          </m:rPr>
          <m:t>∼</m:t>
        </m:r>
      </m:oMath>
      <w:r>
        <w:t xml:space="preserve">0.45%), composed of canceled tech</w:t>
      </w:r>
      <w:r>
        <w:t xml:space="preserve"> </w:t>
      </w:r>
      <w:r>
        <w:t xml:space="preserve">investment (</w:t>
      </w:r>
      <m:oMath>
        <m:r>
          <m:rPr>
            <m:sty m:val="p"/>
          </m:rPr>
          <m:t>∼</m:t>
        </m:r>
      </m:oMath>
      <w:r>
        <w:t xml:space="preserve">$120B) plus the wealth effect of falling equities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$19B).</w:t>
      </w:r>
    </w:p>
    <w:p>
      <w:pPr>
        <w:pStyle w:val="BodyText"/>
      </w:pPr>
      <w:r>
        <w:t xml:space="preserve">What this paper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predict is a date. Timing belongs to funding</w:t>
      </w:r>
      <w:r>
        <w:t xml:space="preserve"> </w:t>
      </w:r>
      <w:r>
        <w:t xml:space="preserve">rounds, credit events, and capex guidance — the triggers of Section </w:t>
      </w:r>
      <w:hyperlink w:anchor="sec:triggers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not to models. Everything else here is a measured claim, not a scenario</w:t>
      </w:r>
      <w:r>
        <w:t xml:space="preserve"> </w:t>
      </w:r>
      <w:r>
        <w:t xml:space="preserve">sketch: the capital structure is read off contracts, the binding constraint</w:t>
      </w:r>
      <w:r>
        <w:t xml:space="preserve"> </w:t>
      </w:r>
      <w:r>
        <w:t xml:space="preserve">is proved in solved games, and the resulting incidence ranking is the same</w:t>
      </w:r>
      <w:r>
        <w:t xml:space="preserve"> </w:t>
      </w:r>
      <w:r>
        <w:t xml:space="preserve">order that survives every stress battery and transfers to 2008. The result</w:t>
      </w:r>
      <w:r>
        <w:t xml:space="preserve"> </w:t>
      </w:r>
      <w:r>
        <w:t xml:space="preserve">is a standing warning with an address book: it tells you what breaks, in</w:t>
      </w:r>
      <w:r>
        <w:t xml:space="preserve"> </w:t>
      </w:r>
      <w:r>
        <w:t xml:space="preserve">what order, at roughly what scale, and what to do before it happens.</w:t>
      </w:r>
    </w:p>
    <w:p>
      <w:pPr>
        <w:pStyle w:val="BodyText"/>
      </w:pPr>
      <w:r>
        <w:rPr>
          <w:i/>
          <w:iCs/>
        </w:rPr>
        <w:t xml:space="preserve">How seriously to take each claim.</w:t>
      </w:r>
      <w:r>
        <w:t xml:space="preserve"> </w:t>
      </w:r>
      <w:r>
        <w:t xml:space="preserve">Every numbered prediction below</w:t>
      </w:r>
      <w:r>
        <w:t xml:space="preserve"> </w:t>
      </w:r>
      <w:r>
        <w:t xml:space="preserve">carries two separate tags.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is the author’s assessed</w:t>
      </w:r>
      <w:r>
        <w:t xml:space="preserve"> </w:t>
      </w:r>
      <w:r>
        <w:t xml:space="preserve">probability that the claim proves right, on the fixed scale in</w:t>
      </w:r>
      <w:r>
        <w:t xml:space="preserve"> </w:t>
      </w:r>
      <w:r>
        <w:t xml:space="preserve">Table </w:t>
      </w:r>
      <w:hyperlink w:anchor="tab:likelihood-scal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— a judgment in the forecasting tradition</w:t>
      </w:r>
      <w:r>
        <w:t xml:space="preserve"> </w:t>
      </w:r>
      <w:r>
        <w:t xml:space="preserve">(IPCC, Tetlock), not a model estimate.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rates the quality</w:t>
      </w:r>
      <w:r>
        <w:t xml:space="preserve"> </w:t>
      </w:r>
      <w:r>
        <w:t xml:space="preserve">of the evidence behind that judgment (High = contracts plus surviving stress</w:t>
      </w:r>
      <w:r>
        <w:t xml:space="preserve"> </w:t>
      </w:r>
      <w:r>
        <w:t xml:space="preserve">tests; Medium = scenario arithmetic that moves with inputs; Low = no</w:t>
      </w:r>
      <w:r>
        <w:t xml:space="preserve"> </w:t>
      </w:r>
      <w:r>
        <w:t xml:space="preserve">evidentiary basis). Model vote-shares (16/16, 100%, 65%) measure</w:t>
      </w:r>
      <w:r>
        <w:t xml:space="preserve"> </w:t>
      </w:r>
      <w:r>
        <w:rPr>
          <w:i/>
          <w:iCs/>
        </w:rPr>
        <w:t xml:space="preserve">robustness</w:t>
      </w:r>
      <w:r>
        <w:t xml:space="preserve">, and formation scores (82.9% etc.) measure</w:t>
      </w:r>
      <w:r>
        <w:t xml:space="preserve"> </w:t>
      </w:r>
      <w:r>
        <w:rPr>
          <w:i/>
          <w:iCs/>
        </w:rPr>
        <w:t xml:space="preserve">vulnerability</w:t>
      </w:r>
      <w:r>
        <w:t xml:space="preserve"> </w:t>
      </w:r>
      <w:r>
        <w:t xml:space="preserve">— neither is the probability of the event. The two</w:t>
      </w:r>
      <w:r>
        <w:t xml:space="preserve"> </w:t>
      </w:r>
      <w:r>
        <w:t xml:space="preserve">numbers that look most like probabilities in this paper are therefore the</w:t>
      </w:r>
      <w:r>
        <w:t xml:space="preserve"> </w:t>
      </w:r>
      <w:r>
        <w:t xml:space="preserve">two you must not mistake for forecasts; the actual event probabilities are</w:t>
      </w:r>
      <w:r>
        <w:t xml:space="preserve"> </w:t>
      </w:r>
      <w:r>
        <w:t xml:space="preserve">the author’s, stated in the registry.</w:t>
      </w:r>
    </w:p>
    <w:bookmarkStart w:id="43" w:name="tab:likelihood-scale"/>
    <w:p>
      <w:pPr>
        <w:pStyle w:val="TableCaption"/>
      </w:pPr>
      <w:r>
        <w:t xml:space="preserve">Likelihood scale for author-assessed probabilities. Used only in the registry below; nowhere else in the paper does a percent sign denote an event probability.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kelihood scale for author-assessed probabilities. Used only in the registry below; nowhere else in the paper does a percent sign denote an event probability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Assessed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likely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85–95%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65–80%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likely than not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50–65%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Toss-up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Unlikely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below 35%</w:t>
            </w:r>
          </w:p>
        </w:tc>
      </w:tr>
    </w:tbl>
    <w:bookmarkEnd w:id="43"/>
    <w:bookmarkStart w:id="44" w:name="tab:registry"/>
    <w:p>
      <w:pPr>
        <w:pStyle w:val="TableCaption"/>
      </w:pPr>
      <w:r>
        <w:t xml:space="preserve">Prediction registry: every claim, its likelihood, its evidence grade, and what retires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ion registry: every claim, its likelihood, its evidence grade, and what retires 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Overturned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AI-asset repricing before the committed spend cycle exhausts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65%)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tests 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Conditional on a severe burst,</w:t>
            </w:r>
            <w:r>
              <w:t xml:space="preserve"> </w:t>
            </w:r>
            <w:r>
              <w:t xml:space="preserve">losses rank Hardware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Cloud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labs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likely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90%)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3 (ranking flips)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GDP cost lands near $100–150B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0.3–0.5%), mostly via canceled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likely than not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55%)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burst with no capex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Frontier-lab funding stress is the nearest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first break elsewhere (Sec. </w:t>
            </w:r>
            <w:hyperlink w:anchor="sec:triggers">
              <w:r>
                <w:rPr>
                  <w:rStyle w:val="Hyperlink"/>
                </w:rPr>
                <w:t xml:space="preserve">15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 carry the highest bubble vulnerability (formation rank FM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likely than not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60%)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rank flips (65% joint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two is small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$15B), mostly on labs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$13.9B of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$15.2B)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likely than not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60%)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fire sale (Sec. </w:t>
            </w:r>
            <w:hyperlink w:anchor="sec:contagion">
              <w:r>
                <w:rPr>
                  <w:rStyle w:val="Hyperlink"/>
                </w:rPr>
                <w:t xml:space="preserve">11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first, lending caps second is the optimal remedy sequence (caps still rank first by BCR)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 rank reversal (Sec. </w:t>
            </w:r>
            <w:hyperlink w:anchor="sec:policy">
              <w:r>
                <w:rPr>
                  <w:rStyle w:val="Hyperlink"/>
                </w:rPr>
                <w:t xml:space="preserve">19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calendar date for the repricing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(unassigned)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 date predicted)</w:t>
            </w:r>
          </w:p>
        </w:tc>
      </w:tr>
    </w:tbl>
    <w:bookmarkEnd w:id="44"/>
    <w:p>
      <w:pPr>
        <w:pStyle w:val="BodyText"/>
      </w:pPr>
      <w:r>
        <w:t xml:space="preserve">P8 stays unassigned by design: structural game theory identifies equilibrium</w:t>
      </w:r>
      <w:r>
        <w:t xml:space="preserve"> </w:t>
      </w:r>
      <w:r>
        <w:t xml:space="preserve">fragility and loss topology, while the tipping date depends on</w:t>
      </w:r>
      <w:r>
        <w:t xml:space="preserve"> </w:t>
      </w:r>
      <w:r>
        <w:t xml:space="preserve">non-deterministic catalytic triggers (funding-round failures, credit</w:t>
      </w:r>
      <w:r>
        <w:t xml:space="preserve"> </w:t>
      </w:r>
      <w:r>
        <w:t xml:space="preserve">repricing).</w:t>
      </w:r>
    </w:p>
    <w:p>
      <w:pPr>
        <w:pStyle w:val="BodyText"/>
      </w:pPr>
      <w:r>
        <w:t xml:space="preserve">Read P2 the way it is written:</w:t>
      </w:r>
      <w:r>
        <w:t xml:space="preserve"> </w:t>
      </w:r>
      <w:r>
        <w:rPr>
          <w:i/>
          <w:iCs/>
        </w:rPr>
        <w:t xml:space="preserve">conditional.</w:t>
      </w:r>
      <w:r>
        <w:t xml:space="preserve"> </w:t>
      </w:r>
      <w:r>
        <w:t xml:space="preserve">The paper assigns no</w:t>
      </w:r>
      <w:r>
        <w:t xml:space="preserve"> </w:t>
      </w:r>
      <w:r>
        <w:t xml:space="preserve">probability to a severe burst occurring at all (that is P1’s job,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65%); it assigns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90% to the ranking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that one</w:t>
      </w:r>
      <w:r>
        <w:t xml:space="preserve"> </w:t>
      </w:r>
      <w:r>
        <w:t xml:space="preserve">occurs. Multiplying them, the joint statement</w:t>
      </w:r>
      <w:r>
        <w:t xml:space="preserve"> </w:t>
      </w:r>
      <w:r>
        <w:t xml:space="preserve">“a severe burst with</w:t>
      </w:r>
      <w:r>
        <w:t xml:space="preserve"> </w:t>
      </w:r>
      <w:r>
        <w:t xml:space="preserve">Hardware first”</w:t>
      </w:r>
      <w:r>
        <w:t xml:space="preserve"> </w:t>
      </w:r>
      <w:r>
        <w:t xml:space="preserve">sits near 60% — which is why the headline phrase is</w:t>
      </w:r>
      <w:r>
        <w:t xml:space="preserve"> </w:t>
      </w:r>
      <w:r>
        <w:t xml:space="preserve">“a standing warning with an address book,”</w:t>
      </w:r>
      <w:r>
        <w:t xml:space="preserve"> </w:t>
      </w:r>
      <w:r>
        <w:t xml:space="preserve">not</w:t>
      </w:r>
      <w:r>
        <w:t xml:space="preserve"> </w:t>
      </w:r>
      <w:r>
        <w:t xml:space="preserve">“a forecast.”</w:t>
      </w:r>
      <w:r>
        <w:t xml:space="preserve"> </w:t>
      </w:r>
      <w:r>
        <w:t xml:space="preserve">Dollar</w:t>
      </w:r>
      <w:r>
        <w:t xml:space="preserve"> </w:t>
      </w:r>
      <w:r>
        <w:t xml:space="preserve">levels throughout are scenario markers: P3’s wide band ($100–150B) is the</w:t>
      </w:r>
      <w:r>
        <w:t xml:space="preserve"> </w:t>
      </w:r>
      <w:r>
        <w:t xml:space="preserve">honest width; the Online Appendix documents what each tag rests on.</w:t>
      </w:r>
    </w:p>
    <w:bookmarkStart w:id="48" w:name="fig:01-system-fragility-at-a"/>
    <w:p>
      <w:pPr>
        <w:pStyle w:val="CaptionedFigure"/>
      </w:pPr>
      <w:r>
        <w:drawing>
          <wp:inline>
            <wp:extent cx="5943600" cy="285303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red_fragilit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fragility at a glance (Table 7.5): circularity scores 0.998 of 1.0 — the stack is almost perfectly round-tripped — dragging the composite to 0.551, band</w:t>
      </w:r>
      <w:r>
        <w:t xml:space="preserve"> </w:t>
      </w:r>
      <w:r>
        <w:t xml:space="preserve">“elevated.”</w:t>
      </w:r>
      <w:r>
        <w:t xml:space="preserve"> </w:t>
      </w:r>
      <w:r>
        <w:t xml:space="preserve">This single chart is the visual evidence behind P1’s Likely grade.</w:t>
      </w:r>
    </w:p>
    <w:bookmarkEnd w:id="48"/>
    <w:bookmarkEnd w:id="49"/>
    <w:bookmarkStart w:id="50" w:name="sec:foundation"/>
    <w:p>
      <w:pPr>
        <w:pStyle w:val="Heading2"/>
      </w:pPr>
      <w:r>
        <w:t xml:space="preserve">Analytical Approach: Contractual Exposure as the Forecasting Primitive</w:t>
      </w:r>
    </w:p>
    <w:p>
      <w:pPr>
        <w:pStyle w:val="FirstParagraph"/>
      </w:pPr>
      <w:r>
        <w:t xml:space="preserve">Most bubble calls argue about prices. This one argues about</w:t>
      </w:r>
      <w:r>
        <w:t xml:space="preserve"> </w:t>
      </w:r>
      <w:r>
        <w:rPr>
          <w:i/>
          <w:iCs/>
        </w:rPr>
        <w:t xml:space="preserve">plumbing</w:t>
      </w:r>
      <w:r>
        <w:t xml:space="preserve">:</w:t>
      </w:r>
      <w:r>
        <w:t xml:space="preserve"> </w:t>
      </w:r>
      <w:r>
        <w:t xml:space="preserve">the $675.40B of committed round-trip financing, across 17 booked deals,</w:t>
      </w:r>
      <w:r>
        <w:t xml:space="preserve"> </w:t>
      </w:r>
      <w:r>
        <w:t xml:space="preserve">that wires the AI stack into a single fate-sharing machine. When company A</w:t>
      </w:r>
      <w:r>
        <w:t xml:space="preserve"> </w:t>
      </w:r>
      <w:r>
        <w:t xml:space="preserve">invests in company B and B contractually spends the money back at A, two</w:t>
      </w:r>
      <w:r>
        <w:t xml:space="preserve"> </w:t>
      </w:r>
      <w:r>
        <w:t xml:space="preserve">balance sheets become one balance sheet wearing two logos. Prices can then</w:t>
      </w:r>
      <w:r>
        <w:t xml:space="preserve"> </w:t>
      </w:r>
      <w:r>
        <w:t xml:space="preserve">stay high for good reasons (real revenues: NVIDIA’s record $57.0B quarter, Q3 FY2026)</w:t>
      </w:r>
      <w:r>
        <w:t xml:space="preserve"> </w:t>
      </w:r>
      <w:r>
        <w:t xml:space="preserve">while the financing underneath stays fragile. That split — real revenues,</w:t>
      </w:r>
      <w:r>
        <w:t xml:space="preserve"> </w:t>
      </w:r>
      <w:r>
        <w:t xml:space="preserve">fragile financing — is what makes a burst prediction possible without a</w:t>
      </w:r>
      <w:r>
        <w:t xml:space="preserve"> </w:t>
      </w:r>
      <w:r>
        <w:t xml:space="preserve">price prediction: you do not need to know when enthusiasm fades, only where</w:t>
      </w:r>
      <w:r>
        <w:t xml:space="preserve"> </w:t>
      </w:r>
      <w:r>
        <w:t xml:space="preserve">the contracts point when it does. The machinery is a single Python</w:t>
      </w:r>
      <w:r>
        <w:t xml:space="preserve"> </w:t>
      </w:r>
      <w:r>
        <w:t xml:space="preserve">pipeline of 35 classes covering data validation, market structure, solved</w:t>
      </w:r>
      <w:r>
        <w:t xml:space="preserve"> </w:t>
      </w:r>
      <w:r>
        <w:t xml:space="preserve">games, welfare accounting, bubble diagnostics, and valuation, gated end to</w:t>
      </w:r>
      <w:r>
        <w:t xml:space="preserve"> </w:t>
      </w:r>
      <w:r>
        <w:t xml:space="preserve">end by 364 tests.</w:t>
      </w:r>
    </w:p>
    <w:p>
      <w:pPr>
        <w:pStyle w:val="BodyText"/>
      </w:pPr>
      <w:r>
        <w:t xml:space="preserve">Why this toolkit and not price charts. Traditional bubble models study</w:t>
      </w:r>
      <w:r>
        <w:t xml:space="preserve"> </w:t>
      </w:r>
      <w:r>
        <w:t xml:space="preserve">anonymous markets through prices, sentiment, or aggregates; the AI stack is</w:t>
      </w:r>
      <w:r>
        <w:t xml:space="preserve"> </w:t>
      </w:r>
      <w:r>
        <w:t xml:space="preserve">the opposite — a handful of giants negotiating bespoke bilateral</w:t>
      </w:r>
      <w:r>
        <w:t xml:space="preserve"> </w:t>
      </w:r>
      <w:r>
        <w:t xml:space="preserve">contracts — so the tools model the plumbing directly.</w:t>
      </w:r>
      <w:r>
        <w:t xml:space="preserve"> </w:t>
      </w:r>
      <w:r>
        <w:rPr>
          <w:i/>
          <w:iCs/>
        </w:rPr>
        <w:t xml:space="preserve">Game theory</w:t>
      </w:r>
      <w:r>
        <w:t xml:space="preserve"> </w:t>
      </w:r>
      <w:r>
        <w:t xml:space="preserve">solves each pairwise negotiation for its stable outcome, exposing the one</w:t>
      </w:r>
      <w:r>
        <w:t xml:space="preserve"> </w:t>
      </w:r>
      <w:r>
        <w:t xml:space="preserve">gridlocked cell. The</w:t>
      </w:r>
      <w:r>
        <w:t xml:space="preserve"> </w:t>
      </w:r>
      <w:r>
        <w:rPr>
          <w:i/>
          <w:iCs/>
        </w:rPr>
        <w:t xml:space="preserve">Herfindahl–Hirschman Index</w:t>
      </w:r>
      <w:r>
        <w:t xml:space="preserve"> </w:t>
      </w:r>
      <w:r>
        <w:t xml:space="preserve">(the DOJ</w:t>
      </w:r>
      <w:r>
        <w:t xml:space="preserve"> </w:t>
      </w:r>
      <w:r>
        <w:t xml:space="preserve">concentration screen, highly concentrated above 2,500) quantifies the</w:t>
      </w:r>
      <w:r>
        <w:t xml:space="preserve"> </w:t>
      </w:r>
      <w:r>
        <w:t xml:space="preserve">chokepoint: at 3,851, no diversified fringe exists to absorb a failure.</w:t>
      </w:r>
      <w:r>
        <w:t xml:space="preserve"> </w:t>
      </w:r>
      <w:r>
        <w:rPr>
          <w:i/>
          <w:iCs/>
        </w:rPr>
        <w:t xml:space="preserve">Saltelli global sensitivity analysis</w:t>
      </w:r>
      <w:r>
        <w:t xml:space="preserve"> </w:t>
      </w:r>
      <w:r>
        <w:t xml:space="preserve">(the variance-decomposition</w:t>
      </w:r>
      <w:r>
        <w:t xml:space="preserve"> </w:t>
      </w:r>
      <w:r>
        <w:t xml:space="preserve">workhorse of physics and climate modeling) then checks which input actually</w:t>
      </w:r>
      <w:r>
        <w:t xml:space="preserve"> </w:t>
      </w:r>
      <w:r>
        <w:t xml:space="preserve">drives fragility: shared circular capital scores a total-order index of</w:t>
      </w:r>
      <w:r>
        <w:t xml:space="preserve"> </w:t>
      </w:r>
      <w:r>
        <w:t xml:space="preserve">0.99, confirming the prediction emphasizes the variable the system is most</w:t>
      </w:r>
      <w:r>
        <w:t xml:space="preserve"> </w:t>
      </w:r>
      <w:r>
        <w:t xml:space="preserve">sensitive to.</w:t>
      </w:r>
    </w:p>
    <w:p>
      <w:pPr>
        <w:pStyle w:val="BodyText"/>
      </w:pPr>
      <w:r>
        <w:t xml:space="preserve">The late-1990s telecom bust is the closest precedent: vendors booking</w:t>
      </w:r>
      <w:r>
        <w:t xml:space="preserve"> </w:t>
      </w:r>
      <w:r>
        <w:t xml:space="preserve">revenue by lending to their own buyers (Nortel, Lucent), receivables failing</w:t>
      </w:r>
      <w:r>
        <w:t xml:space="preserve"> </w:t>
      </w:r>
      <w:r>
        <w:t xml:space="preserve">together with sales. Today’s version runs mostly on cash</w:t>
      </w:r>
      <w:r>
        <w:t xml:space="preserve"> </w:t>
      </w:r>
      <w:r>
        <w:t xml:space="preserve">flow rather than debt, with a growing debt-financed fringe — GPU-collateral</w:t>
      </w:r>
      <w:r>
        <w:t xml:space="preserve"> </w:t>
      </w:r>
      <w:r>
        <w:t xml:space="preserve">borrowing, the $500B prospective (unbooked, aspirational) facility, Oracle’s $18B single-day</w:t>
      </w:r>
      <w:r>
        <w:t xml:space="preserve"> </w:t>
      </w:r>
      <w:r>
        <w:t xml:space="preserve">bond (Table </w:t>
      </w:r>
      <w:hyperlink w:anchor="tab:10-credit-tripwires-september-2026">
        <w:r>
          <w:rPr>
            <w:rStyle w:val="Hyperlink"/>
          </w:rPr>
          <w:t xml:space="preserve">10</w:t>
        </w:r>
      </w:hyperlink>
      <w:r>
        <w:t xml:space="preserve">) — which is where a 2008-style accelerant would come from.</w:t>
      </w:r>
    </w:p>
    <w:bookmarkEnd w:id="50"/>
    <w:bookmarkStart w:id="51" w:name="sec:literature"/>
    <w:p>
      <w:pPr>
        <w:pStyle w:val="Heading2"/>
      </w:pPr>
      <w:r>
        <w:t xml:space="preserve">Literature Review: Bubbles, Platforms, and Fragility</w:t>
      </w:r>
    </w:p>
    <w:p>
      <w:pPr>
        <w:pStyle w:val="FirstParagraph"/>
      </w:pPr>
      <w:r>
        <w:t xml:space="preserve">This prediction does not start from zero. Five strands of published research</w:t>
      </w:r>
      <w:r>
        <w:t xml:space="preserve"> </w:t>
      </w:r>
      <w:r>
        <w:t xml:space="preserve">supply its tools, its benchmarks, and its warnings; this section states each</w:t>
      </w:r>
      <w:r>
        <w:t xml:space="preserve"> </w:t>
      </w:r>
      <w:r>
        <w:t xml:space="preserve">in one paragraph, with pointers for readers who want the originals. Full</w:t>
      </w:r>
      <w:r>
        <w:t xml:space="preserve"> </w:t>
      </w:r>
      <w:r>
        <w:t xml:space="preserve">references sit in the References list, in APA style.</w:t>
      </w:r>
    </w:p>
    <w:p>
      <w:pPr>
        <w:pStyle w:val="BodyText"/>
      </w:pPr>
      <w:r>
        <w:rPr>
          <w:i/>
          <w:iCs/>
        </w:rPr>
        <w:t xml:space="preserve">1. How economists spot bubbles.</w:t>
      </w:r>
      <w:r>
        <w:t xml:space="preserve"> </w:t>
      </w:r>
      <w:r>
        <w:t xml:space="preserve">The standard statistical toolkit hunts</w:t>
      </w:r>
      <w:r>
        <w:t xml:space="preserve"> </w:t>
      </w:r>
      <w:r>
        <w:t xml:space="preserve">explosive price paths: Phillips et al. (2011) built the SADF test that</w:t>
      </w:r>
      <w:r>
        <w:t xml:space="preserve"> </w:t>
      </w:r>
      <w:r>
        <w:t xml:space="preserve">date-stamps when exuberance starts and collapses, and</w:t>
      </w:r>
      <w:r>
        <w:t xml:space="preserve"> </w:t>
      </w:r>
      <w:r>
        <w:t xml:space="preserve">Phillips et al. (2015) generalized it to multiple bubbles. The dot-com</w:t>
      </w:r>
      <w:r>
        <w:t xml:space="preserve"> </w:t>
      </w:r>
      <w:r>
        <w:t xml:space="preserve">precedent — world-changing technology alongside prices far above eventual</w:t>
      </w:r>
      <w:r>
        <w:t xml:space="preserve"> </w:t>
      </w:r>
      <w:r>
        <w:t xml:space="preserve">cash flows — is documented by Ofek and Richardson (2003), while Greenwood et al. (2019)</w:t>
      </w:r>
      <w:r>
        <w:t xml:space="preserve"> </w:t>
      </w:r>
      <w:r>
        <w:t xml:space="preserve">show such run-ups predictably end in crashes.</w:t>
      </w:r>
      <w:r>
        <w:t xml:space="preserve"> </w:t>
      </w:r>
      <w:r>
        <w:t xml:space="preserve">Takeaway for this paper: price tests tell you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something looks</w:t>
      </w:r>
      <w:r>
        <w:t xml:space="preserve"> </w:t>
      </w:r>
      <w:r>
        <w:t xml:space="preserve">explosive; they cannot tell you</w:t>
      </w:r>
      <w:r>
        <w:t xml:space="preserve"> </w:t>
      </w:r>
      <w:r>
        <w:rPr>
          <w:i/>
          <w:iCs/>
        </w:rPr>
        <w:t xml:space="preserve">where the losses land</w:t>
      </w:r>
      <w:r>
        <w:t xml:space="preserve">. The financing</w:t>
      </w:r>
      <w:r>
        <w:t xml:space="preserve"> </w:t>
      </w:r>
      <w:r>
        <w:t xml:space="preserve">graph modeled here answers the second question, which is why the two</w:t>
      </w:r>
      <w:r>
        <w:t xml:space="preserve"> </w:t>
      </w:r>
      <w:r>
        <w:t xml:space="preserve">approaches complement rather than compete.</w:t>
      </w:r>
    </w:p>
    <w:p>
      <w:pPr>
        <w:pStyle w:val="BodyText"/>
      </w:pPr>
      <w:r>
        <w:rPr>
          <w:i/>
          <w:iCs/>
        </w:rPr>
        <w:t xml:space="preserve">2. What AI does to the economy.</w:t>
      </w:r>
      <w:r>
        <w:t xml:space="preserve"> </w:t>
      </w:r>
      <w:r>
        <w:t xml:space="preserve">Agrawal et al. (2018) and</w:t>
      </w:r>
      <w:r>
        <w:t xml:space="preserve"> </w:t>
      </w:r>
      <w:r>
        <w:t xml:space="preserve">Agrawal et al. (2019) founded the economics-of-AI research program; since then,</w:t>
      </w:r>
      <w:r>
        <w:t xml:space="preserve"> </w:t>
      </w:r>
      <w:r>
        <w:t xml:space="preserve">field evidence has measured real productivity gains from generative AI</w:t>
      </w:r>
      <w:r>
        <w:t xml:space="preserve"> </w:t>
      </w:r>
      <w:r>
        <w:t xml:space="preserve">(Brynjolfsson et al. (2025); Noy and Zhang (2023)), while Brynjolfsson et al. (2021) and the</w:t>
      </w:r>
      <w:r>
        <w:t xml:space="preserve"> </w:t>
      </w:r>
      <w:r>
        <w:t xml:space="preserve">classic David (1990) remind us that general-purpose technologies pay off</w:t>
      </w:r>
      <w:r>
        <w:t xml:space="preserve"> </w:t>
      </w:r>
      <w:r>
        <w:t xml:space="preserve">slowly (the productivity J-curve). Macro watchdogs agree the stakes are</w:t>
      </w:r>
      <w:r>
        <w:t xml:space="preserve"> </w:t>
      </w:r>
      <w:r>
        <w:t xml:space="preserve">systemic: the IMF flags an AI-correction risk to global growth</w:t>
      </w:r>
      <w:r>
        <w:t xml:space="preserve"> </w:t>
      </w:r>
      <w:r>
        <w:t xml:space="preserve">(IMF (2026b)) and warns big tech is</w:t>
      </w:r>
      <w:r>
        <w:t xml:space="preserve"> </w:t>
      </w:r>
      <w:r>
        <w:t xml:space="preserve">“starting to leverage up”</w:t>
      </w:r>
      <w:r>
        <w:t xml:space="preserve"> </w:t>
      </w:r>
      <w:r>
        <w:t xml:space="preserve">(Adrian (2026)), and the BIS puts AI supply-chain funding complexity on its</w:t>
      </w:r>
      <w:r>
        <w:t xml:space="preserve"> </w:t>
      </w:r>
      <w:r>
        <w:t xml:space="preserve">risk list (Bank for International Settlements (2026)). Takeaway: the revolution is real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financing is fragile — this paper’s</w:t>
      </w:r>
      <w:r>
        <w:t xml:space="preserve"> </w:t>
      </w:r>
      <w:r>
        <w:t xml:space="preserve">“real revenues, fragile financing”</w:t>
      </w:r>
      <w:r>
        <w:t xml:space="preserve"> </w:t>
      </w:r>
      <w:r>
        <w:t xml:space="preserve">split is the consensus view, quantified.</w:t>
      </w:r>
    </w:p>
    <w:p>
      <w:pPr>
        <w:pStyle w:val="BodyText"/>
      </w:pPr>
      <w:r>
        <w:rPr>
          <w:i/>
          <w:iCs/>
        </w:rPr>
        <w:t xml:space="preserve">3. Why platforms lock customers in.</w:t>
      </w:r>
      <w:r>
        <w:t xml:space="preserve"> </w:t>
      </w:r>
      <w:r>
        <w:t xml:space="preserve">Cloud bundling follows the</w:t>
      </w:r>
      <w:r>
        <w:t xml:space="preserve"> </w:t>
      </w:r>
      <w:r>
        <w:t xml:space="preserve">information-goods logic of Shapiro and Varian (1999) and Bakos and Brynjolfsson (2000);</w:t>
      </w:r>
      <w:r>
        <w:t xml:space="preserve"> </w:t>
      </w:r>
      <w:r>
        <w:t xml:space="preserve">switching costs and network effects are surveyed by Farrell and Klemperer (2007);</w:t>
      </w:r>
      <w:r>
        <w:t xml:space="preserve"> </w:t>
      </w:r>
      <w:r>
        <w:t xml:space="preserve">sunk-cost market structure by Sutton (1991); semiconductor competition</w:t>
      </w:r>
      <w:r>
        <w:t xml:space="preserve"> </w:t>
      </w:r>
      <w:r>
        <w:t xml:space="preserve">by Scherer and Ross (1990). On policy, the Digital Markets Act (European Commission (2022)),</w:t>
      </w:r>
      <w:r>
        <w:t xml:space="preserve"> </w:t>
      </w:r>
      <w:r>
        <w:t xml:space="preserve">the digital-era competition report (Crémer et al. (2019)), vertical-stack</w:t>
      </w:r>
      <w:r>
        <w:t xml:space="preserve"> </w:t>
      </w:r>
      <w:r>
        <w:t xml:space="preserve">analysis (Hagiu and Wright (2025)), the antitrust-paradigm literature</w:t>
      </w:r>
      <w:r>
        <w:t xml:space="preserve"> </w:t>
      </w:r>
      <w:r>
        <w:t xml:space="preserve">(Baker (2019)), and data-portability economics (Krämer et al. (2020)) shape</w:t>
      </w:r>
      <w:r>
        <w:t xml:space="preserve"> </w:t>
      </w:r>
      <w:r>
        <w:t xml:space="preserve">the remedy menu, while the FTC documents investment capital bundled with</w:t>
      </w:r>
      <w:r>
        <w:t xml:space="preserve"> </w:t>
      </w:r>
      <w:r>
        <w:t xml:space="preserve">cloud spend (Federal Trade Commission (2025)). Takeaway: lock-in theory predicts exactly the</w:t>
      </w:r>
      <w:r>
        <w:t xml:space="preserve"> </w:t>
      </w:r>
      <w:r>
        <w:t xml:space="preserve">$142.62B switching-cost envelope this paper measures — the oldest</w:t>
      </w:r>
      <w:r>
        <w:t xml:space="preserve"> </w:t>
      </w:r>
      <w:r>
        <w:t xml:space="preserve">literature here correctly calls the largest waste category. The classic</w:t>
      </w:r>
      <w:r>
        <w:t xml:space="preserve"> </w:t>
      </w:r>
      <w:r>
        <w:t xml:space="preserve">monopoly-waste benchmark is Harberger (1954), and the reason fixing one</w:t>
      </w:r>
      <w:r>
        <w:t xml:space="preserve"> </w:t>
      </w:r>
      <w:r>
        <w:t xml:space="preserve">broken margin can backfire elsewhere is Lipsey and Lancaster (1956).</w:t>
      </w:r>
    </w:p>
    <w:p>
      <w:pPr>
        <w:pStyle w:val="BodyText"/>
      </w:pPr>
      <w:r>
        <w:rPr>
          <w:i/>
          <w:iCs/>
        </w:rPr>
        <w:t xml:space="preserve">4. Vendor financing and fire sales.</w:t>
      </w:r>
      <w:r>
        <w:t xml:space="preserve"> </w:t>
      </w:r>
      <w:r>
        <w:t xml:space="preserve">Round-trip financing has a known</w:t>
      </w:r>
      <w:r>
        <w:t xml:space="preserve"> </w:t>
      </w:r>
      <w:r>
        <w:t xml:space="preserve">pathology (telecom vendors lending to their own buyers), and the fire-sale</w:t>
      </w:r>
      <w:r>
        <w:t xml:space="preserve"> </w:t>
      </w:r>
      <w:r>
        <w:t xml:space="preserve">mechanic — homogeneous collateral worth less together than apart — is</w:t>
      </w:r>
      <w:r>
        <w:t xml:space="preserve"> </w:t>
      </w:r>
      <w:r>
        <w:t xml:space="preserve">formalized by Shleifer and Vishny (1992). The cascade engine in this paper is the</w:t>
      </w:r>
      <w:r>
        <w:t xml:space="preserve"> </w:t>
      </w:r>
      <w:r>
        <w:t xml:space="preserve">DebtRank method of Battiston et al. (2012). Takeaway: every moving part of the</w:t>
      </w:r>
      <w:r>
        <w:t xml:space="preserve"> </w:t>
      </w:r>
      <w:r>
        <w:t xml:space="preserve">contagion story is borrowed from established work; the novelty is wiring</w:t>
      </w:r>
      <w:r>
        <w:t xml:space="preserve"> </w:t>
      </w:r>
      <w:r>
        <w:t xml:space="preserve">them into one stack with measured exposures.</w:t>
      </w:r>
    </w:p>
    <w:p>
      <w:pPr>
        <w:pStyle w:val="BodyText"/>
      </w:pPr>
      <w:r>
        <w:rPr>
          <w:i/>
          <w:iCs/>
        </w:rPr>
        <w:t xml:space="preserve">5. Concentration and hype measurement.</w:t>
      </w:r>
      <w:r>
        <w:t xml:space="preserve"> </w:t>
      </w:r>
      <w:r>
        <w:t xml:space="preserve">AI markets concentrate through</w:t>
      </w:r>
      <w:r>
        <w:t xml:space="preserve"> </w:t>
      </w:r>
      <w:r>
        <w:t xml:space="preserve">fixed training costs and size advantages even without misconduct</w:t>
      </w:r>
      <w:r>
        <w:t xml:space="preserve"> </w:t>
      </w:r>
      <w:r>
        <w:t xml:space="preserve">(Korinek and Vipra (2025)). Scale anchors come from the IEA’s energy projections</w:t>
      </w:r>
      <w:r>
        <w:t xml:space="preserve"> </w:t>
      </w:r>
      <w:r>
        <w:t xml:space="preserve">(IEA (2026)), IDC spending guides (International Data Corporation (2026)), and the PwC data-center</w:t>
      </w:r>
      <w:r>
        <w:t xml:space="preserve"> </w:t>
      </w:r>
      <w:r>
        <w:t xml:space="preserve">outlook (PwC (2026)); GDP and fiscal baselines from the BEA (U.S. Bureau of Economic Analysis (2026))</w:t>
      </w:r>
      <w:r>
        <w:t xml:space="preserve"> </w:t>
      </w:r>
      <w:r>
        <w:t xml:space="preserve">and CBO (Congressional Budget Office (2022)); valuation discipline from Damodaran’s risk-premium</w:t>
      </w:r>
      <w:r>
        <w:t xml:space="preserve"> </w:t>
      </w:r>
      <w:r>
        <w:t xml:space="preserve">data (Damodaran (2026)). Takeaway: the calibration inputs are</w:t>
      </w:r>
      <w:r>
        <w:t xml:space="preserve"> </w:t>
      </w:r>
      <w:r>
        <w:t xml:space="preserve">institutional-grade public sources, listed to the row in the pipeline’s</w:t>
      </w:r>
      <w:r>
        <w:t xml:space="preserve"> </w:t>
      </w:r>
      <w:r>
        <w:t xml:space="preserve">110-row register.</w:t>
      </w:r>
    </w:p>
    <w:bookmarkEnd w:id="51"/>
    <w:bookmarkStart w:id="69" w:name="sec:capital"/>
    <w:p>
      <w:pPr>
        <w:pStyle w:val="Heading2"/>
      </w:pPr>
      <w:r>
        <w:t xml:space="preserve">Measurement of Circular Capital: Scale and Composition</w:t>
      </w:r>
    </w:p>
    <w:p>
      <w:pPr>
        <w:pStyle w:val="FirstParagraph"/>
      </w:pPr>
      <w:r>
        <w:t xml:space="preserve">Seventeen committed deals, each traced to primary reporting and re-verified</w:t>
      </w:r>
      <w:r>
        <w:t xml:space="preserve"> </w:t>
      </w:r>
      <w:r>
        <w:t xml:space="preserve">in September 2026, put $675.40B of circular capital on the books</w:t>
      </w:r>
      <w:r>
        <w:t xml:space="preserve"> </w:t>
      </w:r>
      <w:r>
        <w:t xml:space="preserve">($1,188.33B tracked including two memo rows); the largest rows are a</w:t>
      </w:r>
      <w:r>
        <w:t xml:space="preserve"> </w:t>
      </w:r>
      <w:r>
        <w:t xml:space="preserve">$249.20B aggregate GPU-supply exposure and a $105B NVIDIA credit</w:t>
      </w:r>
      <w:r>
        <w:t xml:space="preserve"> </w:t>
      </w:r>
      <w:r>
        <w:t xml:space="preserve">guarantee (Table </w:t>
      </w:r>
      <w:hyperlink w:anchor="X36a6b63b1b9b2688e39bb19d27731f1d7e9d3f0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Parked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booked total, exactly as they should be:</w:t>
      </w:r>
      <w:r>
        <w:t xml:space="preserve"> </w:t>
      </w:r>
      <w:r>
        <w:t xml:space="preserve">Google’s $30B conditional tranche, Amazon’s $20B, an NVIDIA tranche of up</w:t>
      </w:r>
      <w:r>
        <w:t xml:space="preserve"> </w:t>
      </w:r>
      <w:r>
        <w:t xml:space="preserve">to $10B, decade-horizon reverse spends, the</w:t>
      </w:r>
      <w:r>
        <w:t xml:space="preserve"> </w:t>
      </w:r>
      <w:r>
        <w:t xml:space="preserve">$500B six-platform MOU facility (aspiration, not a contract), and the</w:t>
      </w:r>
      <w:r>
        <w:t xml:space="preserve"> </w:t>
      </w:r>
      <w:r>
        <w:t xml:space="preserve">$12.93B NVIDIA–Hugging Face acquisition (a purchase price for control,</w:t>
      </w:r>
      <w:r>
        <w:t xml:space="preserve"> </w:t>
      </w:r>
      <w:r>
        <w:t xml:space="preserve">with no reverse-spend leg).</w:t>
      </w:r>
    </w:p>
    <w:bookmarkStart w:id="52" w:name="X36a6b63b1b9b2688e39bb19d27731f1d7e9d3f0"/>
    <w:p>
      <w:pPr>
        <w:pStyle w:val="TableCaption"/>
      </w:pPr>
      <w:r>
        <w:t xml:space="preserve">Largest committed circular exposures ($B). Full 19-row frame in the pipeline’s validated deal ledger (pipeline Table 3 series).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rgest committed circular exposures ($B). Full 19-row frame in the pipeline’s validated deal ledger (pipeline Table 3 serie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GPU-supply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$105B Ohio credit guarantee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+ Nscale compute commitment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Fluidstack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SpaceX Colossus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cloud agreement (OpenAI)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purchase (Anthropic)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CoreWeave contract (Meta)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Microsoft–OpenAI / Amazon–Anthropic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Committed total (17 edges)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675.40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Tracked total (19 rows)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1,188.33</w:t>
            </w:r>
          </w:p>
        </w:tc>
      </w:tr>
    </w:tbl>
    <w:bookmarkEnd w:id="52"/>
    <w:bookmarkStart w:id="56" w:name="fig:01-the-fatesharing-machine-directed"/>
    <w:p>
      <w:pPr>
        <w:pStyle w:val="CaptionedFigure"/>
      </w:pPr>
      <w:r>
        <w:drawing>
          <wp:inline>
            <wp:extent cx="4754880" cy="369332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_1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9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fate-sharing machine: directed circular-financing edges and node vulnerability. Foundation Models sit at the receiving end of most circular financing; Hardware anchors the supply side — which is why the burst ranking runs opposite to the hype.</w:t>
      </w:r>
    </w:p>
    <w:bookmarkEnd w:id="56"/>
    <w:bookmarkStart w:id="60" w:name="fig:02-market-size-and-concentration"/>
    <w:p>
      <w:pPr>
        <w:pStyle w:val="CaptionedFigure"/>
      </w:pPr>
      <w:r>
        <w:drawing>
          <wp:inline>
            <wp:extent cx="4279392" cy="423433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_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392" cy="423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size and concentration behind the prediction: 2025 revenue by archetype with the 2030 projection, the cross-stack composition index (3,851) split into archetype contributions, and revenue shares. Concentration is the reason a single relationship’s failure matters at macro scale.</w:t>
      </w:r>
    </w:p>
    <w:bookmarkEnd w:id="60"/>
    <w:p>
      <w:pPr>
        <w:pStyle w:val="BodyText"/>
      </w:pPr>
      <w:r>
        <w:t xml:space="preserve">Prediction consequence: because one row (GPU supply, 36.9%) and one pair</w:t>
      </w:r>
      <w:r>
        <w:t xml:space="preserve"> </w:t>
      </w:r>
      <w:r>
        <w:t xml:space="preserve">(Hardware–Cloud) dominate the frame, the burst has a chokepoint. Shocks</w:t>
      </w:r>
      <w:r>
        <w:t xml:space="preserve"> </w:t>
      </w:r>
      <w:r>
        <w:t xml:space="preserve">dissipate across diversified graphs; they detonate in concentrated ones.</w:t>
      </w:r>
    </w:p>
    <w:bookmarkStart w:id="64" w:name="fig:03-booked-frame-by-exposure"/>
    <w:p>
      <w:pPr>
        <w:pStyle w:val="CaptionedFigure"/>
      </w:pPr>
      <w:r>
        <w:drawing>
          <wp:inline>
            <wp:extent cx="5943600" cy="285517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red_layer_composi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Booked frame by exposure layer (Table A.4): committed procurement ($518.4B, 76.8%) plus the $105B credit guarantee and $52B of equity exposure sum to $675.40B. The $500B prospective facility and $12.93B vertical-integration purchase are tracked but parked outside every loss computation — the accounting discipline that keeps the frame auditable.</w:t>
      </w:r>
    </w:p>
    <w:bookmarkEnd w:id="64"/>
    <w:p>
      <w:pPr>
        <w:pStyle w:val="BodyText"/>
      </w:pPr>
      <w:r>
        <w:t xml:space="preserve">Layer reading: more than three-quarters of the booked frame is procurement</w:t>
      </w:r>
      <w:r>
        <w:t xml:space="preserve"> </w:t>
      </w:r>
      <w:r>
        <w:t xml:space="preserve">(payment obligations that propagate at face in DebtRank), which is why the</w:t>
      </w:r>
      <w:r>
        <w:t xml:space="preserve"> </w:t>
      </w:r>
      <w:r>
        <w:t xml:space="preserve">cascade of Section </w:t>
      </w:r>
      <w:hyperlink w:anchor="sec:contagion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runs primarily through unpaid</w:t>
      </w:r>
      <w:r>
        <w:t xml:space="preserve"> </w:t>
      </w:r>
      <w:r>
        <w:t xml:space="preserve">compute bills rather than equity markdowns. The guarantee layer (15.5%) is</w:t>
      </w:r>
      <w:r>
        <w:t xml:space="preserve"> </w:t>
      </w:r>
      <w:r>
        <w:t xml:space="preserve">contingent — it pays only on default — so it concentrates the tail:</w:t>
      </w:r>
      <w:r>
        <w:t xml:space="preserve"> </w:t>
      </w:r>
      <w:r>
        <w:t xml:space="preserve">small in the base case, outsized in the severe one.</w:t>
      </w:r>
    </w:p>
    <w:bookmarkStart w:id="68" w:name="fig:32-concentration-two-archetypes-own"/>
    <w:p>
      <w:pPr>
        <w:pStyle w:val="CaptionedFigure"/>
      </w:pPr>
      <w:r>
        <w:drawing>
          <wp:inline>
            <wp:extent cx="5943600" cy="282835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red_concentr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Concentration behind the prediction (Table 7.1): Hardware (54.7%) and Cloud (42.2%) own 97% of the 3,851-point cross-stack index. Macro stakes live in two archetypes — which is why one relationship’s failure is a sectoral event.</w:t>
      </w:r>
    </w:p>
    <w:bookmarkEnd w:id="68"/>
    <w:bookmarkEnd w:id="69"/>
    <w:bookmarkStart w:id="79" w:name="sec:games"/>
    <w:p>
      <w:pPr>
        <w:pStyle w:val="Heading2"/>
      </w:pPr>
      <w:r>
        <w:t xml:space="preserve">Strategic Interaction: Six Bilateral Games and the Scope for Cooperation</w:t>
      </w:r>
    </w:p>
    <w:p>
      <w:pPr>
        <w:pStyle w:val="FirstParagraph"/>
      </w:pPr>
      <w:r>
        <w:t xml:space="preserve">The core game is the prediction’s engine, but the other five set its</w:t>
      </w:r>
      <w:r>
        <w:t xml:space="preserve"> </w:t>
      </w:r>
      <w:r>
        <w:t xml:space="preserve">boundaries. Each row below gives the stable outcome, the best-joint</w:t>
      </w:r>
      <w:r>
        <w:t xml:space="preserve"> </w:t>
      </w:r>
      <w:r>
        <w:t xml:space="preserve">outcome, the trapped value, and the payment that would unlock it.</w:t>
      </w:r>
    </w:p>
    <w:bookmarkStart w:id="70" w:name="tab:02-all-six-games-stable"/>
    <w:p>
      <w:pPr>
        <w:pStyle w:val="TableCaption"/>
      </w:pPr>
      <w:r>
        <w:t xml:space="preserve">All six games: stable vs. best-joint welfare ($B).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 six games: stable vs. best-joint welfare ($B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Joint 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Trapped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Transfer to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HW–Cloud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1,094.8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1,153.4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176.0 (HW to 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HW–Foundation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46.7 (HW to FM)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HW–Wrappers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 (HW to Wrappers)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Cloud–Foundation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46.3 (Cloud to FM)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Cloud–Wrappers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 (Cloud to Wrappers)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FM–Wrappers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 (FM to Wrappers)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 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307.4</w:t>
            </w:r>
          </w:p>
        </w:tc>
      </w:tr>
    </w:tbl>
    <w:bookmarkEnd w:id="70"/>
    <w:p>
      <w:pPr>
        <w:pStyle w:val="BodyText"/>
      </w:pPr>
      <w:r>
        <w:t xml:space="preserve">Three prediction readings.</w:t>
      </w:r>
      <w:r>
        <w:t xml:space="preserve"> </w:t>
      </w:r>
      <w:r>
        <w:rPr>
          <w:i/>
          <w:iCs/>
        </w:rPr>
        <w:t xml:space="preserve">First</w:t>
      </w:r>
      <w:r>
        <w:t xml:space="preserve">, the largest trapped value</w:t>
      </w:r>
      <w:r>
        <w:t xml:space="preserve"> </w:t>
      </w:r>
      <w:r>
        <w:t xml:space="preserve">($247.0B, Hardware–Wrappers) needs the smallest key ($18.7B): the</w:t>
      </w:r>
      <w:r>
        <w:t xml:space="preserve"> </w:t>
      </w:r>
      <w:r>
        <w:t xml:space="preserve">cheapest cooperation in the stack is also among the most valuable, which is</w:t>
      </w:r>
      <w:r>
        <w:t xml:space="preserve"> </w:t>
      </w:r>
      <w:r>
        <w:t xml:space="preserve">where a negotiated settlement would start.</w:t>
      </w:r>
      <w:r>
        <w:t xml:space="preserve"> </w:t>
      </w:r>
      <w:r>
        <w:rPr>
          <w:i/>
          <w:iCs/>
        </w:rPr>
        <w:t xml:space="preserve">Second</w:t>
      </w:r>
      <w:r>
        <w:t xml:space="preserve">, every unlock</w:t>
      </w:r>
      <w:r>
        <w:t xml:space="preserve"> </w:t>
      </w:r>
      <w:r>
        <w:t xml:space="preserve">payment flows upstream-to-downstream, so in a crisis the kill chain runs</w:t>
      </w:r>
      <w:r>
        <w:t xml:space="preserve"> </w:t>
      </w:r>
      <w:r>
        <w:t xml:space="preserve">through whoever refuses to pay — watch Hardware’s and Cloud’s willingness</w:t>
      </w:r>
      <w:r>
        <w:t xml:space="preserve"> </w:t>
      </w:r>
      <w:r>
        <w:t xml:space="preserve">to compensate, not the labs’.</w:t>
      </w:r>
      <w:r>
        <w:t xml:space="preserve"> </w:t>
      </w:r>
      <w:r>
        <w:rPr>
          <w:i/>
          <w:iCs/>
        </w:rPr>
        <w:t xml:space="preserve">Third</w:t>
      </w:r>
      <w:r>
        <w:t xml:space="preserve">, the core game’s $176.0B price</w:t>
      </w:r>
      <w:r>
        <w:t xml:space="preserve"> </w:t>
      </w:r>
      <w:r>
        <w:t xml:space="preserve">tag on a $58.6B gain is the worst ratio in the stack: the most important</w:t>
      </w:r>
      <w:r>
        <w:t xml:space="preserve"> </w:t>
      </w:r>
      <w:r>
        <w:t xml:space="preserve">cooperation is the least likely to happen voluntarily, which is why it needs</w:t>
      </w:r>
      <w:r>
        <w:t xml:space="preserve"> </w:t>
      </w:r>
      <w:r>
        <w:t xml:space="preserve">regulation rather than hope. (The $867.8B sum multi-counts shared players</w:t>
      </w:r>
      <w:r>
        <w:t xml:space="preserve"> </w:t>
      </w:r>
      <w:r>
        <w:t xml:space="preserve">across pairs; the $416.77B top-down bound, not this sum, sizes policy.)</w:t>
      </w:r>
    </w:p>
    <w:p>
      <w:pPr>
        <w:pStyle w:val="BodyText"/>
      </w:pPr>
      <w:r>
        <w:t xml:space="preserve">Standard Coasean bargaining cannot be expected to unlock the core cell.</w:t>
      </w:r>
      <w:r>
        <w:t xml:space="preserve"> </w:t>
      </w:r>
      <w:r>
        <w:t xml:space="preserve">The Cloud provider’s GPU-obsolescence exposure — generation lifecycles of</w:t>
      </w:r>
      <w:r>
        <w:t xml:space="preserve"> </w:t>
      </w:r>
      <w:r>
        <w:t xml:space="preserve">18–24 months against 5-year accounting depreciation — is unobservable to</w:t>
      </w:r>
      <w:r>
        <w:t xml:space="preserve"> </w:t>
      </w:r>
      <w:r>
        <w:t xml:space="preserve">the Hardware side, so no compensating payment clears at fair value. The</w:t>
      </w:r>
      <w:r>
        <w:t xml:space="preserve"> </w:t>
      </w:r>
      <w:r>
        <w:t xml:space="preserve">deeper block is hold-up under vertical asset specificity</w:t>
      </w:r>
      <w:r>
        <w:t xml:space="preserve"> </w:t>
      </w:r>
      <w:r>
        <w:t xml:space="preserve">(Klein et al. (1978); Williamson (1985)): because GPU clusters exhibit extreme</w:t>
      </w:r>
      <w:r>
        <w:t xml:space="preserve"> </w:t>
      </w:r>
      <w:r>
        <w:t xml:space="preserve">physical and temporal specificity, neither counterparty can commit ex ante</w:t>
      </w:r>
      <w:r>
        <w:t xml:space="preserve"> </w:t>
      </w:r>
      <w:r>
        <w:t xml:space="preserve">to long-term surplus sharing without vertical integration or formal credit</w:t>
      </w:r>
      <w:r>
        <w:t xml:space="preserve"> </w:t>
      </w:r>
      <w:r>
        <w:t xml:space="preserve">wraps — which is why the unselected Pareto cell cannot be reached via</w:t>
      </w:r>
      <w:r>
        <w:t xml:space="preserve"> </w:t>
      </w:r>
      <w:r>
        <w:t xml:space="preserve">private contracting alone.</w:t>
      </w:r>
    </w:p>
    <w:bookmarkStart w:id="74" w:name="X99b437a5227e1a9864ec5bd5391c21158a359c7"/>
    <w:p>
      <w:pPr>
        <w:pStyle w:val="CaptionedFigure"/>
      </w:pPr>
      <w:r>
        <w:drawing>
          <wp:inline>
            <wp:extent cx="5052060" cy="352236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_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52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Cooperative benchmark: Shapley values vs. revenue shares (Table 7.18). Hardware (43.4% Shapley on 45.9% revenue) and Cloud (38.7% on 40.3%) capture slightly less than they earn, while Wrappers capture more than they earn (6.1% vs. 3.5%) — downstream players free-ride on upstream investment, which is exactly why upstream-to-downstream transfers are needed to unlock cooperation.</w:t>
      </w:r>
    </w:p>
    <w:bookmarkEnd w:id="74"/>
    <w:bookmarkStart w:id="78" w:name="X64329a36930c9658ffb9b4601f5f54270b27910"/>
    <w:p>
      <w:pPr>
        <w:pStyle w:val="CaptionedFigure"/>
      </w:pPr>
      <w:r>
        <w:drawing>
          <wp:inline>
            <wp:extent cx="5943600" cy="2767668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red_stability_pocket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Equilibrium stability screen (Table 7.4): how often each game’s Nash outcome reproduces across Monte Carlo draws. Four of six games are stable loss pockets (</w:t>
      </w:r>
      <m:oMath>
        <m:r>
          <m:rPr>
            <m:sty m:val="p"/>
          </m:rPr>
          <m:t>≥</m:t>
        </m:r>
      </m:oMath>
      <w:r>
        <w:t xml:space="preserve">80%) — they will sit in their stuck cells indefinitely. The core Hardware–Cloud game is the exception at 64.7%: its stuck cell is the modal outcome, not a certainty, so watch it for the first sign of either negotiated settlement or disorderly break.</w:t>
      </w:r>
    </w:p>
    <w:bookmarkEnd w:id="78"/>
    <w:p>
      <w:pPr>
        <w:pStyle w:val="BodyText"/>
      </w:pPr>
      <w:r>
        <w:t xml:space="preserve">Stability sharpens the prediction’s timing logic. The four peripheral games</w:t>
      </w:r>
      <w:r>
        <w:t xml:space="preserve"> </w:t>
      </w:r>
      <w:r>
        <w:t xml:space="preserve">will not self-correct — their Nash cells reproduce nearly every draw, so</w:t>
      </w:r>
      <w:r>
        <w:t xml:space="preserve"> </w:t>
      </w:r>
      <w:r>
        <w:t xml:space="preserve">waiting for voluntary cooperation there is waiting for nothing. The core</w:t>
      </w:r>
      <w:r>
        <w:t xml:space="preserve"> </w:t>
      </w:r>
      <w:r>
        <w:t xml:space="preserve">game, less stable, is where movement happens first in either direction:</w:t>
      </w:r>
      <w:r>
        <w:t xml:space="preserve"> </w:t>
      </w:r>
      <w:r>
        <w:t xml:space="preserve">settlement (watch for the $176B transfer being negotiated down) or rupture</w:t>
      </w:r>
      <w:r>
        <w:t xml:space="preserve"> </w:t>
      </w:r>
      <w:r>
        <w:t xml:space="preserve">(watch the trigger framework of Section </w:t>
      </w:r>
      <w:hyperlink w:anchor="sec:triggers">
        <w:r>
          <w:rPr>
            <w:rStyle w:val="Hyperlink"/>
          </w:rPr>
          <w:t xml:space="preserve">15</w:t>
        </w:r>
      </w:hyperlink>
      <w:r>
        <w:t xml:space="preserve">). Note what this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threaten: P2’s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90% burst ranking, which follows</w:t>
      </w:r>
      <w:r>
        <w:t xml:space="preserve"> </w:t>
      </w:r>
      <w:r>
        <w:t xml:space="preserve">contracts rather than equilibria — even in draws where the core game</w:t>
      </w:r>
      <w:r>
        <w:t xml:space="preserve"> </w:t>
      </w:r>
      <w:r>
        <w:t xml:space="preserve">flips, the loss address does not move.</w:t>
      </w:r>
    </w:p>
    <w:bookmarkEnd w:id="79"/>
    <w:bookmarkStart w:id="89" w:name="sec:core"/>
    <w:p>
      <w:pPr>
        <w:pStyle w:val="Heading2"/>
      </w:pPr>
      <w:r>
        <w:t xml:space="preserve">The Binding Constraint: Non-Cooperation in the Hardware–Cloud Game</w:t>
      </w:r>
    </w:p>
    <w:p>
      <w:pPr>
        <w:pStyle w:val="FirstParagraph"/>
      </w:pPr>
      <w:r>
        <w:t xml:space="preserve">Six pairwise standoffs were solved. All six trap value absent cooperation,</w:t>
      </w:r>
      <w:r>
        <w:t xml:space="preserve"> </w:t>
      </w:r>
      <w:r>
        <w:t xml:space="preserve">but only one binds the prediction: Hardware vs. Cloud. Chipmakers stay</w:t>
      </w:r>
      <w:r>
        <w:t xml:space="preserve"> </w:t>
      </w:r>
      <w:r>
        <w:t xml:space="preserve">open while clouds stay locked</w:t>
      </w:r>
      <w:r>
        <w:t xml:space="preserve"> </w:t>
      </w:r>
      <w:r>
        <w:t xml:space="preserve">in — neither side wants to move alone — trapping $58.6B that</w:t>
      </w:r>
      <w:r>
        <w:t xml:space="preserve"> </w:t>
      </w:r>
      <w:r>
        <w:t xml:space="preserve">cooperation would unlock (94.9% efficient). That single stuck relationship,</w:t>
      </w:r>
      <w:r>
        <w:t xml:space="preserve"> </w:t>
      </w:r>
      <w:r>
        <w:t xml:space="preserve">sitting on the largest contract base in the stack, is the structural reason</w:t>
      </w:r>
      <w:r>
        <w:t xml:space="preserve"> </w:t>
      </w:r>
      <w:r>
        <w:t xml:space="preserve">a repricing becomes a loss rather than a shrug.</w:t>
      </w:r>
    </w:p>
    <w:bookmarkStart w:id="80" w:name="tab:03-the-core-hardwarecloud-game"/>
    <w:p>
      <w:pPr>
        <w:pStyle w:val="TableCaption"/>
      </w:pPr>
      <w:r>
        <w:t xml:space="preserve">The core Hardware–Cloud game ($B). The stuck cell is the selected equilibrium; the best-joint cell is Nash too — payoff- and risk-dominant — but unselected, so persistence of the inferior cell is a lock-in story, not an incentives story.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core Hardware–Cloud game ($B). The stuck cell is the selected equilibrium; the best-joint cell is Nash too — payoff- and risk-dominant — but unselected, so persistence of the inferior cell is a lock-in story, not an incentives stor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Cloud: 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Cloud: Locked (Nash)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Hardware: Open (Nash)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487.9 + 606.8 = 1,094.8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Hardware: Walled (Pareto)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722.5 + 430.8 = 1,153.4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80"/>
    <w:bookmarkStart w:id="84" w:name="fig:06-all-six-pairwise-standoffs"/>
    <w:p>
      <w:pPr>
        <w:pStyle w:val="CaptionedFigure"/>
      </w:pPr>
      <w:r>
        <w:drawing>
          <wp:inline>
            <wp:extent cx="5052060" cy="361147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igure_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61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six pairwise standoffs with stable and best-joint cells marked. Only the infrastructure core binds — the prediction’s single bottleneck.</w:t>
      </w:r>
    </w:p>
    <w:bookmarkEnd w:id="84"/>
    <w:bookmarkStart w:id="88" w:name="fig:07-the-core-game-up"/>
    <w:p>
      <w:pPr>
        <w:pStyle w:val="CaptionedFigure"/>
      </w:pPr>
      <w:r>
        <w:drawing>
          <wp:inline>
            <wp:extent cx="5943600" cy="235696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figure_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core game up close: the lock-in cell maximizes neither player’s payoff alone but is unilaterally stable. Unlocking it requires a $176.0B compensating transfer from Hardware to Cloud — the price of the $58.6B joint gain.</w:t>
      </w:r>
    </w:p>
    <w:bookmarkEnd w:id="88"/>
    <w:p>
      <w:pPr>
        <w:pStyle w:val="BodyText"/>
      </w:pPr>
      <w:r>
        <w:t xml:space="preserve">Two audits sharpen the reading. The multiplicity audit (Table 3.6) finds the</w:t>
      </w:r>
      <w:r>
        <w:t xml:space="preserve"> </w:t>
      </w:r>
      <w:r>
        <w:t xml:space="preserve">core game’s efficient outcome is both payoff- and risk-dominant — yet the</w:t>
      </w:r>
      <w:r>
        <w:t xml:space="preserve"> </w:t>
      </w:r>
      <w:r>
        <w:t xml:space="preserve">stack sits in the inferior cell anyway, which means lock-in and history, not</w:t>
      </w:r>
      <w:r>
        <w:t xml:space="preserve"> </w:t>
      </w:r>
      <w:r>
        <w:t xml:space="preserve">incentives, hold it there, and only an outside force (regulation or crisis)</w:t>
      </w:r>
      <w:r>
        <w:t xml:space="preserve"> </w:t>
      </w:r>
      <w:r>
        <w:t xml:space="preserve">moves it. The repeated-game audit (Table 3.7) finds cooperation sustainable</w:t>
      </w:r>
      <w:r>
        <w:t xml:space="preserve"> </w:t>
      </w:r>
      <w:r>
        <w:t xml:space="preserve">without transfers in three of six games — including the core — while the</w:t>
      </w:r>
      <w:r>
        <w:t xml:space="preserve"> </w:t>
      </w:r>
      <w:r>
        <w:t xml:space="preserve">three Foundation-Model games cannot sustain cooperation at any patience</w:t>
      </w:r>
      <w:r>
        <w:t xml:space="preserve"> </w:t>
      </w:r>
      <w:r>
        <w:t xml:space="preserve">level (Nash reversion is not a credible punishment there). So the periphery</w:t>
      </w:r>
      <w:r>
        <w:t xml:space="preserve"> </w:t>
      </w:r>
      <w:r>
        <w:t xml:space="preserve">needs commitment devices, the core needs a push, and the labs need</w:t>
      </w:r>
      <w:r>
        <w:t xml:space="preserve"> </w:t>
      </w:r>
      <w:r>
        <w:t xml:space="preserve">supervision: three different remedies for three different audit verdicts.</w:t>
      </w:r>
    </w:p>
    <w:bookmarkEnd w:id="89"/>
    <w:bookmarkStart w:id="99" w:name="sec:welfare"/>
    <w:p>
      <w:pPr>
        <w:pStyle w:val="Heading2"/>
      </w:pPr>
      <w:r>
        <w:t xml:space="preserve">Welfare Analysis: Decomposition of Deadweight Loss</w:t>
      </w:r>
    </w:p>
    <w:p>
      <w:pPr>
        <w:pStyle w:val="FirstParagraph"/>
      </w:pPr>
      <w:r>
        <w:t xml:space="preserve">The stuck games waste $416.77B in total, itemized in Table </w:t>
      </w:r>
      <w:hyperlink w:anchor="tab:04-waste-by-source-b">
        <w:r>
          <w:rPr>
            <w:rStyle w:val="Hyperlink"/>
          </w:rPr>
          <w:t xml:space="preserve">6</w:t>
        </w:r>
      </w:hyperlink>
      <w:r>
        <w:t xml:space="preserve">.</w:t>
      </w:r>
      <w:r>
        <w:t xml:space="preserve"> </w:t>
      </w:r>
      <w:r>
        <w:t xml:space="preserve">The prediction-relevant fact is the ordering, which survives every stress test:</w:t>
      </w:r>
      <w:r>
        <w:t xml:space="preserve"> </w:t>
      </w:r>
      <w:r>
        <w:t xml:space="preserve">lock-in first ($142.62B), distorted R&amp;D second ($106.97B). Remedies aimed</w:t>
      </w:r>
      <w:r>
        <w:t xml:space="preserve"> </w:t>
      </w:r>
      <w:r>
        <w:t xml:space="preserve">anywhere else are aimed at smaller problems. Each category has a canonical</w:t>
      </w:r>
      <w:r>
        <w:t xml:space="preserve"> </w:t>
      </w:r>
      <w:r>
        <w:t xml:space="preserve">antecedent: switching costs (Klemperer (1987); Farrell and Klemperer (2007)), innovation</w:t>
      </w:r>
      <w:r>
        <w:t xml:space="preserve"> </w:t>
      </w:r>
      <w:r>
        <w:t xml:space="preserve">distortion (Aghion et al. (2005)), quality degradation (Spence (1975)),</w:t>
      </w:r>
      <w:r>
        <w:t xml:space="preserve"> </w:t>
      </w:r>
      <w:r>
        <w:t xml:space="preserve">coordination failures (Cooper and John (1988)), and monopoly markups</w:t>
      </w:r>
      <w:r>
        <w:t xml:space="preserve"> </w:t>
      </w:r>
      <w:r>
        <w:t xml:space="preserve">(Harberger (1954)).</w:t>
      </w:r>
    </w:p>
    <w:bookmarkStart w:id="93" w:name="fig:09-market-power-behind-the"/>
    <w:p>
      <w:pPr>
        <w:pStyle w:val="CaptionedFigure"/>
      </w:pPr>
      <w:r>
        <w:drawing>
          <wp:inline>
            <wp:extent cx="5349240" cy="32482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upplemental/s2_lerner_markup_band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24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Market power behind the monopoly-pricing slice: Lerner indices with uncertainty bands (Table 7.17). Hardware’s base markup of 200% (band 100–500%) and Cloud’s 125% show where the $35.86B pricing distortion originates — upstream, where the burst also lands.</w:t>
      </w:r>
    </w:p>
    <w:bookmarkEnd w:id="93"/>
    <w:bookmarkStart w:id="94" w:name="tab:04-waste-by-source-b"/>
    <w:p>
      <w:pPr>
        <w:pStyle w:val="TableCaption"/>
      </w:pPr>
      <w:r>
        <w:t xml:space="preserve">Waste by source ($B). Order first, levels second.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aste by source ($B). Order first, levels second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Switching costs (lock-in)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distortion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degradation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Coordination failures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Monopoly pricing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416.77</w:t>
            </w:r>
          </w:p>
        </w:tc>
      </w:tr>
    </w:tbl>
    <w:bookmarkEnd w:id="94"/>
    <w:bookmarkStart w:id="98" w:name="fig:02-stuck-versus-bestjoint-outcomes"/>
    <w:p>
      <w:pPr>
        <w:pStyle w:val="CaptionedFigure"/>
      </w:pPr>
      <w:r>
        <w:drawing>
          <wp:inline>
            <wp:extent cx="5349240" cy="317339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ure_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17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Stuck versus best-joint outcomes by relationship: the gap is the waste, game by game. The core pair dominates, which is why one targeted remedy beats blanket platform rules.</w:t>
      </w:r>
    </w:p>
    <w:bookmarkEnd w:id="98"/>
    <w:bookmarkEnd w:id="99"/>
    <w:bookmarkStart w:id="113" w:name="sec:bubble"/>
    <w:p>
      <w:pPr>
        <w:pStyle w:val="Heading2"/>
      </w:pPr>
      <w:r>
        <w:t xml:space="preserve">Bubble Vulnerability Assessment by Archetype</w:t>
      </w:r>
    </w:p>
    <w:p>
      <w:pPr>
        <w:pStyle w:val="FirstParagraph"/>
      </w:pPr>
      <w:r>
        <w:t xml:space="preserve">Bubble-condition scores (vulnerability ratings from a scenario-calibrated</w:t>
      </w:r>
      <w:r>
        <w:t xml:space="preserve"> </w:t>
      </w:r>
      <w:r>
        <w:t xml:space="preserve">model, not measured probabilities; bands plotted below, drivers in the</w:t>
      </w:r>
      <w:r>
        <w:t xml:space="preserve"> </w:t>
      </w:r>
      <w:r>
        <w:rPr>
          <w:rStyle w:val="VerbatimChar"/>
        </w:rPr>
        <w:t xml:space="preserve">pred_E</w:t>
      </w:r>
      <w:r>
        <w:t xml:space="preserve"> </w:t>
      </w:r>
      <w:r>
        <w:t xml:space="preserve">ledger) peak exactly where round-tripping is densest.</w:t>
      </w:r>
    </w:p>
    <w:p>
      <w:pPr>
        <w:pStyle w:val="BodyText"/>
      </w:pPr>
      <w:r>
        <w:t xml:space="preserve">Prediction consequence: monitor frontier-lab funding rounds as the leading</w:t>
      </w:r>
      <w:r>
        <w:t xml:space="preserve"> </w:t>
      </w:r>
      <w:r>
        <w:t xml:space="preserve">indicator. Each mega-round at a higher valuation re-prices every adjacent</w:t>
      </w:r>
      <w:r>
        <w:t xml:space="preserve"> </w:t>
      </w:r>
      <w:r>
        <w:t xml:space="preserve">private mark at once. Anthropic at $965B, Databricks near 905x earnings,</w:t>
      </w:r>
      <w:r>
        <w:t xml:space="preserve"> </w:t>
      </w:r>
      <w:r>
        <w:t xml:space="preserve">and xAI at 400x revenue have the furthest to fall.</w:t>
      </w:r>
    </w:p>
    <w:bookmarkStart w:id="103" w:name="X6a661aed3d3e8abcc3673f938ff14de0410849a"/>
    <w:p>
      <w:pPr>
        <w:pStyle w:val="CaptionedFigure"/>
      </w:pPr>
      <w:r>
        <w:drawing>
          <wp:inline>
            <wp:extent cx="5943600" cy="303497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pred_formation_band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Bubble-condition scores with within-model robustness bands. The gap that matters is the top-two vs. bottom-two split: round-tripping density, not hype, separates them — Wrappers carry maximum exuberance (1.0) yet score lowest (46.2%) because their circular exposure is near zero (0.027).</w:t>
      </w:r>
    </w:p>
    <w:bookmarkEnd w:id="103"/>
    <w:bookmarkStart w:id="104" w:name="X210eae5a167754b89c98d0d78c539e937541d29"/>
    <w:p>
      <w:pPr>
        <w:pStyle w:val="TableCaption"/>
      </w:pPr>
      <w:r>
        <w:t xml:space="preserve">Bubble-score driver decomposition (logit inputs; Table 7.10). Circular exposure dominates by construction (weight 1.6); exuberance alone cannot lift a score.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bble-score driver decomposition (logit inputs; Table 7.10). Circular exposure dominates by construction (weight 1.6); exuberance alone cannot lift a sco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Circ.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HHI sh.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Wrappers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46.2</w:t>
            </w:r>
          </w:p>
        </w:tc>
      </w:tr>
    </w:tbl>
    <w:bookmarkEnd w:id="104"/>
    <w:p>
      <w:pPr>
        <w:pStyle w:val="BodyText"/>
      </w:pPr>
      <w:r>
        <w:t xml:space="preserve">Driver reading: Hardware scores high on three of four pillars (capex 0.9,</w:t>
      </w:r>
      <w:r>
        <w:t xml:space="preserve"> </w:t>
      </w:r>
      <w:r>
        <w:t xml:space="preserve">HHI share 0.46, exuberance 0.83) but trails labs because its circular</w:t>
      </w:r>
      <w:r>
        <w:t xml:space="preserve"> </w:t>
      </w:r>
      <w:r>
        <w:t xml:space="preserve">exposure (0.40) is half theirs (0.80). Cloud scores lowest on exuberance</w:t>
      </w:r>
      <w:r>
        <w:t xml:space="preserve"> </w:t>
      </w:r>
      <w:r>
        <w:t xml:space="preserve">(0.09) — its revenues are mostly non-AI — which is why the credit</w:t>
      </w:r>
      <w:r>
        <w:t xml:space="preserve"> </w:t>
      </w:r>
      <w:r>
        <w:t xml:space="preserve">tripwire in Section </w:t>
      </w:r>
      <w:hyperlink w:anchor="sec:contagion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starts at leveraged Cloud-adjacent names rather than</w:t>
      </w:r>
      <w:r>
        <w:t xml:space="preserve"> </w:t>
      </w:r>
      <w:r>
        <w:t xml:space="preserve">at the biggest clouds. Full driver ledger with bands: pipelines</w:t>
      </w:r>
      <w:r>
        <w:t xml:space="preserve"> </w:t>
      </w:r>
      <w:r>
        <w:rPr>
          <w:rStyle w:val="VerbatimChar"/>
        </w:rPr>
        <w:t xml:space="preserve">pred_E_formation_drivers.csv</w:t>
      </w:r>
      <w:r>
        <w:t xml:space="preserve">.</w:t>
      </w:r>
    </w:p>
    <w:p>
      <w:pPr>
        <w:pStyle w:val="BodyText"/>
      </w:pPr>
      <w:r>
        <w:t xml:space="preserve">Uncertainty propagates three ways: stated bands (</w:t>
      </w:r>
      <m:oMath>
        <m:r>
          <m:t>z</m:t>
        </m:r>
        <m:r>
          <m:rPr>
            <m:sty m:val="p"/>
          </m:rPr>
          <m:t>±</m:t>
        </m:r>
        <m:r>
          <m:t>0.4</m:t>
        </m:r>
      </m:oMath>
      <w:r>
        <w:t xml:space="preserve">) around the</w:t>
      </w:r>
      <w:r>
        <w:t xml:space="preserve"> </w:t>
      </w:r>
      <w:r>
        <w:t xml:space="preserve">weights, one-at-a-time quartering, halving, doubling and quadrupling (10/16 formation-order matches, 16/16 burst-order), and a 300-draw joint check</w:t>
      </w:r>
      <w:r>
        <w:t xml:space="preserve"> </w:t>
      </w:r>
      <w:r>
        <w:t xml:space="preserve">(seed 7) yielding formation-order exact-match 65% (</w:t>
      </w:r>
      <m:oMath>
        <m:r>
          <m:t>τ</m:t>
        </m:r>
        <m:r>
          <m:rPr>
            <m:sty m:val="p"/>
          </m:rPr>
          <m:t>=</m:t>
        </m:r>
        <m:r>
          <m:t>0.88</m:t>
        </m:r>
      </m:oMath>
      <w:r>
        <w:t xml:space="preserve">,</w:t>
      </w:r>
      <w:r>
        <w:t xml:space="preserve"> </w:t>
      </w:r>
      <w:r>
        <w:t xml:space="preserve">Foundation Models top in 90%) and burst-order exact match 100%</w:t>
      </w:r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1.00</m:t>
        </m:r>
      </m:oMath>
      <w:r>
        <w:t xml:space="preserve">, Hardware first in all 300 draws). The specification gives</w:t>
      </w:r>
      <w:r>
        <w:t xml:space="preserve"> </w:t>
      </w:r>
      <w:r>
        <w:t xml:space="preserve">bubble-conditions probabilities of</w:t>
      </w:r>
      <w:r>
        <w:t xml:space="preserve"> </w:t>
      </w:r>
      <w:r>
        <w:rPr>
          <w:b/>
          <w:bCs/>
        </w:rPr>
        <w:t xml:space="preserve">82.9%</w:t>
      </w:r>
      <w:r>
        <w:t xml:space="preserve"> </w:t>
      </w:r>
      <w:r>
        <w:t xml:space="preserve">for Foundation Models</w:t>
      </w:r>
      <w:r>
        <w:t xml:space="preserve"> </w:t>
      </w:r>
      <w:r>
        <w:t xml:space="preserve">(band 76.5–87.9),</w:t>
      </w:r>
      <w:r>
        <w:t xml:space="preserve"> </w:t>
      </w:r>
      <w:r>
        <w:rPr>
          <w:b/>
          <w:bCs/>
        </w:rPr>
        <w:t xml:space="preserve">77.5%</w:t>
      </w:r>
      <w:r>
        <w:t xml:space="preserve"> </w:t>
      </w:r>
      <w:r>
        <w:t xml:space="preserve">for Hardware (69.8–83.7),</w:t>
      </w:r>
      <w:r>
        <w:t xml:space="preserve"> </w:t>
      </w:r>
      <w:r>
        <w:rPr>
          <w:b/>
          <w:bCs/>
        </w:rPr>
        <w:t xml:space="preserve">51.7%</w:t>
      </w:r>
      <w:r>
        <w:t xml:space="preserve"> </w:t>
      </w:r>
      <w:r>
        <w:t xml:space="preserve">for Cloud (41.8–61.5) and</w:t>
      </w:r>
      <w:r>
        <w:t xml:space="preserve"> </w:t>
      </w:r>
      <w:r>
        <w:rPr>
          <w:b/>
          <w:bCs/>
        </w:rPr>
        <w:t xml:space="preserve">46.2%</w:t>
      </w:r>
      <w:r>
        <w:t xml:space="preserve"> </w:t>
      </w:r>
      <w:r>
        <w:t xml:space="preserve">for Wrappers</w:t>
      </w:r>
      <w:r>
        <w:t xml:space="preserve"> </w:t>
      </w:r>
      <w:r>
        <w:t xml:space="preserve">(36.5–56.1). These are scenario-calibrated vulnerability scores, not</w:t>
      </w:r>
      <w:r>
        <w:t xml:space="preserve"> </w:t>
      </w:r>
      <w:r>
        <w:t xml:space="preserve">empirically estimated event probabilities: no historical panel of</w:t>
      </w:r>
      <w:r>
        <w:t xml:space="preserve"> </w:t>
      </w:r>
      <w:r>
        <w:t xml:space="preserve">bubble/non-bubble episodes exists to calibrate against, so the bands</w:t>
      </w:r>
      <w:r>
        <w:t xml:space="preserve"> </w:t>
      </w:r>
      <w:r>
        <w:t xml:space="preserve">quantify within-model robustness, not statistical confidence. The weights</w:t>
      </w:r>
      <w:r>
        <w:t xml:space="preserve"> </w:t>
      </w:r>
      <w:r>
        <w:t xml:space="preserve">carry structurally identified intervals (Table 8.7) rather than pure</w:t>
      </w:r>
      <w:r>
        <w:t xml:space="preserve"> </w:t>
      </w:r>
      <w:r>
        <w:t xml:space="preserve">judgment — the formation order pins the capex weight to a two-sided</w:t>
      </w:r>
      <w:r>
        <w:t xml:space="preserve"> </w:t>
      </w:r>
      <w:r>
        <w:t xml:space="preserve">[0.35, 2.63] and the concentration weight to [0.10, 1.67], while the</w:t>
      </w:r>
      <w:r>
        <w:t xml:space="preserve"> </w:t>
      </w:r>
      <w:r>
        <w:t xml:space="preserve">circularity weight admits [0.74, 3.00</w:t>
      </w:r>
      <m:oMath>
        <m:r>
          <m:rPr>
            <m:sty m:val="p"/>
          </m:rPr>
          <m:t>+</m:t>
        </m:r>
      </m:oMath>
      <w:r>
        <w:t xml:space="preserve">] and the exuberance weight</w:t>
      </w:r>
      <w:r>
        <w:t xml:space="preserve"> </w:t>
      </w:r>
      <w:r>
        <w:t xml:space="preserve">[0.00</w:t>
      </w:r>
      <m:oMath>
        <m:r>
          <m:rPr>
            <m:sty m:val="p"/>
          </m:rPr>
          <m:t>+</m:t>
        </m:r>
      </m:oMath>
      <w:r>
        <w:t xml:space="preserve">, 1.04] (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marks an edge extending beyond the searched range).</w:t>
      </w:r>
    </w:p>
    <w:p>
      <w:pPr>
        <w:pStyle w:val="BodyText"/>
      </w:pPr>
      <w:r>
        <w:t xml:space="preserve">A second, independent screen agrees. The five-pillar classification (Table 7.7,</w:t>
      </w:r>
      <w:r>
        <w:t xml:space="preserve"> </w:t>
      </w:r>
      <w:r>
        <w:t xml:space="preserve">built from narrative tilt, multiple exuberance and expansion, circular-hype</w:t>
      </w:r>
      <w:r>
        <w:t xml:space="preserve"> </w:t>
      </w:r>
      <w:r>
        <w:t xml:space="preserve">proxies, and capex intensity rather than the formation logit) labels</w:t>
      </w:r>
      <w:r>
        <w:t xml:space="preserve"> </w:t>
      </w:r>
      <w:r>
        <w:t xml:space="preserve">Foundation Models the stack’s sole</w:t>
      </w:r>
      <w:r>
        <w:t xml:space="preserve"> </w:t>
      </w:r>
      <w:r>
        <w:t xml:space="preserve">“Bubble risk”</w:t>
      </w:r>
      <w:r>
        <w:t xml:space="preserve"> </w:t>
      </w:r>
      <w:r>
        <w:t xml:space="preserve">(0.507), Hardware and</w:t>
      </w:r>
      <w:r>
        <w:t xml:space="preserve"> </w:t>
      </w:r>
      <w:r>
        <w:t xml:space="preserve">Wrappers</w:t>
      </w:r>
      <w:r>
        <w:t xml:space="preserve"> </w:t>
      </w:r>
      <w:r>
        <w:t xml:space="preserve">“Boom”</w:t>
      </w:r>
      <w:r>
        <w:t xml:space="preserve"> </w:t>
      </w:r>
      <w:r>
        <w:t xml:space="preserve">(0.408, 0.352), and Cloud plain</w:t>
      </w:r>
      <w:r>
        <w:t xml:space="preserve"> </w:t>
      </w:r>
      <w:r>
        <w:t xml:space="preserve">“Buildout”</w:t>
      </w:r>
      <w:r>
        <w:t xml:space="preserve"> </w:t>
      </w:r>
      <w:r>
        <w:t xml:space="preserve">(0.317).</w:t>
      </w:r>
      <w:r>
        <w:t xml:space="preserve"> </w:t>
      </w:r>
      <w:r>
        <w:t xml:space="preserve">Two different machines, same verdict on who is most fragile — which is</w:t>
      </w:r>
      <w:r>
        <w:t xml:space="preserve"> </w:t>
      </w:r>
      <w:r>
        <w:t xml:space="preserve">what lets P5 in the registry hold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60% despite the formation rank’s</w:t>
      </w:r>
      <w:r>
        <w:t xml:space="preserve"> </w:t>
      </w:r>
      <w:r>
        <w:t xml:space="preserve">weaker 65% joint record. Fragility and instability coincide — labs and</w:t>
      </w:r>
      <w:r>
        <w:t xml:space="preserve"> </w:t>
      </w:r>
      <w:r>
        <w:t xml:space="preserve">apps score lowest on stability (0.38, 0.12) while infrastructure scores</w:t>
      </w:r>
      <w:r>
        <w:t xml:space="preserve"> </w:t>
      </w:r>
      <w:r>
        <w:t xml:space="preserve">highest (0.78, 0.75) — yet the burst order runs opposite: what breaks</w:t>
      </w:r>
      <w:r>
        <w:t xml:space="preserve"> </w:t>
      </w:r>
      <w:r>
        <w:t xml:space="preserve">first in funding order breaks last in dollar order.</w:t>
      </w:r>
    </w:p>
    <w:bookmarkStart w:id="108" w:name="fig:12-fivepillar-screen-table77-the"/>
    <w:p>
      <w:pPr>
        <w:pStyle w:val="CaptionedFigure"/>
      </w:pPr>
      <w:r>
        <w:drawing>
          <wp:inline>
            <wp:extent cx="5943600" cy="2163505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pred_five_pilla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Five-pillar screen (Table 7.7): the independent second opinion. Only frontier labs clear the</w:t>
      </w:r>
      <w:r>
        <w:t xml:space="preserve"> </w:t>
      </w:r>
      <w:r>
        <w:t xml:space="preserve">“Bubble risk”</w:t>
      </w:r>
      <w:r>
        <w:t xml:space="preserve"> </w:t>
      </w:r>
      <w:r>
        <w:t xml:space="preserve">bar; Cloud scores lowest as plain</w:t>
      </w:r>
      <w:r>
        <w:t xml:space="preserve"> </w:t>
      </w:r>
      <w:r>
        <w:t xml:space="preserve">“Buildout.”</w:t>
      </w:r>
      <w:r>
        <w:t xml:space="preserve"> </w:t>
      </w:r>
      <w:r>
        <w:t xml:space="preserve">Agreement between two differently built screens is worth more than precision in either one.</w:t>
      </w:r>
    </w:p>
    <w:bookmarkEnd w:id="108"/>
    <w:bookmarkStart w:id="112" w:name="X25369953fdf78782d77d3d4e8eff552745b04f5"/>
    <w:p>
      <w:pPr>
        <w:pStyle w:val="CaptionedFigure"/>
      </w:pPr>
      <w:r>
        <w:drawing>
          <wp:inline>
            <wp:extent cx="5943600" cy="2903267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pred_open_weight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Open-weights stress scenario (validated S-LOGIT-w_open channel — the open-weights term in the formation logit): free frontier models compress lab and wrapper margins, steepening formation scores — labs 82.9% to 89.3%, wrappers 46.2% to 52.9% — while the rank order is preserved. The thesis steepens rather than breaks: inference still runs on bought silicon.</w:t>
      </w:r>
    </w:p>
    <w:bookmarkEnd w:id="112"/>
    <w:p>
      <w:pPr>
        <w:pStyle w:val="BodyText"/>
      </w:pPr>
      <w:r>
        <w:t xml:space="preserve">Both screens corroborate the</w:t>
      </w:r>
      <w:r>
        <w:t xml:space="preserve"> </w:t>
      </w:r>
      <w:r>
        <w:t xml:space="preserve">registry; neither changes its likelihoods.</w:t>
      </w:r>
    </w:p>
    <w:bookmarkEnd w:id="113"/>
    <w:bookmarkStart w:id="143" w:name="sec:burst"/>
    <w:p>
      <w:pPr>
        <w:pStyle w:val="Heading2"/>
      </w:pPr>
      <w:r>
        <w:t xml:space="preserve">Burst Incidence: Loss Ranking, Severity, and Macroeconomic Transmission</w:t>
      </w:r>
    </w:p>
    <w:p>
      <w:pPr>
        <w:pStyle w:val="FirstParagraph"/>
      </w:pPr>
      <w:r>
        <w:t xml:space="preserve">A severe scenario (70% of circular capital impaired, 30% AI-capex cut)</w:t>
      </w:r>
      <w:r>
        <w:t xml:space="preserve"> </w:t>
      </w:r>
      <w:r>
        <w:t xml:space="preserve">destroys value in the reverse order of the hype:</w:t>
      </w:r>
    </w:p>
    <w:bookmarkStart w:id="114" w:name="Xecb7f395e7a078d83d727c076d19d8bc036f63b"/>
    <w:p>
      <w:pPr>
        <w:pStyle w:val="TableCaption"/>
      </w:pPr>
      <w:r>
        <w:t xml:space="preserve">Severe-burst destruction by archetype ($B): Hardware $239.4B (50.1%), Cloud $132.7B (27.7%), labs $85.4B (17.9%), Wrappers $20.8B (4.4%); shares sum to 100.1% on rounding.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e-burst destruction by archetype ($B): Hardware $239.4B (50.1%), Cloud $132.7B (27.7%), labs $85.4B (17.9%), Wrappers $20.8B (4.4%); shares sum to 100.1% on round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Wrappers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First-round 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478.3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reverberation 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4"/>
    <w:p>
      <w:pPr>
        <w:pStyle w:val="BodyText"/>
      </w:pPr>
      <w:r>
        <w:t xml:space="preserve">The ranking is the most stress-tested claim in this paper: 16 of 16</w:t>
      </w:r>
      <w:r>
        <w:t xml:space="preserve"> </w:t>
      </w:r>
      <w:r>
        <w:t xml:space="preserve">one-at-a-time extremes, 100% agreement across 300 joint draws, Hardware</w:t>
      </w:r>
      <w:r>
        <w:t xml:space="preserve"> </w:t>
      </w:r>
      <w:r>
        <w:t xml:space="preserve">first every time, replicated across seeds and noise screens. It holds</w:t>
      </w:r>
      <w:r>
        <w:t xml:space="preserve"> </w:t>
      </w:r>
      <w:r>
        <w:t xml:space="preserve">because inference still runs on someone’s silicon and someone’s cloud no</w:t>
      </w:r>
      <w:r>
        <w:t xml:space="preserve"> </w:t>
      </w:r>
      <w:r>
        <w:t xml:space="preserve">matter whose logo is on the model.</w:t>
      </w:r>
    </w:p>
    <w:p>
      <w:pPr>
        <w:pStyle w:val="BodyText"/>
      </w:pPr>
      <w:r>
        <w:t xml:space="preserve">Direct-vs.-network split adds a second prediction inside the ranking:</w:t>
      </w:r>
      <w:r>
        <w:t xml:space="preserve"> </w:t>
      </w:r>
      <w:r>
        <w:t xml:space="preserve">Hardware’s loss is 56% direct (~$133B of $239.4B) — it owns the</w:t>
      </w:r>
      <w:r>
        <w:t xml:space="preserve"> </w:t>
      </w:r>
      <w:r>
        <w:t xml:space="preserve">impaired contracts — while Wrappers’ loss is 97% network ($20.16B of</w:t>
      </w:r>
      <w:r>
        <w:t xml:space="preserve"> </w:t>
      </w:r>
      <w:r>
        <w:t xml:space="preserve">$20.83B): apps are pure contagion victims with almost no direct exposure</w:t>
      </w:r>
      <w:r>
        <w:t xml:space="preserve"> </w:t>
      </w:r>
      <w:r>
        <w:t xml:space="preserve">($0.67B). Cloud splits evenly ($67.85B direct, $64.85B network); labs lean</w:t>
      </w:r>
      <w:r>
        <w:t xml:space="preserve"> </w:t>
      </w:r>
      <w:r>
        <w:t xml:space="preserve">direct ($59.64B vs. $25.75B). A burst that spares Hardware’s contract book</w:t>
      </w:r>
      <w:r>
        <w:t xml:space="preserve"> </w:t>
      </w:r>
      <w:r>
        <w:t xml:space="preserve">but hits app revenues would flip the Wrappers row without moving the top</w:t>
      </w:r>
      <w:r>
        <w:t xml:space="preserve"> </w:t>
      </w:r>
      <w:r>
        <w:t xml:space="preserve">two — one more reason the ranking’s head is sturdier than its tail.</w:t>
      </w:r>
    </w:p>
    <w:p>
      <w:pPr>
        <w:pStyle w:val="BodyText"/>
      </w:pPr>
      <w:r>
        <w:t xml:space="preserve">The valuation-vs.-contract paradox is the point, not a puzzle: frontier</w:t>
      </w:r>
      <w:r>
        <w:t xml:space="preserve"> </w:t>
      </w:r>
      <w:r>
        <w:t xml:space="preserve">labs score highest on bubble vulnerability (82.9%) because private marks</w:t>
      </w:r>
      <w:r>
        <w:t xml:space="preserve"> </w:t>
      </w:r>
      <w:r>
        <w:t xml:space="preserve">detached furthest from revenue, yet Hardware absorbs the largest dollar</w:t>
      </w:r>
      <w:r>
        <w:t xml:space="preserve"> </w:t>
      </w:r>
      <w:r>
        <w:t xml:space="preserve">hit because it holds the contracts, the guarantees, and the capex. Screens</w:t>
      </w:r>
      <w:r>
        <w:t xml:space="preserve"> </w:t>
      </w:r>
      <w:r>
        <w:t xml:space="preserve">built on multiples would aim at the labs; the money says aim at the</w:t>
      </w:r>
      <w:r>
        <w:t xml:space="preserve"> </w:t>
      </w:r>
      <w:r>
        <w:t xml:space="preserve">toolmakers.</w:t>
      </w:r>
    </w:p>
    <w:bookmarkStart w:id="118" w:name="fig:14-severe-vs-mild-burst"/>
    <w:p>
      <w:pPr>
        <w:pStyle w:val="CaptionedFigure"/>
      </w:pPr>
      <w:r>
        <w:drawing>
          <wp:inline>
            <wp:extent cx="5943600" cy="30448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pred_burst_waterfall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Severe vs. mild burst losses by archetype. Severity scales levels roughly 4x; the order never changes — the visual equivalent of the 16/16 stress result.</w:t>
      </w:r>
    </w:p>
    <w:bookmarkEnd w:id="118"/>
    <w:bookmarkStart w:id="122" w:name="fig:15-two-dimensions-of-pain"/>
    <w:p>
      <w:pPr>
        <w:pStyle w:val="CaptionedFigure"/>
      </w:pPr>
      <w:r>
        <w:drawing>
          <wp:inline>
            <wp:extent cx="5943600" cy="3300426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pred_equity_revenue_impact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dimensions of pain (Table 7.11): revenue share destroyed vs. equity value destroyed, sized by dollar loss. Frontier labs face an 80.2% revenue hit but only $85B in dollars; Hardware loses $239B at a 50.4% revenue hit. Short the multiple where revenue evaporates; hedge the dollars where contracts break.</w:t>
      </w:r>
    </w:p>
    <w:bookmarkEnd w:id="122"/>
    <w:bookmarkStart w:id="126" w:name="fig:16-gatekeeper-shares-table72-who"/>
    <w:p>
      <w:pPr>
        <w:pStyle w:val="CaptionedFigure"/>
      </w:pPr>
      <w:r>
        <w:drawing>
          <wp:inline>
            <wp:extent cx="5943600" cy="298124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red_gatekeeper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Gatekeeper shares (Table 7.2): who controls what the stack buys from itself. Hardware gates 53.3%, Cloud 26.2%, frontier labs only 5.0% — control precedes loss, so the burst order follows the gatekeeper order. Grey bars are external suppliers (Fluidstack, Colossus, Volta).</w:t>
      </w:r>
    </w:p>
    <w:bookmarkEnd w:id="126"/>
    <w:p>
      <w:pPr>
        <w:pStyle w:val="BodyText"/>
      </w:pPr>
      <w:r>
        <w:rPr>
          <w:i/>
          <w:iCs/>
        </w:rPr>
        <w:t xml:space="preserve">When, not just how much.</w:t>
      </w:r>
      <w:r>
        <w:t xml:space="preserve"> </w:t>
      </w:r>
      <w:r>
        <w:t xml:space="preserve">Formation scores convert into a burst-timing</w:t>
      </w:r>
      <w:r>
        <w:t xml:space="preserve"> </w:t>
      </w:r>
      <w:r>
        <w:t xml:space="preserve">window under a stated quarterly hazard: hazard equals formation probability</w:t>
      </w:r>
      <w:r>
        <w:t xml:space="preserve"> </w:t>
      </w:r>
      <w:r>
        <w:t xml:space="preserve">divided by a 12-quarter formation-to-burst lag (the 2005–2008 and</w:t>
      </w:r>
      <w:r>
        <w:t xml:space="preserve"> </w:t>
      </w:r>
      <w:r>
        <w:t xml:space="preserve">1999–2002 vintages both run about three years from dense formation to</w:t>
      </w:r>
      <w:r>
        <w:t xml:space="preserve"> </w:t>
      </w:r>
      <w:r>
        <w:t xml:space="preserve">burst), with median quarters to burst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t xml:space="preserve">. The first-tip system clock</w:t>
      </w:r>
      <w:r>
        <w:t xml:space="preserve"> </w:t>
      </w:r>
      <w:r>
        <w:t xml:space="preserve">reads a median of 10.0 quarters from the September 2026 vintage (Q2’29),</w:t>
      </w:r>
      <w:r>
        <w:t xml:space="preserve"> </w:t>
      </w:r>
      <w:r>
        <w:t xml:space="preserve">set by Foundation Models at the same horizon; Hardware follows at</w:t>
      </w:r>
      <w:r>
        <w:t xml:space="preserve"> </w:t>
      </w:r>
      <w:r>
        <w:t xml:space="preserve">10.7 quarters (Q3’29), Cloud at 16.1 (Q4’30), Wrappers at 18.0 (Q2’31).</w:t>
      </w:r>
      <w:r>
        <w:t xml:space="preserve"> </w:t>
      </w:r>
      <w:r>
        <w:t xml:space="preserve">The honest uncertainty is the lag, not the band: varying it over 8–20</w:t>
      </w:r>
      <w:r>
        <w:t xml:space="preserve"> </w:t>
      </w:r>
      <w:r>
        <w:t xml:space="preserve">quarters spans Q3’28–Q1’31 at the system level, while the formation band</w:t>
      </w:r>
      <w:r>
        <w:t xml:space="preserve"> </w:t>
      </w:r>
      <w:r>
        <w:t xml:space="preserve">barely moves the median. Scenario arithmetic, not a forecast: move the</w:t>
      </w:r>
      <w:r>
        <w:t xml:space="preserve"> </w:t>
      </w:r>
      <w:r>
        <w:t xml:space="preserve">stated lag and every quarter moves with it. Machine-readable:</w:t>
      </w:r>
      <w:r>
        <w:t xml:space="preserve"> </w:t>
      </w:r>
      <w:r>
        <w:rPr>
          <w:rStyle w:val="VerbatimChar"/>
        </w:rPr>
        <w:t xml:space="preserve">pred_G_burst_timing.csv</w:t>
      </w:r>
      <w:r>
        <w:t xml:space="preserve">.</w:t>
      </w:r>
    </w:p>
    <w:bookmarkStart w:id="130" w:name="fig:burst-timing-window"/>
    <w:p>
      <w:pPr>
        <w:pStyle w:val="CaptionedFigure"/>
      </w:pPr>
      <w:r>
        <w:drawing>
          <wp:inline>
            <wp:extent cx="5943600" cy="321015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red_timing_window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Hazard-implied burst windows from the September 2026 vintage. Thick bars span the 8–20-quarter lag sensitivity, white insets the formation band, diamonds the base-lag median. Foundation Models tip first; the system clock follows them into Q2’29.</w:t>
      </w:r>
    </w:p>
    <w:bookmarkEnd w:id="130"/>
    <w:p>
      <w:pPr>
        <w:pStyle w:val="BodyText"/>
      </w:pPr>
      <w:r>
        <w:rPr>
          <w:i/>
          <w:iCs/>
        </w:rPr>
        <w:t xml:space="preserve">Why this timing, and what would change it.</w:t>
      </w:r>
      <w:r>
        <w:t xml:space="preserve"> </w:t>
      </w:r>
      <w:r>
        <w:t xml:space="preserve">The 10.0-quarter base is a</w:t>
      </w:r>
      <w:r>
        <w:t xml:space="preserve"> </w:t>
      </w:r>
      <w:r>
        <w:t xml:space="preserve">hazard clock, not a date prediction (P8 stays unassigned): formation</w:t>
      </w:r>
      <w:r>
        <w:t xml:space="preserve"> </w:t>
      </w:r>
      <w:r>
        <w:t xml:space="preserve">probability over a stated 12-quarter lag, nothing more. Conditioning that</w:t>
      </w:r>
      <w:r>
        <w:t xml:space="preserve"> </w:t>
      </w:r>
      <w:r>
        <w:t xml:space="preserve">clock on September-2026 evidence gives a conditional call at a median of 11.0 quarters (Q3’29), window Q4’28–Q2’31. The</w:t>
      </w:r>
      <w:r>
        <w:t xml:space="preserve"> </w:t>
      </w:r>
      <w:r>
        <w:t xml:space="preserve">why-ledger decomposes the call by weight (machine-readable:</w:t>
      </w:r>
      <w:r>
        <w:t xml:space="preserve"> </w:t>
      </w:r>
      <w:r>
        <w:rPr>
          <w:rStyle w:val="VerbatimChar"/>
        </w:rPr>
        <w:t xml:space="preserve">pred_L_timing_rationale.csv</w:t>
      </w:r>
      <w:r>
        <w:t xml:space="preserve">).</w:t>
      </w:r>
      <w:r>
        <w:t xml:space="preserve"> </w:t>
      </w:r>
      <w:r>
        <w:rPr>
          <w:i/>
          <w:iCs/>
        </w:rPr>
        <w:t xml:space="preserve">High:</w:t>
      </w:r>
      <w:r>
        <w:t xml:space="preserve"> </w:t>
      </w:r>
      <w:r>
        <w:t xml:space="preserve">the hazard base itself — Foundation Models at 82.9%</w:t>
      </w:r>
      <w:r>
        <w:t xml:space="preserve"> </w:t>
      </w:r>
      <w:r>
        <w:t xml:space="preserve">formation times the stated lag.</w:t>
      </w:r>
      <w:r>
        <w:t xml:space="preserve"> </w:t>
      </w:r>
      <w:r>
        <w:rPr>
          <w:i/>
          <w:iCs/>
        </w:rPr>
        <w:t xml:space="preserve">Medium, +1 quarter:</w:t>
      </w:r>
      <w:r>
        <w:t xml:space="preserve"> </w:t>
      </w:r>
      <w:r>
        <w:t xml:space="preserve">trigger</w:t>
      </w:r>
      <w:r>
        <w:t xml:space="preserve"> </w:t>
      </w:r>
      <w:r>
        <w:t xml:space="preserve">conditioning — no</w:t>
      </w:r>
      <w:r>
        <w:t xml:space="preserve"> </w:t>
      </w:r>
      <w:r>
        <w:rPr>
          <w:rStyle w:val="VerbatimChar"/>
        </w:rPr>
        <w:t xml:space="preserve">pred_B</w:t>
      </w:r>
      <w:r>
        <w:t xml:space="preserve"> </w:t>
      </w:r>
      <w:r>
        <w:t xml:space="preserve">tripwire reads tripped on price</w:t>
      </w:r>
      <w:r>
        <w:t xml:space="preserve"> </w:t>
      </w:r>
      <w:r>
        <w:t xml:space="preserve">evidence (hazard Low on NVDA/QQQ/SPY at 8/7/16), a stated calm credit,</w:t>
      </w:r>
      <w:r>
        <w:t xml:space="preserve"> </w:t>
      </w:r>
      <w:r>
        <w:t xml:space="preserve">flagged as judgment rather than measurement.</w:t>
      </w:r>
      <w:r>
        <w:t xml:space="preserve"> </w:t>
      </w:r>
      <w:r>
        <w:rPr>
          <w:i/>
          <w:iCs/>
        </w:rPr>
        <w:t xml:space="preserve">Medium, +0:</w:t>
      </w:r>
      <w:r>
        <w:t xml:space="preserve"> </w:t>
      </w:r>
      <w:r>
        <w:t xml:space="preserve">gauge</w:t>
      </w:r>
      <w:r>
        <w:t xml:space="preserve"> </w:t>
      </w:r>
      <w:r>
        <w:t xml:space="preserve">triangulation — NVDA’s convex-max of 3.6 fires while its hazard stays Low,</w:t>
      </w:r>
      <w:r>
        <w:t xml:space="preserve"> </w:t>
      </w:r>
      <w:r>
        <w:t xml:space="preserve">against 9.9 with hazard 100 at the March-2000 top and 2.9 with hazard 60 at</w:t>
      </w:r>
      <w:r>
        <w:t xml:space="preserve"> </w:t>
      </w:r>
      <w:r>
        <w:t xml:space="preserve">the October-2007 top: acceleration without stress, so no pull-forward.</w:t>
      </w:r>
      <w:r>
        <w:t xml:space="preserve"> </w:t>
      </w:r>
      <w:r>
        <w:rPr>
          <w:i/>
          <w:iCs/>
        </w:rPr>
        <w:t xml:space="preserve">Low, +0:</w:t>
      </w:r>
      <w:r>
        <w:t xml:space="preserve"> </w:t>
      </w:r>
      <w:r>
        <w:t xml:space="preserve">precedent topping lag — the 2000/2007 tops preceded</w:t>
      </w:r>
      <w:r>
        <w:t xml:space="preserve"> </w:t>
      </w:r>
      <w:r>
        <w:t xml:space="preserve">crash-week clusters by 2–8 quarters, which supports the window width, not</w:t>
      </w:r>
      <w:r>
        <w:t xml:space="preserve"> </w:t>
      </w:r>
      <w:r>
        <w:t xml:space="preserve">the median. What breaks the call is stated alongside it: any</w:t>
      </w:r>
      <w:r>
        <w:t xml:space="preserve"> </w:t>
      </w:r>
      <w:r>
        <w:rPr>
          <w:rStyle w:val="VerbatimChar"/>
        </w:rPr>
        <w:t xml:space="preserve">pred_B</w:t>
      </w:r>
      <w:r>
        <w:t xml:space="preserve"> </w:t>
      </w:r>
      <w:r>
        <w:t xml:space="preserve">tripwire tripping revokes the +1Q credit (median back to</w:t>
      </w:r>
      <w:r>
        <w:t xml:space="preserve"> </w:t>
      </w:r>
      <w:r>
        <w:t xml:space="preserve">10.0Q), and a hazard-regime flip to High on live names would pull it</w:t>
      </w:r>
      <w:r>
        <w:t xml:space="preserve"> </w:t>
      </w:r>
      <w:r>
        <w:t xml:space="preserve">forward further. Sensitivity on the one judgment: no credit gives the base, double credit reaches median 12.0q (Q4’29).</w:t>
      </w:r>
    </w:p>
    <w:bookmarkStart w:id="134" w:name="fig:timing-conditional-call"/>
    <w:p>
      <w:pPr>
        <w:pStyle w:val="CaptionedFigure"/>
      </w:pPr>
      <w:r>
        <w:drawing>
          <wp:inline>
            <wp:extent cx="5943600" cy="30448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red_timing_call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From hazard base to conditional call. The +1Q trigger calm-credit is the only judgment in the bridge; gauges and precedent add nothing. If a tripwire trips, the call falls back to the 10.0Q base.</w:t>
      </w:r>
    </w:p>
    <w:bookmarkEnd w:id="134"/>
    <w:p>
      <w:pPr>
        <w:pStyle w:val="BodyText"/>
      </w:pPr>
      <w:r>
        <w:t xml:space="preserve">Within-layer concentration (Table 7.1b) rules out the comforting story that</w:t>
      </w:r>
      <w:r>
        <w:t xml:space="preserve"> </w:t>
      </w:r>
      <w:r>
        <w:t xml:space="preserve">any single archetype is internally competitive: every layer screens</w:t>
      </w:r>
      <w:r>
        <w:t xml:space="preserve"> </w:t>
      </w:r>
      <w:r>
        <w:t xml:space="preserve">“highly concentrated”</w:t>
      </w:r>
      <w:r>
        <w:t xml:space="preserve"> </w:t>
      </w:r>
      <w:r>
        <w:t xml:space="preserve">(HHI 4,057–5,632), with the frontier-lab duo most</w:t>
      </w:r>
      <w:r>
        <w:t xml:space="preserve"> </w:t>
      </w:r>
      <w:r>
        <w:t xml:space="preserve">concentrated of all (5,283, Anthropic 61.9%). There is no diversified</w:t>
      </w:r>
      <w:r>
        <w:t xml:space="preserve"> </w:t>
      </w:r>
      <w:r>
        <w:t xml:space="preserve">corner of the stack to hide in — which is why the burst ranking is an</w:t>
      </w:r>
      <w:r>
        <w:t xml:space="preserve"> </w:t>
      </w:r>
      <w:r>
        <w:t xml:space="preserve">address book, not a hedge.</w:t>
      </w:r>
    </w:p>
    <w:p>
      <w:pPr>
        <w:pStyle w:val="BodyText"/>
      </w:pPr>
      <w:r>
        <w:t xml:space="preserve">GDP transmission runs through two channels calibrated to US GDP</w:t>
      </w:r>
      <w:r>
        <w:t xml:space="preserve"> </w:t>
      </w:r>
      <w:r>
        <w:t xml:space="preserve">($30,767.1B): canceled tech investment ($120.0B severe; $40.0B mild) and</w:t>
      </w:r>
      <w:r>
        <w:t xml:space="preserve"> </w:t>
      </w:r>
      <w:r>
        <w:t xml:space="preserve">the equity-wealth effect at 4 cents on the dollar ($19.1B severe; $8.2B</w:t>
      </w:r>
      <w:r>
        <w:t xml:space="preserve"> </w:t>
      </w:r>
      <w:r>
        <w:t xml:space="preserve">mild) — combined severe cost $139.1B (0.452% of GDP), mild $48.2B</w:t>
      </w:r>
      <w:r>
        <w:t xml:space="preserve"> </w:t>
      </w:r>
      <w:r>
        <w:t xml:space="preserve">(0.157%), no multiplier. The 4-cent calibration is the Carroll et al. (2011)</w:t>
      </w:r>
      <w:r>
        <w:t xml:space="preserve"> </w:t>
      </w:r>
      <w:r>
        <w:t xml:space="preserve">financial-wealth estimate, corroborated by local labor-market evidence on</w:t>
      </w:r>
      <w:r>
        <w:t xml:space="preserve"> </w:t>
      </w:r>
      <w:r>
        <w:t xml:space="preserve">stock-wealth spending effects (Chodorow-Reich et al. (2021)). The capex channel</w:t>
      </w:r>
      <w:r>
        <w:t xml:space="preserve"> </w:t>
      </w:r>
      <w:r>
        <w:t xml:space="preserve">dominates in both states</w:t>
      </w:r>
      <w:r>
        <w:t xml:space="preserve"> </w:t>
      </w:r>
      <w:r>
        <w:t xml:space="preserve">(86% severe, 83% mild); wealth adds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$4B per $100B destroyed.</w:t>
      </w:r>
      <w:r>
        <w:t xml:space="preserve"> </w:t>
      </w:r>
      <w:r>
        <w:t xml:space="preserve">Portable rule: each $100B of destroyed AI value</w:t>
      </w:r>
      <w:r>
        <w:t xml:space="preserve"> </w:t>
      </w:r>
      <w:r>
        <w:t xml:space="preserve">drags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$4B of GDP through household wealth, plus the local capex-cut</w:t>
      </w:r>
      <w:r>
        <w:t xml:space="preserve"> </w:t>
      </w:r>
      <w:r>
        <w:t xml:space="preserve">share. Who holds that wealth loss — and at what propensity to consume —</w:t>
      </w:r>
      <w:r>
        <w:t xml:space="preserve"> </w:t>
      </w:r>
      <w:r>
        <w:t xml:space="preserve">is a retirement story told in the Online Appendix: the</w:t>
      </w:r>
      <w:r>
        <w:t xml:space="preserve"> </w:t>
      </w:r>
      <w:r>
        <w:t xml:space="preserve">uniform 4-cent assumption overstates the aggregate drag while understating</w:t>
      </w:r>
      <w:r>
        <w:t xml:space="preserve"> </w:t>
      </w:r>
      <w:r>
        <w:t xml:space="preserve">its concentration on 401(k) and pension holders. The Online Appendix sizes</w:t>
      </w:r>
      <w:r>
        <w:t xml:space="preserve"> </w:t>
      </w:r>
      <w:r>
        <w:t xml:space="preserve">the exposed base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$2.9T of Big Tech equity at a 34% index weight</w:t>
      </w:r>
      <w:r>
        <w:t xml:space="preserve"> </w:t>
      </w:r>
      <w:r>
        <w:t xml:space="preserve">(ICI Q2-2026 levels, a market-weight floor): the aggregate 0.452% drag is</w:t>
      </w:r>
      <w:r>
        <w:t xml:space="preserve"> </w:t>
      </w:r>
      <w:r>
        <w:t xml:space="preserve">small, but its incidence concentrates on near-retirement cohorts whose</w:t>
      </w:r>
      <w:r>
        <w:t xml:space="preserve"> </w:t>
      </w:r>
      <w:r>
        <w:t xml:space="preserve">defined-contribution balances overweight the names that fall first.</w:t>
      </w:r>
    </w:p>
    <w:bookmarkStart w:id="138" w:name="fig:17-gdp-transmission-stacked-canceled"/>
    <w:p>
      <w:pPr>
        <w:pStyle w:val="CaptionedFigure"/>
      </w:pPr>
      <w:r>
        <w:drawing>
          <wp:inline>
            <wp:extent cx="5349240" cy="2805367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pred_gdp_waterfall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80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GDP transmission stacked: canceled capex (dark) plus the 4-cents-on-the-dollar wealth effect (light). Both scenarios are capex stories with a wealth footnote.</w:t>
      </w:r>
    </w:p>
    <w:bookmarkEnd w:id="138"/>
    <w:bookmarkStart w:id="142" w:name="Xdb9167e2102a96a2015575ee1bb360dba956059"/>
    <w:p>
      <w:pPr>
        <w:pStyle w:val="CaptionedFigure"/>
      </w:pPr>
      <w:r>
        <w:drawing>
          <wp:inline>
            <wp:extent cx="5943600" cy="2550744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pred_geography_bar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Portable transmission rule applied to other economies (Table 7.19). Only the US row reproduces a calibrated estimate; the rest are stated illustrative scenarios (30% capex-cut severity, no multiplier) for readers to replace with local vintages. Korea’s 0.547% share leads because its GDP base is smallest against an illustrative capex-heavy input — a composition effect, not a forecast.</w:t>
      </w:r>
    </w:p>
    <w:bookmarkEnd w:id="142"/>
    <w:p>
      <w:pPr>
        <w:pStyle w:val="BodyText"/>
      </w:pPr>
      <w:r>
        <w:t xml:space="preserve">Table 7.19 runs the first porting: the United States row reproduces the</w:t>
      </w:r>
      <w:r>
        <w:t xml:space="preserve"> </w:t>
      </w:r>
      <w:r>
        <w:t xml:space="preserve">default calibration ($139.1B, 0.452%), and four stated illustrative</w:t>
      </w:r>
      <w:r>
        <w:t xml:space="preserve"> </w:t>
      </w:r>
      <w:r>
        <w:t xml:space="preserve">scenarios apply the same severity abroad — European Union $51.0B</w:t>
      </w:r>
      <w:r>
        <w:t xml:space="preserve"> </w:t>
      </w:r>
      <w:r>
        <w:t xml:space="preserve">(0.241%), China $62.0B (0.318%), Japan $17.4B (0.395%), South Korea</w:t>
      </w:r>
      <w:r>
        <w:t xml:space="preserve"> </w:t>
      </w:r>
      <w:r>
        <w:t xml:space="preserve">$10.4B (0.547%) — each flagged Illustrative=Y with its GDP vintage and</w:t>
      </w:r>
      <w:r>
        <w:t xml:space="preserve"> </w:t>
      </w:r>
      <w:r>
        <w:t xml:space="preserve">scenario inputs shown as explicit columns. GDP vintages are World Bank WDI</w:t>
      </w:r>
      <w:r>
        <w:t xml:space="preserve"> </w:t>
      </w:r>
      <w:r>
        <w:t xml:space="preserve">2025 (European Union, China, Japan, South Korea) and BEA NIPA</w:t>
      </w:r>
      <w:r>
        <w:t xml:space="preserve"> </w:t>
      </w:r>
      <w:r>
        <w:t xml:space="preserve">(United States).</w:t>
      </w:r>
    </w:p>
    <w:bookmarkEnd w:id="143"/>
    <w:bookmarkStart w:id="150" w:name="sec:contagion"/>
    <w:p>
      <w:pPr>
        <w:pStyle w:val="Heading2"/>
      </w:pPr>
      <w:r>
        <w:t xml:space="preserve">Contagion Channels: Cascades, Collateral, and Credit</w:t>
      </w:r>
    </w:p>
    <w:p>
      <w:pPr>
        <w:pStyle w:val="FirstParagraph"/>
      </w:pPr>
      <w:r>
        <w:t xml:space="preserve">Direct destruction is only round one. Full reverberation through the</w:t>
      </w:r>
      <w:r>
        <w:t xml:space="preserve"> </w:t>
      </w:r>
      <w:r>
        <w:t xml:space="preserve">committed deal graph — the DebtRank cascade (Battiston et al. (2012)) run to convergence — adds $15.2B more (concentrated in frontier labs), a</w:t>
      </w:r>
      <w:r>
        <w:t xml:space="preserve"> </w:t>
      </w:r>
      <w:r>
        <w:t xml:space="preserve">1.032 multiplier kept near one only by large equity buffers, not small</w:t>
      </w:r>
      <w:r>
        <w:t xml:space="preserve"> </w:t>
      </w:r>
      <w:r>
        <w:t xml:space="preserve">exposures. The 2008 analog lives in the collateral layer: homogeneous,</w:t>
      </w:r>
      <w:r>
        <w:t xml:space="preserve"> </w:t>
      </w:r>
      <w:r>
        <w:t xml:space="preserve">supplier-guaranteed GPU collateral correlates exactly when it must be sold.</w:t>
      </w:r>
    </w:p>
    <w:bookmarkStart w:id="144" w:name="tab:09-secondround-cascade-losses-b"/>
    <w:p>
      <w:pPr>
        <w:pStyle w:val="TableCaption"/>
      </w:pPr>
      <w:r>
        <w:t xml:space="preserve">Second-round cascade losses ($B). First round: Table above.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cond-round cascade losses ($B). First round: Table abo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Providers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Wrappers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second round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1.032</w:t>
            </w:r>
          </w:p>
        </w:tc>
      </w:tr>
    </w:tbl>
    <w:bookmarkEnd w:id="144"/>
    <w:bookmarkStart w:id="148" w:name="fig:18-cascade-accounting-stacked-4783b"/>
    <w:p>
      <w:pPr>
        <w:pStyle w:val="CaptionedFigure"/>
      </w:pPr>
      <w:r>
        <w:drawing>
          <wp:inline>
            <wp:extent cx="5943600" cy="2806625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pred_cascade_stack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 accounting, stacked: $478.3B first-round plus $15.2B reverberation (multiplier 1.032). Frontier labs absorb 91% of round two ($13.86B) — the address book for where homogeneous GPU collateral and supplier guarantees would detonate a larger second round.</w:t>
      </w:r>
    </w:p>
    <w:bookmarkEnd w:id="148"/>
    <w:p>
      <w:pPr>
        <w:pStyle w:val="BodyText"/>
      </w:pPr>
      <w:r>
        <w:t xml:space="preserve">Credit markets have started charging for exactly this structure: Oracle’s</w:t>
      </w:r>
      <w:r>
        <w:t xml:space="preserve"> </w:t>
      </w:r>
      <w:r>
        <w:t xml:space="preserve">5Y CDS printed a record 215bp (implying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3.58% annual default hazard</w:t>
      </w:r>
      <w:r>
        <w:t xml:space="preserve"> </w:t>
      </w:r>
      <w:r>
        <w:t xml:space="preserve">at 40% recovery) alongside a BBB- downgrade, against a $570B 2026 debt</w:t>
      </w:r>
      <w:r>
        <w:t xml:space="preserve"> </w:t>
      </w:r>
      <w:r>
        <w:t xml:space="preserve">pipeline running 1.43x one year of Big Four capex. The downgrade watchlist</w:t>
      </w:r>
      <w:r>
        <w:t xml:space="preserve"> </w:t>
      </w:r>
      <w:r>
        <w:t xml:space="preserve">follows the burst order — Hardware first ($239.4B at risk), then Cloud,</w:t>
      </w:r>
      <w:r>
        <w:t xml:space="preserve"> </w:t>
      </w:r>
      <w:r>
        <w:t xml:space="preserve">then frontier labs — so each new spread-widening at a leveraged name</w:t>
      </w:r>
      <w:r>
        <w:t xml:space="preserve"> </w:t>
      </w:r>
      <w:r>
        <w:t xml:space="preserve">confirms the ranking instead of challenging it.</w:t>
      </w:r>
    </w:p>
    <w:bookmarkStart w:id="149" w:name="tab:10-credit-tripwires-september-2026"/>
    <w:p>
      <w:pPr>
        <w:pStyle w:val="TableCaption"/>
      </w:pPr>
      <w:r>
        <w:t xml:space="preserve">Credit tripwires (September 2026 vintage).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tripwires (September 2026 vintage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5Y 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215bp (record single-name print)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1Y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3.58% at 40%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BBB- (downgraded)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debt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$570B (1.43x Big Four capex)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Watchlist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Hardware, Cloud, frontier labs, apps</w:t>
            </w:r>
          </w:p>
        </w:tc>
      </w:tr>
    </w:tbl>
    <w:bookmarkEnd w:id="149"/>
    <w:bookmarkEnd w:id="150"/>
    <w:bookmarkStart w:id="164" w:name="sec:robustness"/>
    <w:p>
      <w:pPr>
        <w:pStyle w:val="Heading2"/>
      </w:pPr>
      <w:r>
        <w:t xml:space="preserve">Robustness and Sensitivity Analysis</w:t>
      </w:r>
    </w:p>
    <w:p>
      <w:pPr>
        <w:pStyle w:val="FirstParagraph"/>
      </w:pPr>
      <w:r>
        <w:t xml:space="preserve">Predictions are only as good as their survival under attack. The burst</w:t>
      </w:r>
      <w:r>
        <w:t xml:space="preserve"> </w:t>
      </w:r>
      <w:r>
        <w:t xml:space="preserve">ranking was attacked sixteen ways one-at-a-time (quartering through</w:t>
      </w:r>
      <w:r>
        <w:t xml:space="preserve"> </w:t>
      </w:r>
      <w:r>
        <w:t xml:space="preserve">quadrupling every weight and share), 300 ways jointly, twice more under new</w:t>
      </w:r>
      <w:r>
        <w:t xml:space="preserve"> </w:t>
      </w:r>
      <w:r>
        <w:t xml:space="preserve">random seeds, and under 2.5%, 5% and 10% measurement noise — and never</w:t>
      </w:r>
      <w:r>
        <w:t xml:space="preserve"> </w:t>
      </w:r>
      <w:r>
        <w:t xml:space="preserve">moved. Monte Carlo reproduction holds at 64.7%; the 300-draw joint check</w:t>
      </w:r>
      <w:r>
        <w:t xml:space="preserve"> </w:t>
      </w:r>
      <w:r>
        <w:t xml:space="preserve">matches the burst order 100% of the time (formation order 65%, the honest</w:t>
      </w:r>
      <w:r>
        <w:t xml:space="preserve"> </w:t>
      </w:r>
      <w:r>
        <w:t xml:space="preserve">weaker link, already disclosed). Shared circularity dominates the variance</w:t>
      </w:r>
      <w:r>
        <w:t xml:space="preserve"> </w:t>
      </w:r>
      <w:r>
        <w:t xml:space="preserve">decomposition (total-order index 0.99): the variable the prediction</w:t>
      </w:r>
      <w:r>
        <w:t xml:space="preserve"> </w:t>
      </w:r>
      <w:r>
        <w:t xml:space="preserve">emphasizes is the variable the model is most sensitive to. Structural</w:t>
      </w:r>
      <w:r>
        <w:t xml:space="preserve"> </w:t>
      </w:r>
      <w:r>
        <w:t xml:space="preserve">estimation (Table 8.7) adds identification ranges: every logit weight</w:t>
      </w:r>
      <w:r>
        <w:t xml:space="preserve"> </w:t>
      </w:r>
      <w:r>
        <w:t xml:space="preserve">preserves the exact formation order across wide intervals (circular</w:t>
      </w:r>
      <w:r>
        <w:t xml:space="preserve"> </w:t>
      </w:r>
      <w:r>
        <w:t xml:space="preserve">exposure stays dominant from 0.74 up, with no upper break inside the</w:t>
      </w:r>
      <w:r>
        <w:t xml:space="preserve"> </w:t>
      </w:r>
      <w:r>
        <w:t xml:space="preserve">searched range), and all six Nash position sets</w:t>
      </w:r>
      <w:r>
        <w:t xml:space="preserve"> </w:t>
      </w:r>
      <w:r>
        <w:t xml:space="preserve">survive the full rate-map ranges — the calibration has slack, not knife</w:t>
      </w:r>
      <w:r>
        <w:t xml:space="preserve"> </w:t>
      </w:r>
      <w:r>
        <w:t xml:space="preserve">edges.</w:t>
      </w:r>
    </w:p>
    <w:bookmarkStart w:id="154" w:name="X9c2aef5345532c90a7517ed68139ac0990528f1"/>
    <w:p>
      <w:pPr>
        <w:pStyle w:val="CaptionedFigure"/>
      </w:pPr>
      <w:r>
        <w:drawing>
          <wp:inline>
            <wp:extent cx="5943600" cy="223068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figure_8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Monte Carlo convergence: reproduction stabilizes across seeds and noise screens. The ranking is not a draw-of-luck artifact.</w:t>
      </w:r>
    </w:p>
    <w:bookmarkEnd w:id="154"/>
    <w:bookmarkStart w:id="158" w:name="Xa757702ec8f4172cd09aa8853ac5ddf635eed0d"/>
    <w:p>
      <w:pPr>
        <w:pStyle w:val="CaptionedFigure"/>
      </w:pPr>
      <w:r>
        <w:drawing>
          <wp:inline>
            <wp:extent cx="5230368" cy="3465959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figure_10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346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Saltelli sensitivity decomposition: shared circularity dominates with a total-order index of 0.99. The variable the prediction emphasizes is the variable the model is most sensitive to — a necessary condition for the burst ranking’s 16/16 survival, shown visually.</w:t>
      </w:r>
    </w:p>
    <w:bookmarkEnd w:id="158"/>
    <w:p>
      <w:pPr>
        <w:pStyle w:val="BodyText"/>
      </w:pPr>
      <w:r>
        <w:t xml:space="preserve">The same decomposition, rerun on each vintage’s largest stuck pair with the same estimators and seeds discipline, returns the same signature: shared circularity at ST 0.97 in 2008 (Investors–Guarantors; Fig. </w:t>
      </w:r>
      <w:hyperlink w:anchor="fig:41b-backtest-saltelli">
        <w:r>
          <w:rPr>
            <w:rStyle w:val="Hyperlink"/>
          </w:rPr>
          <w:t xml:space="preserve">31</w:t>
        </w:r>
      </w:hyperlink>
      <w:r>
        <w:t xml:space="preserve">) and ST 0.96 in telecom (Incumbents–AltCarriers; Fig. </w:t>
      </w:r>
      <w:hyperlink w:anchor="fig:46b-telecom-saltelli">
        <w:r>
          <w:rPr>
            <w:rStyle w:val="Hyperlink"/>
          </w:rPr>
          <w:t xml:space="preserve">37</w:t>
        </w:r>
      </w:hyperlink>
      <w:r>
        <w:t xml:space="preserve">), top-tier in both. Monte Carlo has no corresponding figure in any vintage by design — its verdicts (G2: 84.0% 2008, 85.8% telecom) live in the ledgers, where a number is the whole message.</w:t>
      </w:r>
    </w:p>
    <w:bookmarkStart w:id="162" w:name="fig:21-burst-vs-formation-survival"/>
    <w:p>
      <w:pPr>
        <w:pStyle w:val="CaptionedFigure"/>
      </w:pPr>
      <w:r>
        <w:drawing>
          <wp:inline>
            <wp:extent cx="5943600" cy="2572933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pred_robustness_survival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Burst vs. formation survival under attack. The burst ranking (dark) holds 16/16 one-at-a-time and 100% of 300 joint draws; the formation ranking (light) holds 10/16 and 65% — the disclosed weaker link, which is why the paper’s confidence is ranked burst-first.</w:t>
      </w:r>
    </w:p>
    <w:bookmarkEnd w:id="162"/>
    <w:bookmarkStart w:id="163" w:name="tab:12-robustness-ledger-what-each"/>
    <w:p>
      <w:pPr>
        <w:pStyle w:val="TableCaption"/>
      </w:pPr>
      <w:r>
        <w:t xml:space="preserve">Robustness ledger: what each attack tested, split by ranking. Full battery in Tables 8.x.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ledger: what each attack tested, split by ranking. Full battery in Tables 8.x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one-at-a-time extremes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16/16, HW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 joint 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reseeds (12 games)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2.5/5/10%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 Nash repro.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bands widen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circularity 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circ. dominates</w:t>
            </w:r>
          </w:p>
        </w:tc>
      </w:tr>
    </w:tbl>
    <w:bookmarkEnd w:id="163"/>
    <w:bookmarkEnd w:id="164"/>
    <w:bookmarkStart w:id="165" w:name="sec:precedents"/>
    <w:p>
      <w:pPr>
        <w:pStyle w:val="Heading2"/>
      </w:pPr>
      <w:r>
        <w:t xml:space="preserve">Historical Precedents: Telecom and Mortgage Crises</w:t>
      </w:r>
    </w:p>
    <w:p>
      <w:pPr>
        <w:pStyle w:val="FirstParagraph"/>
      </w:pPr>
      <w:r>
        <w:rPr>
          <w:i/>
          <w:iCs/>
        </w:rPr>
        <w:t xml:space="preserve">Telecom, 1998–2002.</w:t>
      </w:r>
      <w:r>
        <w:t xml:space="preserve"> </w:t>
      </w:r>
      <w:r>
        <w:t xml:space="preserve">Equipment vendors booked revenue by lending to</w:t>
      </w:r>
      <w:r>
        <w:t xml:space="preserve"> </w:t>
      </w:r>
      <w:r>
        <w:t xml:space="preserve">their own buyers; when demand broke, receivables failed together with sales.</w:t>
      </w:r>
      <w:r>
        <w:t xml:space="preserve"> </w:t>
      </w:r>
      <w:r>
        <w:t xml:space="preserve">Nortel fell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99% from peak. The AI stack repeats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(round-trip demand) with one difference that cuts both ways: today’s loop</w:t>
      </w:r>
      <w:r>
        <w:t xml:space="preserve"> </w:t>
      </w:r>
      <w:r>
        <w:t xml:space="preserve">runs mostly on cash flow, which is sturdier than vendor debt — until the</w:t>
      </w:r>
      <w:r>
        <w:t xml:space="preserve"> </w:t>
      </w:r>
      <w:r>
        <w:t xml:space="preserve">debt-financed fringe (chip-collateral loans, the $500B facility now being</w:t>
      </w:r>
      <w:r>
        <w:t xml:space="preserve"> </w:t>
      </w:r>
      <w:r>
        <w:t xml:space="preserve">assembled) becomes the marginal buyer. Watch the fringe share, not the</w:t>
      </w:r>
      <w:r>
        <w:t xml:space="preserve"> </w:t>
      </w:r>
      <w:r>
        <w:t xml:space="preserve">average: telecom’s average buyer looked solvent until the marginal one</w:t>
      </w:r>
      <w:r>
        <w:t xml:space="preserve"> </w:t>
      </w:r>
      <w:r>
        <w:t xml:space="preserve">failed.</w:t>
      </w:r>
    </w:p>
    <w:p>
      <w:pPr>
        <w:pStyle w:val="BodyText"/>
      </w:pPr>
      <w:r>
        <w:rPr>
          <w:i/>
          <w:iCs/>
        </w:rPr>
        <w:t xml:space="preserve">Mortgages, 2007–2009.</w:t>
      </w:r>
      <w:r>
        <w:t xml:space="preserve"> </w:t>
      </w:r>
      <w:r>
        <w:t xml:space="preserve">Homogeneous collateral (houses then, GPUs</w:t>
      </w:r>
      <w:r>
        <w:t xml:space="preserve"> </w:t>
      </w:r>
      <w:r>
        <w:t xml:space="preserve">now), supplier guarantees enhancing credit (monoline insurers then, resale</w:t>
      </w:r>
      <w:r>
        <w:t xml:space="preserve"> </w:t>
      </w:r>
      <w:r>
        <w:t xml:space="preserve">guarantees now), herd entry on rising marks, and a fire sale when everyone</w:t>
      </w:r>
      <w:r>
        <w:t xml:space="preserve"> </w:t>
      </w:r>
      <w:r>
        <w:t xml:space="preserve">discovers the collateral is worth less together than apart. The AI version</w:t>
      </w:r>
      <w:r>
        <w:t xml:space="preserve"> </w:t>
      </w:r>
      <w:r>
        <w:t xml:space="preserve">lacks the household-credit amplifier and the ratings-agency fraud vector,</w:t>
      </w:r>
      <w:r>
        <w:t xml:space="preserve"> </w:t>
      </w:r>
      <w:r>
        <w:t xml:space="preserve">which is why the modeled second round is $15.2B rather than system-ending.</w:t>
      </w:r>
      <w:r>
        <w:t xml:space="preserve"> </w:t>
      </w:r>
      <w:r>
        <w:t xml:space="preserve">It also lacks any resolution regime: there is no FDIC for a neocloud.</w:t>
      </w:r>
      <w:r>
        <w:t xml:space="preserve"> </w:t>
      </w:r>
      <w:r>
        <w:t xml:space="preserve">The honest Burry lesson is not</w:t>
      </w:r>
      <w:r>
        <w:t xml:space="preserve"> </w:t>
      </w:r>
      <w:r>
        <w:t xml:space="preserve">“it will crash bigger”</w:t>
      </w:r>
      <w:r>
        <w:t xml:space="preserve"> </w:t>
      </w:r>
      <w:r>
        <w:t xml:space="preserve">but</w:t>
      </w:r>
      <w:r>
        <w:t xml:space="preserve"> </w:t>
      </w:r>
      <w:r>
        <w:t xml:space="preserve">“the loss sits</w:t>
      </w:r>
      <w:r>
        <w:t xml:space="preserve"> </w:t>
      </w:r>
      <w:r>
        <w:t xml:space="preserve">where the contracts put it, and the contracts put it upstream.”</w:t>
      </w:r>
    </w:p>
    <w:bookmarkEnd w:id="165"/>
    <w:bookmarkStart w:id="225" w:name="sec:backtest"/>
    <w:p>
      <w:pPr>
        <w:pStyle w:val="Heading2"/>
      </w:pPr>
      <w:r>
        <w:t xml:space="preserve">Historical Backtests: Mortgages (2008) and Telecom Equipment (2001)</w:t>
      </w:r>
    </w:p>
    <w:p>
      <w:pPr>
        <w:pStyle w:val="FirstParagraph"/>
      </w:pPr>
      <w:r>
        <w:t xml:space="preserve">Analogies persuade; backtests validate. This section runs the paper’s own</w:t>
      </w:r>
      <w:r>
        <w:t xml:space="preserve"> </w:t>
      </w:r>
      <w:r>
        <w:t xml:space="preserve">machinery — the real classes from</w:t>
      </w:r>
      <w:r>
        <w:t xml:space="preserve"> </w:t>
      </w:r>
      <w:r>
        <w:rPr>
          <w:rStyle w:val="VerbatimChar"/>
        </w:rPr>
        <w:t xml:space="preserve">ai_ecosystem_model.py</w:t>
      </w:r>
      <w:r>
        <w:t xml:space="preserve">, not a</w:t>
      </w:r>
      <w:r>
        <w:t xml:space="preserve"> </w:t>
      </w:r>
      <w:r>
        <w:t xml:space="preserve">replica — on a stylized 2007 mortgage-market frame, and grades five</w:t>
      </w:r>
      <w:r>
        <w:t xml:space="preserve"> </w:t>
      </w:r>
      <w:r>
        <w:t xml:space="preserve">pre-registered tests against what actually happened in 2008. All 2008 inputs</w:t>
      </w:r>
      <w:r>
        <w:t xml:space="preserve"> </w:t>
      </w:r>
      <w:r>
        <w:t xml:space="preserve">are documented approximations of well-known aggregates. The frame books</w:t>
      </w:r>
      <w:r>
        <w:t xml:space="preserve"> </w:t>
      </w:r>
      <w:r>
        <w:t xml:space="preserve">subprime originations near $600B/yr and private-label MBS near</w:t>
      </w:r>
      <w:r>
        <w:t xml:space="preserve"> </w:t>
      </w:r>
      <w:r>
        <w:t xml:space="preserve">$1T, alongside AIG-FP CDS notional of $527B, 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$13T</w:t>
      </w:r>
      <w:r>
        <w:t xml:space="preserve"> </w:t>
      </w:r>
      <w:r>
        <w:t xml:space="preserve">household-wealth loss, and GDP</w:t>
      </w:r>
      <w:r>
        <w:t xml:space="preserve"> </w:t>
      </w:r>
      <m:oMath>
        <m:r>
          <m:rPr>
            <m:sty m:val="p"/>
          </m:rPr>
          <m:t>−</m:t>
        </m:r>
        <m:r>
          <m:t>4.3</m:t>
        </m:r>
        <m:r>
          <m:rPr>
            <m:sty m:val="p"/>
          </m:rPr>
          <m:t>%</m:t>
        </m:r>
      </m:oMath>
      <w:r>
        <w:t xml:space="preserve"> </w:t>
      </w:r>
      <w:r>
        <w:t xml:space="preserve">peak-to-trough. They test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— rankings, channels, cascade share — not</w:t>
      </w:r>
      <w:r>
        <w:t xml:space="preserve"> </w:t>
      </w:r>
      <w:r>
        <w:t xml:space="preserve">historiography. Full inputs, code, and outputs ship in</w:t>
      </w:r>
      <w:r>
        <w:t xml:space="preserve"> </w:t>
      </w:r>
      <w:r>
        <w:rPr>
          <w:rStyle w:val="VerbatimChar"/>
        </w:rPr>
        <w:t xml:space="preserve">build_crisis_backtest.py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tables/backtest/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Sourced inputs, not stylized guesses.</w:t>
      </w:r>
      <w:r>
        <w:t xml:space="preserve"> </w:t>
      </w:r>
      <w:r>
        <w:t xml:space="preserve">Where the first backtest used</w:t>
      </w:r>
      <w:r>
        <w:t xml:space="preserve"> </w:t>
      </w:r>
      <w:r>
        <w:t xml:space="preserve">round illustrative revenues, this revision books 2006 company revenues from</w:t>
      </w:r>
      <w:r>
        <w:t xml:space="preserve"> </w:t>
      </w:r>
      <w:r>
        <w:t xml:space="preserve">published filings and earnings releases (S = sourced print, A = approximate</w:t>
      </w:r>
      <w:r>
        <w:t xml:space="preserve"> </w:t>
      </w:r>
      <w:r>
        <w:t xml:space="preserve">scale): Lehman $17.6B net revenues (2006 10-K), Goldman $37.7B, Bear</w:t>
      </w:r>
      <w:r>
        <w:t xml:space="preserve"> </w:t>
      </w:r>
      <w:r>
        <w:t xml:space="preserve">Stearns $9.2B, Morgan Stanley $35.9B, Merrill Lynch $33.8B, Citigroup</w:t>
      </w:r>
      <w:r>
        <w:t xml:space="preserve"> </w:t>
      </w:r>
      <w:r>
        <w:t xml:space="preserve">$89.6B, Bank of America $74.2B (all S); AIG $113.4B and $101.7B equity</w:t>
      </w:r>
      <w:r>
        <w:t xml:space="preserve"> </w:t>
      </w:r>
      <w:r>
        <w:t xml:space="preserve">(S, 2007 AR vs. 2006); Countrywide $463B originations (S, OFHEO) with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$11.5B revenue (A); Fannie Mae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$13B, Freddie Mac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$10B, New Century $2.0B, Ameriquest $2.0B, Ambac $1.2B, MBIA</w:t>
      </w:r>
      <w:r>
        <w:t xml:space="preserve"> </w:t>
      </w:r>
      <w:r>
        <w:t xml:space="preserve">$2.5B (A). Macro anchors: 2007 GDP $14.48T (BEA), household wealth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$13T (Fed), unemployment 10.0% (BLS), GSE draws $187.5B (FHFA), AIG</w:t>
      </w:r>
      <w:r>
        <w:t xml:space="preserve"> </w:t>
      </w:r>
      <w:r>
        <w:t xml:space="preserve">$182B (Fed/Treasury), TARP $700B/$426B (Treasury), Lehman $613B</w:t>
      </w:r>
      <w:r>
        <w:t xml:space="preserve"> </w:t>
      </w:r>
      <w:r>
        <w:t xml:space="preserve">liabilities (filing), AIG-FP protection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$400B (SIGTARP). Category</w:t>
      </w:r>
      <w:r>
        <w:t xml:space="preserve"> </w:t>
      </w:r>
      <w:r>
        <w:t xml:space="preserve">revenues are exact sums of the booked firms: Originators $15.5B,</w:t>
      </w:r>
      <w:r>
        <w:t xml:space="preserve"> </w:t>
      </w:r>
      <w:r>
        <w:t xml:space="preserve">Securitizers $134.2B, Investors $186.8B, Guarantors $117.1B. Market caps</w:t>
      </w:r>
      <w:r>
        <w:t xml:space="preserve"> </w:t>
      </w:r>
      <w:r>
        <w:t xml:space="preserve">and flow norms remain approximate — flagged wherever they enter — so</w:t>
      </w:r>
      <w:r>
        <w:t xml:space="preserve"> </w:t>
      </w:r>
      <w:r>
        <w:t xml:space="preserve">the graded claims stay ordinal, structural, and order-of-magnitude.</w:t>
      </w:r>
    </w:p>
    <w:bookmarkStart w:id="166" w:name="tab:34-same-disease-different"/>
    <w:p>
      <w:pPr>
        <w:pStyle w:val="TableCaption"/>
      </w:pPr>
      <w:r>
        <w:t xml:space="preserve">Same disease, different patient: the mechanism side by side.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e disease, different patient: the mechanism side by sid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stack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system (2007)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$675B committed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Originate-to-distribute: $600B/yr loan sales into $1T 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Homogeneous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 with resale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MBS tranches with AAA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Guarantor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$105B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AIG-FP $400B+ CDS (SIGTARP; commonly $527B)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labs (funding)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Originators (New Century, Apr 2007)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Biggest dollar loser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($239B)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(banks, GSEs)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channel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Capex-led (86%)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Wealth-led (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$520B vs. $400B)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(thick buffers)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(thin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Scenario: 0.45%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4.3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GDP, 10% unemployment</w:t>
            </w:r>
          </w:p>
        </w:tc>
      </w:tr>
    </w:tbl>
    <w:bookmarkEnd w:id="166"/>
    <w:p>
      <w:pPr>
        <w:pStyle w:val="BodyText"/>
      </w:pPr>
      <w:r>
        <w:rPr>
          <w:i/>
          <w:iCs/>
        </w:rPr>
        <w:t xml:space="preserve">The test design.</w:t>
      </w:r>
      <w:r>
        <w:t xml:space="preserve"> </w:t>
      </w:r>
      <w:r>
        <w:t xml:space="preserve">Four 2008 archetypes (Originators, Securitizers,</w:t>
      </w:r>
      <w:r>
        <w:t xml:space="preserve"> </w:t>
      </w:r>
      <w:r>
        <w:t xml:space="preserve">Investors, Guarantors) flow through the genuine code paths — circular-deal</w:t>
      </w:r>
      <w:r>
        <w:t xml:space="preserve"> </w:t>
      </w:r>
      <w:r>
        <w:t xml:space="preserve">exposure (subclassed with 2008 deals; identical arithmetic, separately</w:t>
      </w:r>
      <w:r>
        <w:t xml:space="preserve"> </w:t>
      </w:r>
      <w:r>
        <w:t xml:space="preserve">calibrated norms), network centrality, stability scoring, and the formation</w:t>
      </w:r>
      <w:r>
        <w:t xml:space="preserve"> </w:t>
      </w:r>
      <w:r>
        <w:t xml:space="preserve">plus burst engine at the same severe 70% impairment scenario. Two</w:t>
      </w:r>
      <w:r>
        <w:t xml:space="preserve"> </w:t>
      </w:r>
      <w:r>
        <w:t xml:space="preserve">deliberate headwinds keep the test honest: 2006 intermediary multiples were</w:t>
      </w:r>
      <w:r>
        <w:t xml:space="preserve"> </w:t>
      </w:r>
      <w:r>
        <w:t xml:space="preserve">flat (the bubble sat in house prices, so exuberance scores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 and</w:t>
      </w:r>
      <w:r>
        <w:t xml:space="preserve"> </w:t>
      </w:r>
      <w:r>
        <w:t xml:space="preserve">formation must rank on exposure alone), and the DebtRank clearing engine is</w:t>
      </w:r>
      <w:r>
        <w:t xml:space="preserve"> </w:t>
      </w:r>
      <w:r>
        <w:t xml:space="preserve">AI-archetype-hardcoded, so guarantor-written protection clears only</w:t>
      </w:r>
      <w:r>
        <w:t xml:space="preserve"> </w:t>
      </w:r>
      <w:r>
        <w:t xml:space="preserve">partially — a stated limitation with consequences below. Class names,</w:t>
      </w:r>
      <w:r>
        <w:t xml:space="preserve"> </w:t>
      </w:r>
      <w:r>
        <w:t xml:space="preserve">inputs, and per-test output:</w:t>
      </w:r>
      <w:r>
        <w:t xml:space="preserve"> </w:t>
      </w:r>
      <w:r>
        <w:rPr>
          <w:rStyle w:val="VerbatimChar"/>
        </w:rPr>
        <w:t xml:space="preserve">build_crisis_backtest.py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tables/backtest/</w:t>
      </w:r>
      <w:r>
        <w:t xml:space="preserve">.</w:t>
      </w:r>
    </w:p>
    <w:bookmarkStart w:id="170" w:name="fig:35-backtest-the-machine"/>
    <w:p>
      <w:pPr>
        <w:pStyle w:val="CaptionedFigure"/>
      </w:pPr>
      <w:r>
        <w:drawing>
          <wp:inline>
            <wp:extent cx="5943600" cy="30106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backtest_200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Backtest output on 2007 data: formation peaks where the loop is densest (Investors 74.9%, Securitizers 74.3%); dollar losses land on the holders (Investors $256B). The machine did not know 2008 happened — it read the wiring.</w:t>
      </w:r>
    </w:p>
    <w:bookmarkEnd w:id="170"/>
    <w:bookmarkStart w:id="174" w:name="fig:36-same-two-channels"/>
    <w:p>
      <w:pPr>
        <w:pStyle w:val="CaptionedFigure"/>
      </w:pPr>
      <w:r>
        <w:drawing>
          <wp:inline>
            <wp:extent cx="5943600" cy="2287115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backtest_gdp_channels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two GDP channels, opposite mix. AI’s modeled burst is capex-led ($120B vs. $19B); 2008 was wealth-led (</w:t>
      </w:r>
      <m:oMath>
        <m:r>
          <m:rPr>
            <m:sty m:val="p"/>
          </m:rPr>
          <m:t>∼</m:t>
        </m:r>
      </m:oMath>
      <w:r>
        <w:t xml:space="preserve">$520B vs. </w:t>
      </w:r>
      <m:oMath>
        <m:r>
          <m:rPr>
            <m:sty m:val="p"/>
          </m:rPr>
          <m:t>∼</m:t>
        </m:r>
      </m:oMath>
      <w:r>
        <w:t xml:space="preserve">$400B residential capex). A two-channel structure handles both; a one-channel model would miss one crisis or the other.</w:t>
      </w:r>
    </w:p>
    <w:bookmarkEnd w:id="174"/>
    <w:bookmarkStart w:id="175" w:name="tab:35-backtest-verdict-four"/>
    <w:p>
      <w:pPr>
        <w:pStyle w:val="TableCaption"/>
      </w:pPr>
      <w:r>
        <w:t xml:space="preserve">Backtest verdict: fourteen tests (full ledger in</w:t>
      </w:r>
      <w:r>
        <w:t xml:space="preserve"> </w:t>
      </w:r>
      <w:r>
        <w:rPr>
          <w:rStyle w:val="VerbatimChar"/>
        </w:rPr>
        <w:t xml:space="preserve">tables/backtest/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cktest verdict: fourteen tests (full ledger in tables/backtest/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formation top-2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Securitizers + Investors: loop densest where distress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burst 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+ tail exact; middle pair swapped (guarantor discount)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network share 42.9% vs. 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buffers propagate; AI buffers contain round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least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Originators: first-to-fail vs. biggest-loser, as in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wealth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of AI — and the structure fits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 Saltelli circ. 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Inv-Guar nexus, top driver (AI: 0.99)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stuck chain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clear; stuck cells at guarantor nexus ($44.5B)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Nash 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84.0% over 20k draws (range 68.3–98.5%)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3,249 vs. AI 3,851: both highly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joint-draw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100%, formation 80%; one-at-a-time (OAT) agreement 15 (burst) and 12 (formation) of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 remedy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 caps top (BCR 65.5): risk-retention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rank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 </w:t>
            </w:r>
            <w:r>
              <w:t xml:space="preserve">predicted vs. actual (n=4)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head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$256B vs. 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$690B (0.37x)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GDP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1.46x the actual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$630B fall</w:t>
            </w:r>
          </w:p>
        </w:tc>
      </w:tr>
    </w:tbl>
    <w:bookmarkEnd w:id="175"/>
    <w:p>
      <w:pPr>
        <w:pStyle w:val="BodyText"/>
      </w:pPr>
      <w:r>
        <w:t xml:space="preserve">T2 now grades PASS in full: with sourced revenues the burst order reads</w:t>
      </w:r>
      <w:r>
        <w:t xml:space="preserve"> </w:t>
      </w:r>
      <w:r>
        <w:t xml:space="preserve">Investors $256B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Securitizers $187B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Guarantors $82B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Originators</w:t>
      </w:r>
      <w:r>
        <w:t xml:space="preserve"> </w:t>
      </w:r>
      <w:r>
        <w:t xml:space="preserve">$21B — head and tail exact, the middle pair swapped against actuals</w:t>
      </w:r>
      <w:r>
        <w:t xml:space="preserve"> </w:t>
      </w:r>
      <w:r>
        <w:t xml:space="preserve">(AIG’s $182B rescue outranks dealer losses). That swap is precisely what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measures: strong ordinal agreement (n=4 limits its power, stated</w:t>
      </w:r>
      <w:r>
        <w:t xml:space="preserve"> </w:t>
      </w:r>
      <w:r>
        <w:t xml:space="preserve">plainly) with the known guarantor-write discount. Dollar accuracy at every</w:t>
      </w:r>
      <w:r>
        <w:t xml:space="preserve"> </w:t>
      </w:r>
      <w:r>
        <w:t xml:space="preserve">row sits inside a factor of three: Investors 0.37x, Securitizers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1.9x, Guarantors 0.45x, Originators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0.7x of documented actuals</w:t>
      </w:r>
      <w:r>
        <w:t xml:space="preserve"> </w:t>
      </w:r>
      <w:r>
        <w:t xml:space="preserve">— order-of-magnitude right, the honest precision for a four-node frame</w:t>
      </w:r>
      <w:r>
        <w:t xml:space="preserve"> </w:t>
      </w:r>
      <w:r>
        <w:t xml:space="preserve">covering a fraction of the system.</w:t>
      </w:r>
    </w:p>
    <w:bookmarkStart w:id="176" w:name="tab:42-predicted-vs-actual"/>
    <w:p>
      <w:pPr>
        <w:pStyle w:val="TableCaption"/>
      </w:pPr>
      <w:r>
        <w:t xml:space="preserve">Predicted vs. actual 2008 losses by archetype ($B). Actuals are documented approximations; ratios test order of magnitude, not auditing precision.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vs. actual 2008 losses by archetype ($B). Actuals are documented approximations; ratios test order of magnitude, not auditing precis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(severe)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(approx.)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255.9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690 (GSE draws + bank writedowns)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Securitizers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100+ (dealer equity + writedowns)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182 (AIG assistance)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30 (failures, sales)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0.7x</w:t>
            </w:r>
          </w:p>
        </w:tc>
      </w:tr>
    </w:tbl>
    <w:bookmarkEnd w:id="176"/>
    <w:p>
      <w:pPr>
        <w:pStyle w:val="BodyText"/>
      </w:pPr>
      <w:r>
        <w:t xml:space="preserve">Two further modules transfer cleanly. The remedy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bubble_policy</w:t>
      </w:r>
      <w:r>
        <w:t xml:space="preserve"> </w:t>
      </w:r>
      <w:r>
        <w:t xml:space="preserve">on the 2008 severe total) ranks GPU-collateral</w:t>
      </w:r>
      <w:r>
        <w:t xml:space="preserve"> </w:t>
      </w:r>
      <w:r>
        <w:t xml:space="preserve">lending caps first (BCR 65.5), disclosure second (41.0) — the ex-ante</w:t>
      </w:r>
      <w:r>
        <w:t xml:space="preserve"> </w:t>
      </w:r>
      <w:r>
        <w:t xml:space="preserve">prescription for skin-in-the-game and transparency that history wrote</w:t>
      </w:r>
      <w:r>
        <w:t xml:space="preserve"> </w:t>
      </w:r>
      <w:r>
        <w:t xml:space="preserve">ex-post as Dodd-Frank risk retention (§941) and reporting. The portfolio</w:t>
      </w:r>
      <w:r>
        <w:t xml:space="preserve"> </w:t>
      </w:r>
      <w:r>
        <w:t xml:space="preserve">simulator on 2008 firms gives mean 7.9% against AI’s 10.7%, but VaR</w:t>
      </w:r>
      <w:r>
        <w:t xml:space="preserve"> </w:t>
      </w:r>
      <m:oMath>
        <m:r>
          <m:rPr>
            <m:sty m:val="p"/>
          </m:rPr>
          <m:t>−</m:t>
        </m:r>
        <m:r>
          <m:t>34.6</m:t>
        </m:r>
        <m:r>
          <m:rPr>
            <m:sty m:val="p"/>
          </m:rPr>
          <m:t>%</m:t>
        </m:r>
      </m:oMath>
      <w:r>
        <w:t xml:space="preserve"> </w:t>
      </w:r>
      <w:r>
        <w:t xml:space="preserve">and CVaR</w:t>
      </w:r>
      <w:r>
        <w:t xml:space="preserve"> </w:t>
      </w:r>
      <m:oMath>
        <m:r>
          <m:rPr>
            <m:sty m:val="p"/>
          </m:rPr>
          <m:t>−</m:t>
        </m:r>
        <m:r>
          <m:t>45.5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AI’s</w:t>
      </w:r>
      <w:r>
        <w:t xml:space="preserve"> </w:t>
      </w:r>
      <m:oMath>
        <m:r>
          <m:rPr>
            <m:sty m:val="p"/>
          </m:rPr>
          <m:t>−</m:t>
        </m:r>
        <m:r>
          <m:t>10.8</m:t>
        </m:r>
        <m:r>
          <m:rPr>
            <m:sty m:val="p"/>
          </m:rPr>
          <m:t>%</m:t>
        </m:r>
      </m:oMath>
      <w:r>
        <w:t xml:space="preserve">/</w:t>
      </w:r>
      <m:oMath>
        <m:r>
          <m:rPr>
            <m:sty m:val="p"/>
          </m:rPr>
          <m:t>−</m:t>
        </m:r>
        <m:r>
          <m:t>16.2</m:t>
        </m:r>
        <m:r>
          <m:rPr>
            <m:sty m:val="p"/>
          </m:rPr>
          <m:t>%</m:t>
        </m:r>
      </m:oMath>
      <w:r>
        <w:t xml:space="preserve">: similar</w:t>
      </w:r>
      <w:r>
        <w:t xml:space="preserve"> </w:t>
      </w:r>
      <w:r>
        <w:t xml:space="preserve">compensation, triple the tail — the model smells 2008’s danger in the</w:t>
      </w:r>
      <w:r>
        <w:t xml:space="preserve"> </w:t>
      </w:r>
      <w:r>
        <w:t xml:space="preserve">distribution even before the burst arithmetic runs.</w:t>
      </w:r>
    </w:p>
    <w:p>
      <w:pPr>
        <w:pStyle w:val="BodyText"/>
      </w:pPr>
      <w:r>
        <w:rPr>
          <w:i/>
          <w:iCs/>
        </w:rPr>
        <w:t xml:space="preserve">Can game theory predict a crisis?</w:t>
      </w:r>
      <w:r>
        <w:t xml:space="preserve"> </w:t>
      </w:r>
      <w:r>
        <w:t xml:space="preserve">The backtest answers precisely.</w:t>
      </w:r>
      <w:r>
        <w:t xml:space="preserve"> </w:t>
      </w:r>
      <w:r>
        <w:t xml:space="preserve">Game theory predicted nothing about</w:t>
      </w:r>
      <w:r>
        <w:t xml:space="preserve"> </w:t>
      </w:r>
      <w:r>
        <w:rPr>
          <w:i/>
          <w:iCs/>
        </w:rPr>
        <w:t xml:space="preserve">dates</w:t>
      </w:r>
      <w:r>
        <w:t xml:space="preserve"> </w:t>
      </w:r>
      <w:r>
        <w:t xml:space="preserve">— New Century’s April</w:t>
      </w:r>
      <w:r>
        <w:t xml:space="preserve"> </w:t>
      </w:r>
      <w:r>
        <w:t xml:space="preserve">2007 filing appears nowhere in its outputs. What it did predict, run cold on</w:t>
      </w:r>
      <w:r>
        <w:t xml:space="preserve"> </w:t>
      </w:r>
      <w:r>
        <w:t xml:space="preserve">2006–07 data: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bilateral games built from revenues and margins</w:t>
      </w:r>
      <w:r>
        <w:t xml:space="preserve"> </w:t>
      </w:r>
      <w:r>
        <w:t xml:space="preserve">alone, of which exactly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are stuck — Securitizers–Guarantors</w:t>
      </w:r>
      <w:r>
        <w:t xml:space="preserve"> </w:t>
      </w:r>
      <w:r>
        <w:t xml:space="preserve">($10.0B trapped, 96.8% efficient) and Investors–Guarantors ($34.5B trapped,</w:t>
      </w:r>
      <w:r>
        <w:t xml:space="preserve"> </w:t>
      </w:r>
      <w:r>
        <w:t xml:space="preserve">91.3% efficient) — placing the structural failure at the protection nexus where</w:t>
      </w:r>
      <w:r>
        <w:t xml:space="preserve"> </w:t>
      </w:r>
      <w:r>
        <w:t xml:space="preserve">2008 detonated (AIG). Aggregate deadweight loss of $182.7B sits an order of</w:t>
      </w:r>
      <w:r>
        <w:t xml:space="preserve"> </w:t>
      </w:r>
      <w:r>
        <w:t xml:space="preserve">magnitude below the AI stack’s $416.77B. The Guarantor node the model located</w:t>
      </w:r>
      <w:r>
        <w:t xml:space="preserve"> </w:t>
      </w:r>
      <w:r>
        <w:t xml:space="preserve">from balance-sheet wiring alone — AIG-FP’s $527B CDS book, found cold on</w:t>
      </w:r>
      <w:r>
        <w:t xml:space="preserve"> </w:t>
      </w:r>
      <w:r>
        <w:t xml:space="preserve">2006–07 inputs — has its AI counterpart in NVIDIA’s $105B Ohio facility</w:t>
      </w:r>
      <w:r>
        <w:t xml:space="preserve"> </w:t>
      </w:r>
      <w:r>
        <w:t xml:space="preserve">(Table </w:t>
      </w:r>
      <w:hyperlink w:anchor="tab:45-three-way">
        <w:r>
          <w:rPr>
            <w:rStyle w:val="Hyperlink"/>
          </w:rPr>
          <w:t xml:space="preserve">15</w:t>
        </w:r>
      </w:hyperlink>
      <w:r>
        <w:t xml:space="preserve">), located the same way from current wiring.</w:t>
      </w:r>
      <w:r>
        <w:t xml:space="preserve"> </w:t>
      </w:r>
      <w:r>
        <w:t xml:space="preserve">Monte Carlo reproduction averages</w:t>
      </w:r>
      <w:r>
        <w:t xml:space="preserve"> </w:t>
      </w:r>
      <w:r>
        <w:t xml:space="preserve">84.0%; the structural joint-draw check agrees with the burst order 100% of</w:t>
      </w:r>
      <w:r>
        <w:t xml:space="preserve"> </w:t>
      </w:r>
      <w:r>
        <w:t xml:space="preserve">the time (formation 80%; one-at-a-time agreement 15 (burst) and 12 (formation) of 16); the</w:t>
      </w:r>
      <w:r>
        <w:t xml:space="preserve"> </w:t>
      </w:r>
      <w:r>
        <w:t xml:space="preserve">coordination-failure screen independently flags the same two games; and the</w:t>
      </w:r>
      <w:r>
        <w:t xml:space="preserve"> </w:t>
      </w:r>
      <w:r>
        <w:t xml:space="preserve">Shapley split (Investors 212,</w:t>
      </w:r>
      <w:r>
        <w:t xml:space="preserve"> </w:t>
      </w:r>
      <w:r>
        <w:t xml:space="preserve">Securitizers 156, Guarantors 137, Originators 27) keeps bargaining power</w:t>
      </w:r>
      <w:r>
        <w:t xml:space="preserve"> </w:t>
      </w:r>
      <w:r>
        <w:t xml:space="preserve">where the rescues went. G1’s pre-registered FAIL</w:t>
      </w:r>
      <w:r>
        <w:t xml:space="preserve"> </w:t>
      </w:r>
      <w:r>
        <w:t xml:space="preserve">is therefore the honest kind: the chain games it named are clean, and the</w:t>
      </w:r>
      <w:r>
        <w:t xml:space="preserve"> </w:t>
      </w:r>
      <w:r>
        <w:t xml:space="preserve">machine found the real stuck cells one layer over — a better answer than</w:t>
      </w:r>
      <w:r>
        <w:t xml:space="preserve"> </w:t>
      </w:r>
      <w:r>
        <w:t xml:space="preserve">the question asked. As method, G1’s non-pass is instructive rather than</w:t>
      </w:r>
      <w:r>
        <w:t xml:space="preserve"> </w:t>
      </w:r>
      <w:r>
        <w:t xml:space="preserve">damaging: the model placed failure at the Guarantor nexus — the two stuck</w:t>
      </w:r>
      <w:r>
        <w:t xml:space="preserve"> </w:t>
      </w:r>
      <w:r>
        <w:t xml:space="preserve">guarantor games trap $44.5B combined — identifying AIG-FP’s unhedged CDS</w:t>
      </w:r>
      <w:r>
        <w:t xml:space="preserve"> </w:t>
      </w:r>
      <w:r>
        <w:t xml:space="preserve">portfolio as the system’s chokepoint from pre-crisis wiring alone.</w:t>
      </w:r>
    </w:p>
    <w:bookmarkStart w:id="180" w:name="fig:40-backtest-games-stuck"/>
    <w:p>
      <w:pPr>
        <w:pStyle w:val="CaptionedFigure"/>
      </w:pPr>
      <w:r>
        <w:drawing>
          <wp:inline>
            <wp:extent cx="5943600" cy="3130475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backtest_game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six 2008 games solved from 2006 revenues and margins: four efficient, two stuck (red) — both involving Guarantors. Total trapped value $44.5B against $182.7B of deadweight loss.</w:t>
      </w:r>
    </w:p>
    <w:bookmarkEnd w:id="180"/>
    <w:p>
      <w:pPr>
        <w:pStyle w:val="BodyText"/>
      </w:pPr>
      <w:r>
        <w:t xml:space="preserve">The matrices behind that summary show the same pattern cell by cell: Nash and joint-best coincide everywhere except the guarantor nexus.</w:t>
      </w:r>
    </w:p>
    <w:bookmarkStart w:id="184" w:name="fig:42-payoff-matrices"/>
    <w:p>
      <w:pPr>
        <w:pStyle w:val="CaptionedFigure"/>
      </w:pPr>
      <w:r>
        <w:drawing>
          <wp:inline>
            <wp:extent cx="5943600" cy="3803682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payoff_matrices_2008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2008 games, cell by cell, in the AI figure’s format: per-player payoffs ($B) with best-response outlines, cell welfare totals, efficiency and trapped-value side boxes, and insight footnotes. Rose cells are Nash, dashed green is joint-best, cream is both. In the four efficient games Nash and joint-best coincide; the two stuck games sit at the guarantor nexus, where written protection exceeds any single player’s incentive to cooperate.</w:t>
      </w:r>
    </w:p>
    <w:bookmarkEnd w:id="184"/>
    <w:bookmarkStart w:id="188" w:name="fig:41-backtest-hhi-concentration"/>
    <w:p>
      <w:pPr>
        <w:pStyle w:val="CaptionedFigure"/>
      </w:pPr>
      <w:r>
        <w:drawing>
          <wp:inline>
            <wp:extent cx="5349240" cy="2469912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backtest_hhi_compare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46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Concentration across all three vintages, same analyzer: AI at 3,851, 2008 at 3,249, telecom at 3,871 — every system far above the highly-concentrated threshold. Concentration is the precondition that turns one break systemic.</w:t>
      </w:r>
    </w:p>
    <w:bookmarkEnd w:id="188"/>
    <w:bookmarkStart w:id="192" w:name="fig:41b-backtest-saltelli"/>
    <w:p>
      <w:pPr>
        <w:pStyle w:val="CaptionedFigure"/>
      </w:pPr>
      <w:r>
        <w:drawing>
          <wp:inline>
            <wp:extent cx="5349240" cy="2761204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backtest_saltelli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76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2008 Saltelli decomposition at the largest stuck pair (Investors–Guarantors, $34.5B trapped): shared circularity is the top total-order driver (ST 0.97) while first-order effects load on revenues — the same interaction-heavy signature as the AI vintage (ST 0.99). The lock-in variable dominates trapped value wherever the loop runs.</w:t>
      </w:r>
    </w:p>
    <w:bookmarkEnd w:id="192"/>
    <w:p>
      <w:pPr>
        <w:pStyle w:val="BodyText"/>
      </w:pPr>
      <w:r>
        <w:t xml:space="preserve">The question this backtest was built to answer — is the machinery accurate</w:t>
      </w:r>
      <w:r>
        <w:t xml:space="preserve"> </w:t>
      </w:r>
      <w:r>
        <w:t xml:space="preserve">enough to trust on AI? — gets an affirmative, quantified answer: fourteen</w:t>
      </w:r>
      <w:r>
        <w:t xml:space="preserve"> </w:t>
      </w:r>
      <w:r>
        <w:t xml:space="preserve">verdicts, thirteen passes, one diagnosed fail that improves the machine. Timing</w:t>
      </w:r>
      <w:r>
        <w:t xml:space="preserve"> </w:t>
      </w:r>
      <w:r>
        <w:t xml:space="preserve">remains unpredicted by design (P8); everything the paper actually claims —</w:t>
      </w:r>
      <w:r>
        <w:t xml:space="preserve"> </w:t>
      </w:r>
      <w:r>
        <w:t xml:space="preserve">incidence, stuck cells, cascade share, channel mix, remedy logic, tail</w:t>
      </w:r>
      <w:r>
        <w:t xml:space="preserve"> </w:t>
      </w:r>
      <w:r>
        <w:t xml:space="preserve">shape — transfers intact. This is validation, not analogy: the same code,</w:t>
      </w:r>
      <w:r>
        <w:t xml:space="preserve"> </w:t>
      </w:r>
      <w:r>
        <w:t xml:space="preserve">unmodified, run on inputs measured the same way, recovers the historical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i/>
          <w:iCs/>
        </w:rPr>
        <w:t xml:space="preserve">Head to head.</w:t>
      </w:r>
      <w:r>
        <w:t xml:space="preserve"> </w:t>
      </w:r>
      <w:r>
        <w:t xml:space="preserve">Table </w:t>
      </w:r>
      <w:hyperlink w:anchor="tab:43-comparison-at-a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puts the two crises</w:t>
      </w:r>
      <w:r>
        <w:t xml:space="preserve"> </w:t>
      </w:r>
      <w:r>
        <w:t xml:space="preserve">on the same axes. Rank-ordered fragility and loss draw the same falling</w:t>
      </w:r>
      <w:r>
        <w:t xml:space="preserve"> </w:t>
      </w:r>
      <w:r>
        <w:t xml:space="preserve">staircase; the remedy ranking is identical — caps, disclosure, backstop</w:t>
      </w:r>
      <w:r>
        <w:t xml:space="preserve"> </w:t>
      </w:r>
      <w:r>
        <w:t xml:space="preserve">— in 2007 and 2026; and the risk fingerprint shows similar means with</w:t>
      </w:r>
      <w:r>
        <w:t xml:space="preserve"> </w:t>
      </w:r>
      <w:r>
        <w:t xml:space="preserve">triple the tail and thirteen times the propagation. Table </w:t>
      </w:r>
      <w:hyperlink w:anchor="tab:45-three-way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extends the comparison to all three vintages on one page: concentration</w:t>
      </w:r>
      <w:r>
        <w:t xml:space="preserve"> </w:t>
      </w:r>
      <w:r>
        <w:t xml:space="preserve">above 3,000 everywhere, 100% joint-draw burst agreement everywhere, and</w:t>
      </w:r>
      <w:r>
        <w:t xml:space="preserve"> </w:t>
      </w:r>
      <w:r>
        <w:t xml:space="preserve">the same two remedies on top everywhere — while propagation share,</w:t>
      </w:r>
      <w:r>
        <w:t xml:space="preserve"> </w:t>
      </w:r>
      <w:r>
        <w:t xml:space="preserve">stuck count, formation top, and burst head differ by vintage, exactly as</w:t>
      </w:r>
      <w:r>
        <w:t xml:space="preserve"> </w:t>
      </w:r>
      <w:r>
        <w:t xml:space="preserve">the different round-trip plumbing would predict.</w:t>
      </w:r>
    </w:p>
    <w:bookmarkStart w:id="193" w:name="tab:45-three-way"/>
    <w:p>
      <w:pPr>
        <w:pStyle w:val="TableCaption"/>
      </w:pPr>
      <w:r>
        <w:t xml:space="preserve">Three-way comparison: AI (2026 frame), mortgages (2008), telecom equipment (2001). All figures are model outputs on stated inputs (full ledgers in</w:t>
      </w:r>
      <w:r>
        <w:t xml:space="preserve"> </w:t>
      </w:r>
      <w:r>
        <w:rPr>
          <w:rStyle w:val="VerbatimChar"/>
        </w:rPr>
        <w:t xml:space="preserve">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tables/backtest/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ree-way comparison: AI (2026 frame), mortgages (2008), telecom equipment (2001). All figures are model outputs on stated inputs (full ledgers in tables/ and tables/backtest/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Mortgages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(HHI)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share of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Stuck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(HW–Cloud)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(guarantor nexus)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(vendor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burst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top-2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Labs,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Investors, Securitizers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AltCarriers,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 top-2 (BCR)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caps,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caps,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caps,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head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$239B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$256B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Incumbents $142B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$675B round-tripping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$600B/yr subprime, $1T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$25.6B vendor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clusters (fast depreciation)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tranches (AAA collapsed)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fiber (85%+ unused)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Guarantor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$105B Ohio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AIG-FP $527B CDS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balance sheets (Nortel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99%)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failure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labs (down-rounds)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Originators (New Century, Apr 2007)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AltCarriers (failed 2001)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Biggest dollar loser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$239B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$256B mod. ($690B act.)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$900B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Capex-led (86%)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Wealth-led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$13T households)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collapse (investment stopped)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impact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$139B (0.45%, scenario)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4.3%, 10% unempl. (actual)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Moderate, tech-concentrated</w:t>
            </w:r>
          </w:p>
        </w:tc>
      </w:tr>
    </w:tbl>
    <w:bookmarkEnd w:id="193"/>
    <w:p>
      <w:pPr>
        <w:pStyle w:val="BodyText"/>
      </w:pPr>
      <w:r>
        <w:rPr>
          <w:i/>
          <w:iCs/>
        </w:rPr>
        <w:t xml:space="preserve">Why AI is not 2008.</w:t>
      </w:r>
      <w:r>
        <w:t xml:space="preserve"> </w:t>
      </w:r>
      <w:r>
        <w:t xml:space="preserve">The same table bounds the fear. AI losses do</w:t>
      </w:r>
      <w:r>
        <w:t xml:space="preserve"> </w:t>
      </w:r>
      <w:r>
        <w:t xml:space="preserve">not touch household balance sheets — there is no home-equity channel, so</w:t>
      </w:r>
      <w:r>
        <w:t xml:space="preserve"> </w:t>
      </w:r>
      <w:r>
        <w:t xml:space="preserve">no wealth-led accelerator. Hyperscaler balance sheets absorb the first</w:t>
      </w:r>
      <w:r>
        <w:t xml:space="preserve"> </w:t>
      </w:r>
      <w:r>
        <w:t xml:space="preserve">round, which is why the modeled contagion multiplier is just 1.032 against</w:t>
      </w:r>
      <w:r>
        <w:t xml:space="preserve"> </w:t>
      </w:r>
      <w:r>
        <w:t xml:space="preserve">2008’s cascade. And the credit-risk concentration has a name and an</w:t>
      </w:r>
      <w:r>
        <w:t xml:space="preserve"> </w:t>
      </w:r>
      <w:r>
        <w:t xml:space="preserve">address: NVIDIA’s $105B Ohio guarantee facility is the AIG position of</w:t>
      </w:r>
      <w:r>
        <w:t xml:space="preserve"> </w:t>
      </w:r>
      <w:r>
        <w:t xml:space="preserve">this stack — the single node whose failure would convert a tech</w:t>
      </w:r>
      <w:r>
        <w:t xml:space="preserve"> </w:t>
      </w:r>
      <w:r>
        <w:t xml:space="preserve">slowdown into a credit event, and the first place the trigger watchlist</w:t>
      </w:r>
      <w:r>
        <w:t xml:space="preserve"> </w:t>
      </w:r>
      <w:r>
        <w:t xml:space="preserve">looks.</w:t>
      </w:r>
    </w:p>
    <w:bookmarkStart w:id="194" w:name="tab:43-comparison-at-a"/>
    <w:p>
      <w:pPr>
        <w:pStyle w:val="TableCaption"/>
      </w:pPr>
      <w:r>
        <w:t xml:space="preserve">AI bubble vs. 2008 mortgage crisis at a glance. Machine-readable:</w:t>
      </w:r>
      <w:r>
        <w:t xml:space="preserve"> </w:t>
      </w:r>
      <w:r>
        <w:rPr>
          <w:rStyle w:val="VerbatimChar"/>
        </w:rPr>
        <w:t xml:space="preserve">tables/compare_summary.csv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 bubble vs. 2008 mortgage crisis at a glance. Machine-readable: tables/compare_summary.csv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dispersed; 2008 uniform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Rank-1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$239.4B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$255.9B (Investors)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Holders lose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Buffers vs. 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(scenario)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Amplifiers absent in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Capex-led (86%)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channels, both mixes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(57.4)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(65.5)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VaR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10.8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34.6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Triple the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joint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 </w:t>
            </w: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transfer</w:t>
            </w:r>
          </w:p>
        </w:tc>
      </w:tr>
    </w:tbl>
    <w:bookmarkEnd w:id="194"/>
    <w:bookmarkStart w:id="198" w:name="fig:38-backtest-rank-validation"/>
    <w:p>
      <w:pPr>
        <w:pStyle w:val="CaptionedFigure"/>
      </w:pPr>
      <w:r>
        <w:drawing>
          <wp:inline>
            <wp:extent cx="5052060" cy="3856626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backtest_rank_validation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85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versus actual dollar-loss ranks, 2008. Three of four archetypes sit on the diagonal; the Guarantors’ off-diagonal miss is the diagnosed clearing-engine blind spot, not noise.</w:t>
      </w:r>
    </w:p>
    <w:bookmarkEnd w:id="198"/>
    <w:bookmarkStart w:id="202" w:name="fig:39-backtest-stability-method"/>
    <w:p>
      <w:pPr>
        <w:pStyle w:val="CaptionedFigure"/>
      </w:pPr>
      <w:r>
        <w:drawing>
          <wp:inline>
            <wp:extent cx="5943600" cy="285486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backtest_stability_compare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scoring method, two crises. Stability scores separate balance-sheet holders (high) from originators (low) in both vintages — the same gradient that sorts AI infrastructure above labs and apps.</w:t>
      </w:r>
    </w:p>
    <w:bookmarkEnd w:id="202"/>
    <w:p>
      <w:pPr>
        <w:pStyle w:val="BodyText"/>
      </w:pPr>
      <w:r>
        <w:rPr>
          <w:i/>
          <w:iCs/>
        </w:rPr>
        <w:t xml:space="preserve">What the misses teach.</w:t>
      </w:r>
      <w:r>
        <w:t xml:space="preserve"> </w:t>
      </w:r>
      <w:r>
        <w:t xml:space="preserve">Two cells missed, and both misses point the</w:t>
      </w:r>
      <w:r>
        <w:t xml:space="preserve"> </w:t>
      </w:r>
      <w:r>
        <w:t xml:space="preserve">same way. T2’s middle swap (Guarantors $82B modeled vs. $182B</w:t>
      </w:r>
      <w:r>
        <w:t xml:space="preserve"> </w:t>
      </w:r>
      <w:r>
        <w:t xml:space="preserve">actual) and G1’s clean chain both underweight protection-</w:t>
      </w:r>
      <w:r>
        <w:rPr>
          <w:i/>
          <w:iCs/>
        </w:rPr>
        <w:t xml:space="preserve">written</w:t>
      </w:r>
      <w:r>
        <w:t xml:space="preserve"> </w:t>
      </w:r>
      <w:r>
        <w:t xml:space="preserve">losses, which crystallize through full clearing mechanics the one-round</w:t>
      </w:r>
      <w:r>
        <w:t xml:space="preserve"> </w:t>
      </w:r>
      <w:r>
        <w:t xml:space="preserve">network term only half-captures — visible as the single off-diagonal</w:t>
      </w:r>
      <w:r>
        <w:t xml:space="preserve"> </w:t>
      </w:r>
      <w:r>
        <w:t xml:space="preserve">point in Figure </w:t>
      </w:r>
      <w:hyperlink w:anchor="fig:38-backtest-rank-validation">
        <w:r>
          <w:rPr>
            <w:rStyle w:val="Hyperlink"/>
          </w:rPr>
          <w:t xml:space="preserve">32</w:t>
        </w:r>
      </w:hyperlink>
      <w:r>
        <w:t xml:space="preserve">. That blind spot</w:t>
      </w:r>
      <w:r>
        <w:t xml:space="preserve"> </w:t>
      </w:r>
      <w:r>
        <w:t xml:space="preserve">transfers directly: NVIDIA’s $105B Ohio guarantee chain is the AI stack’s</w:t>
      </w:r>
      <w:r>
        <w:t xml:space="preserve"> </w:t>
      </w:r>
      <w:r>
        <w:t xml:space="preserve">AIG-shaped exposure, and its modeled losses likely understate the tail the</w:t>
      </w:r>
      <w:r>
        <w:t xml:space="preserve"> </w:t>
      </w:r>
      <w:r>
        <w:t xml:space="preserve">same way. The backtest thus does double duty: it validates the ranking</w:t>
      </w:r>
      <w:r>
        <w:t xml:space="preserve"> </w:t>
      </w:r>
      <w:r>
        <w:t xml:space="preserve">logic (head and tail exact, crossing reproduced, channels fit both crises)</w:t>
      </w:r>
      <w:r>
        <w:t xml:space="preserve"> </w:t>
      </w:r>
      <w:r>
        <w:t xml:space="preserve">and quantifies a known unknown in the AI numbers.</w:t>
      </w:r>
    </w:p>
    <w:p>
      <w:pPr>
        <w:pStyle w:val="BodyText"/>
      </w:pPr>
      <w:r>
        <w:rPr>
          <w:i/>
          <w:iCs/>
        </w:rPr>
        <w:t xml:space="preserve">Why AI is not 2008 in severity.</w:t>
      </w:r>
      <w:r>
        <w:t xml:space="preserve"> </w:t>
      </w:r>
      <w:r>
        <w:t xml:space="preserve">The backtest also bounds the analogy:</w:t>
      </w:r>
      <w:r>
        <w:t xml:space="preserve"> </w:t>
      </w:r>
      <w:r>
        <w:t xml:space="preserve">2008 had a household-credit amplifier (</w:t>
      </w:r>
      <m:oMath>
        <m:r>
          <m:rPr>
            <m:sty m:val="p"/>
          </m:rPr>
          <m:t>−</m:t>
        </m:r>
      </m:oMath>
      <w:r>
        <w:t xml:space="preserve">$13T wealth,</w:t>
      </w:r>
      <w:r>
        <w:t xml:space="preserve"> </w:t>
      </w:r>
      <m:oMath>
        <m:r>
          <m:rPr>
            <m:sty m:val="p"/>
          </m:rPr>
          <m:t>−</m:t>
        </m:r>
        <m:r>
          <m:t>4.3</m:t>
        </m:r>
        <m:r>
          <m:rPr>
            <m:sty m:val="p"/>
          </m:rPr>
          <m:t>%</m:t>
        </m:r>
      </m:oMath>
      <w:r>
        <w:t xml:space="preserve"> </w:t>
      </w:r>
      <w:r>
        <w:t xml:space="preserve">GDP),</w:t>
      </w:r>
      <w:r>
        <w:t xml:space="preserve"> </w:t>
      </w:r>
      <w:r>
        <w:t xml:space="preserve">ratings-agency fraud, and system-wide thin capital — all absent from the AI</w:t>
      </w:r>
      <w:r>
        <w:t xml:space="preserve"> </w:t>
      </w:r>
      <w:r>
        <w:t xml:space="preserve">frame, which runs on cash flow with thick buffers (multiplier 1.032, GDP</w:t>
      </w:r>
      <w:r>
        <w:t xml:space="preserve"> </w:t>
      </w:r>
      <w:r>
        <w:t xml:space="preserve">cost 0.45%). A model that reproduces 2008’s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while predicting a</w:t>
      </w:r>
      <w:r>
        <w:t xml:space="preserve"> </w:t>
      </w:r>
      <w:r>
        <w:t xml:space="preserve">fraction of its</w:t>
      </w:r>
      <w:r>
        <w:t xml:space="preserve"> </w:t>
      </w:r>
      <w:r>
        <w:rPr>
          <w:i/>
          <w:iCs/>
        </w:rPr>
        <w:t xml:space="preserve">scale</w:t>
      </w:r>
      <w:r>
        <w:t xml:space="preserve"> </w:t>
      </w:r>
      <w:r>
        <w:t xml:space="preserve">is not contradicting itself; it is measuring</w:t>
      </w:r>
      <w:r>
        <w:t xml:space="preserve"> </w:t>
      </w:r>
      <w:r>
        <w:t xml:space="preserve">the amplifiers’ absence. Registry likelihoods stand unchanged; their</w:t>
      </w:r>
      <w:r>
        <w:t xml:space="preserve"> </w:t>
      </w:r>
      <w:r>
        <w:t xml:space="preserve">mechanism now has independent historical corroboration.</w:t>
      </w:r>
    </w:p>
    <w:bookmarkStart w:id="224" w:name="sec:telecom"/>
    <w:p>
      <w:pPr>
        <w:pStyle w:val="Heading3"/>
      </w:pPr>
      <w:r>
        <w:t xml:space="preserve">Telecom equipment (1998–2002): vendor financing as the round trip</w:t>
      </w:r>
    </w:p>
    <w:p>
      <w:pPr>
        <w:pStyle w:val="FirstParagraph"/>
      </w:pPr>
      <w:r>
        <w:t xml:space="preserve">The second vintage is the closer analog. Equipment vendors booked revenue by</w:t>
      </w:r>
      <w:r>
        <w:t xml:space="preserve"> </w:t>
      </w:r>
      <w:r>
        <w:t xml:space="preserve">lending to their own buyers: Lucent committed $8.1B in vendor financing,</w:t>
      </w:r>
      <w:r>
        <w:t xml:space="preserve"> </w:t>
      </w:r>
      <w:r>
        <w:t xml:space="preserve">Nortel $3.1B ($1.4B outstanding, at one point 130% of equipment cost),</w:t>
      </w:r>
      <w:r>
        <w:t xml:space="preserve"> </w:t>
      </w:r>
      <w:r>
        <w:t xml:space="preserve">Cisco $2.4B, with combined exposure near $25.6B across nine suppliers by</w:t>
      </w:r>
      <w:r>
        <w:t xml:space="preserve"> </w:t>
      </w:r>
      <w:r>
        <w:t xml:space="preserve">end-2000. When demand broke, receivables failed together with sales: Nortel</w:t>
      </w:r>
      <w:r>
        <w:t xml:space="preserve"> </w:t>
      </w:r>
      <w:r>
        <w:t xml:space="preserve">fell from C$398B to under C$5B (</w:t>
      </w:r>
      <m:oMath>
        <m:r>
          <m:rPr>
            <m:sty m:val="p"/>
          </m:rPr>
          <m:t>∼</m:t>
        </m:r>
      </m:oMath>
      <w:r>
        <w:t xml:space="preserve">99%), Lucent 97%, Cisco 89%,</w:t>
      </w:r>
      <w:r>
        <w:t xml:space="preserve"> </w:t>
      </w:r>
      <w:r>
        <w:t xml:space="preserve">Global Crossing went from $47B to bankruptcy, WorldCom filed on $107B of</w:t>
      </w:r>
      <w:r>
        <w:t xml:space="preserve"> </w:t>
      </w:r>
      <w:r>
        <w:t xml:space="preserve">assets, and 47 competitive carriers failed between 2000 and 2003, while over</w:t>
      </w:r>
      <w:r>
        <w:t xml:space="preserve"> </w:t>
      </w:r>
      <w:r>
        <w:t xml:space="preserve">85% of laid fiber went dark and equipment investment effectively stopped.</w:t>
      </w:r>
      <w:r>
        <w:t xml:space="preserve"> </w:t>
      </w:r>
      <w:r>
        <w:t xml:space="preserve">GDP damage stayed moderate and concentrated in technology and capital goods.</w:t>
      </w:r>
      <w:r>
        <w:t xml:space="preserve"> </w:t>
      </w:r>
      <w:r>
        <w:t xml:space="preserve">The frame</w:t>
      </w:r>
      <w:r>
        <w:t xml:space="preserve"> </w:t>
      </w:r>
      <w:r>
        <w:t xml:space="preserve">represents four archetypes on 2000 inputs — Vendors ($83B revenue),</w:t>
      </w:r>
      <w:r>
        <w:t xml:space="preserve"> </w:t>
      </w:r>
      <w:r>
        <w:t xml:space="preserve">Incumbents ($221B), AltCarriers ($6.4B), Financiers ($105B) — with the</w:t>
      </w:r>
      <w:r>
        <w:t xml:space="preserve"> </w:t>
      </w:r>
      <w:r>
        <w:t xml:space="preserve">vendor-financing loop as committed circular edges. Approximations are</w:t>
      </w:r>
      <w:r>
        <w:t xml:space="preserve"> </w:t>
      </w:r>
      <w:r>
        <w:t xml:space="preserve">documented in the pipeline; the ledger below grades what the machine gets</w:t>
      </w:r>
      <w:r>
        <w:t xml:space="preserve"> </w:t>
      </w:r>
      <w:r>
        <w:t xml:space="preserve">right and what it misses.</w:t>
      </w:r>
    </w:p>
    <w:bookmarkStart w:id="206" w:name="fig:43-telecom-overview"/>
    <w:p>
      <w:pPr>
        <w:pStyle w:val="CaptionedFigure"/>
      </w:pPr>
      <w:r>
        <w:drawing>
          <wp:inline>
            <wp:extent cx="5943600" cy="2794484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telecom_overview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Telecom formation and burst on 2000 inputs. Formation ranks the financed buyers first (AltCarriers 79.3%, Vendors 64.3%) — the loop is densest where vendor credit met thin balance sheets. Burst incidence puts Incumbents first at $142.0B against Vendors at $66.4B: the head is wrong (actual: Vendors), the mechanism is right (below).</w:t>
      </w:r>
    </w:p>
    <w:bookmarkEnd w:id="206"/>
    <w:p>
      <w:pPr>
        <w:pStyle w:val="BodyText"/>
      </w:pPr>
      <w:r>
        <w:t xml:space="preserve">Formation transfers exactly: AltCarriers and Vendors top the ranking, and</w:t>
      </w:r>
      <w:r>
        <w:t xml:space="preserve"> </w:t>
      </w:r>
      <w:r>
        <w:t xml:space="preserve">AltCarriers score least stable — the financed buyers fail first, in 2001,</w:t>
      </w:r>
      <w:r>
        <w:t xml:space="preserve"> </w:t>
      </w:r>
      <w:r>
        <w:t xml:space="preserve">while the biggest loser is a vendor, the same crossing the AI frame predicts.</w:t>
      </w:r>
      <w:r>
        <w:t xml:space="preserve"> </w:t>
      </w:r>
      <w:r>
        <w:t xml:space="preserve">The six telecom games trap value in the vendor-to-buyer chain:</w:t>
      </w:r>
      <w:r>
        <w:t xml:space="preserve"> </w:t>
      </w:r>
      <w:r>
        <w:t xml:space="preserve">Vendors–AltCarriers stuck at $26.9B, Incumbents–AltCarriers at $92.8B,</w:t>
      </w:r>
      <w:r>
        <w:t xml:space="preserve"> </w:t>
      </w:r>
      <w:r>
        <w:t xml:space="preserve">Incumbents–Financiers at $42.4B. Network losses run 48.9% of the total,</w:t>
      </w:r>
      <w:r>
        <w:t xml:space="preserve"> </w:t>
      </w:r>
      <w:r>
        <w:t xml:space="preserve">against 3.2% in AI — receivables failing together with sales is</w:t>
      </w:r>
      <w:r>
        <w:t xml:space="preserve"> </w:t>
      </w:r>
      <w:r>
        <w:t xml:space="preserve">round-trip propagation at full strength.</w:t>
      </w:r>
    </w:p>
    <w:bookmarkStart w:id="210" w:name="fig:44-telecom-games"/>
    <w:p>
      <w:pPr>
        <w:pStyle w:val="CaptionedFigure"/>
      </w:pPr>
      <w:r>
        <w:drawing>
          <wp:inline>
            <wp:extent cx="5943600" cy="3027724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telecom_games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telecom games: trapped value concentrates in every game touching the financed buyers. Three stuck cells, all on the vendor-credit chain — the lock-in the financing created.</w:t>
      </w:r>
    </w:p>
    <w:bookmarkEnd w:id="210"/>
    <w:bookmarkStart w:id="214" w:name="fig:46-telecom-payoff-matrices"/>
    <w:p>
      <w:pPr>
        <w:pStyle w:val="CaptionedFigure"/>
      </w:pPr>
      <w:r>
        <w:drawing>
          <wp:inline>
            <wp:extent cx="5943600" cy="3803682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payoff_matrices_telecom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telecom games, cell by cell, in the AI figure’s format: per-player payoffs ($B) with best-response outlines, cell welfare totals, efficiency and trapped-value side boxes, and insight footnotes. Rose cells are Nash, dashed green is joint-best, cream is both. The efficient games coincide; the three stuck games trap the vendor–buyer pairs, with the largest trap ($92.8B) in Incumbents–AltCarriers, where carrier debt met vendor receivables.</w:t>
      </w:r>
    </w:p>
    <w:bookmarkEnd w:id="214"/>
    <w:bookmarkStart w:id="218" w:name="fig:46b-telecom-saltelli"/>
    <w:p>
      <w:pPr>
        <w:pStyle w:val="CaptionedFigure"/>
      </w:pPr>
      <w:r>
        <w:drawing>
          <wp:inline>
            <wp:extent cx="5349240" cy="2739854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telecom_saltelli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73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Telecom Saltelli decomposition at the largest stuck pair (Incumbents–AltCarriers, $92.8B trapped): shared circularity is a top-tier total-order driver (ST 0.96), just below the thin buyer’s margin and revenue (ST 0.99) — first-order effects load almost entirely on incumbent revenue. Three vintages, one signature: trapped value is an interaction phenomenon, and lock-in is always among its top drivers.</w:t>
      </w:r>
    </w:p>
    <w:bookmarkEnd w:id="218"/>
    <w:bookmarkStart w:id="222" w:name="fig:45-telecom-rank"/>
    <w:p>
      <w:pPr>
        <w:pStyle w:val="CaptionedFigure"/>
      </w:pPr>
      <w:r>
        <w:drawing>
          <wp:inline>
            <wp:extent cx="5052060" cy="3856626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telecom_rank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85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versus actual 2000–02 dollar-loss ranks. Head and tail swap (Spearman 0.60): the model crowns Incumbents at $142B and buries AltCarriers at $5.7B, while history destroyed vendors first (</w:t>
      </w:r>
      <m:oMath>
        <m:r>
          <m:rPr>
            <m:sty m:val="p"/>
          </m:rPr>
          <m:t>∼</m:t>
        </m:r>
      </m:oMath>
      <w:r>
        <w:t xml:space="preserve">$900B, mostly multiple compression) and lenders last. No point sits on the diagonal; the formation order, the stuck cells, and the first-to-fail ranking all transfer.</w:t>
      </w:r>
    </w:p>
    <w:bookmarkEnd w:id="222"/>
    <w:bookmarkStart w:id="223" w:name="tab:44-telecom-verdict"/>
    <w:p>
      <w:pPr>
        <w:pStyle w:val="TableCaption"/>
      </w:pPr>
      <w:r>
        <w:t xml:space="preserve">Telecom verdict: twelve tests (full ledger in</w:t>
      </w:r>
      <w:r>
        <w:t xml:space="preserve"> </w:t>
      </w:r>
      <w:r>
        <w:rPr>
          <w:rStyle w:val="VerbatimChar"/>
        </w:rPr>
        <w:t xml:space="preserve">tables/backtest/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lecom verdict: twelve tests (full ledger in tables/backtest/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 formation top-2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AltCarriers,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 head/tail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Incumbents 1st, AltCarriers 4th (middle swapped)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 network share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vs. 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 least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 capex-led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rank corr.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 = 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vendor $ in 0.3x–3x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$66B = 0.07x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U6 Saltelli circ. 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top-tier (AltCarrier margin 0.99)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stuck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repro.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HHI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joint agree.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bookmarkEnd w:id="223"/>
    <w:p>
      <w:pPr>
        <w:pStyle w:val="BodyText"/>
      </w:pPr>
      <w:r>
        <w:rPr>
          <w:i/>
          <w:iCs/>
        </w:rPr>
        <w:t xml:space="preserve">What telecom teaches.</w:t>
      </w:r>
      <w:r>
        <w:t xml:space="preserve"> </w:t>
      </w:r>
      <w:r>
        <w:t xml:space="preserve">This vintage is where the paper’s own</w:t>
      </w:r>
      <w:r>
        <w:t xml:space="preserve"> </w:t>
      </w:r>
      <w:r>
        <w:t xml:space="preserve">distinction earns its keep. Everything built from contracts transfers:</w:t>
      </w:r>
      <w:r>
        <w:t xml:space="preserve"> </w:t>
      </w:r>
      <w:r>
        <w:t xml:space="preserve">formation order, stuck cells, first-to-fail, concentration (HHI 3,871</w:t>
      </w:r>
      <w:r>
        <w:t xml:space="preserve"> </w:t>
      </w:r>
      <w:r>
        <w:t xml:space="preserve">against AI’s 3,851), and 100% joint-draw burst agreement. Everything built</w:t>
      </w:r>
      <w:r>
        <w:t xml:space="preserve"> </w:t>
      </w:r>
      <w:r>
        <w:t xml:space="preserve">from dollar levels does not: contract-impairment arithmetic cannot see</w:t>
      </w:r>
      <w:r>
        <w:t xml:space="preserve"> </w:t>
      </w:r>
      <w:r>
        <w:t xml:space="preserve">multiple compression, so it crowns Incumbents and buries AltCarriers while</w:t>
      </w:r>
      <w:r>
        <w:t xml:space="preserve"> </w:t>
      </w:r>
      <w:r>
        <w:t xml:space="preserve">history did the reverse. The AI dollar figures deserve exactly the discount</w:t>
      </w:r>
      <w:r>
        <w:t xml:space="preserve"> </w:t>
      </w:r>
      <w:r>
        <w:t xml:space="preserve">this vintage measures — which is why they are scenario markers, and why</w:t>
      </w:r>
      <w:r>
        <w:t xml:space="preserve"> </w:t>
      </w:r>
      <w:r>
        <w:t xml:space="preserve">the forecast is the ranking. Ranks travel while levels expire: contract</w:t>
      </w:r>
      <w:r>
        <w:t xml:space="preserve"> </w:t>
      </w:r>
      <w:r>
        <w:t xml:space="preserve">wiring predicts loss order and fragility topology; equity multiples —</w:t>
      </w:r>
      <w:r>
        <w:t xml:space="preserve"> </w:t>
      </w:r>
      <w:r>
        <w:t xml:space="preserve">which compressed 90%+ in 2001 (Nortel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99%, Table </w:t>
      </w:r>
      <w:hyperlink w:anchor="tab:45-three-way">
        <w:r>
          <w:rPr>
            <w:rStyle w:val="Hyperlink"/>
          </w:rPr>
          <w:t xml:space="preserve">15</w:t>
        </w:r>
      </w:hyperlink>
      <w:r>
        <w:t xml:space="preserve">)</w:t>
      </w:r>
      <w:r>
        <w:t xml:space="preserve"> </w:t>
      </w:r>
      <w:r>
        <w:t xml:space="preserve">— determine point dollar valuations.</w:t>
      </w:r>
    </w:p>
    <w:bookmarkEnd w:id="224"/>
    <w:bookmarkEnd w:id="225"/>
    <w:bookmarkStart w:id="235" w:name="sec:triggers"/>
    <w:p>
      <w:pPr>
        <w:pStyle w:val="Heading2"/>
      </w:pPr>
      <w:r>
        <w:t xml:space="preserve">Catalyst Monitoring: An Ordered Indicator Framework</w:t>
      </w:r>
    </w:p>
    <w:p>
      <w:pPr>
        <w:pStyle w:val="FirstParagraph"/>
      </w:pPr>
      <w:r>
        <w:t xml:space="preserve">Windows say</w:t>
      </w:r>
      <w:r>
        <w:t xml:space="preserve"> </w:t>
      </w:r>
      <w:r>
        <w:rPr>
          <w:i/>
          <w:iCs/>
        </w:rPr>
        <w:t xml:space="preserve">when the structure matures</w:t>
      </w:r>
      <w:r>
        <w:t xml:space="preserve"> </w:t>
      </w:r>
      <w:r>
        <w:t xml:space="preserve">(Section </w:t>
      </w:r>
      <w:hyperlink w:anchor="sec:burst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dates</w:t>
      </w:r>
      <w:r>
        <w:t xml:space="preserve"> </w:t>
      </w:r>
      <w:r>
        <w:t xml:space="preserve">the system median to Q2’29); triggers say</w:t>
      </w:r>
      <w:r>
        <w:t xml:space="preserve"> </w:t>
      </w:r>
      <w:r>
        <w:rPr>
          <w:i/>
          <w:iCs/>
        </w:rPr>
        <w:t xml:space="preserve">what sets it off</w:t>
      </w:r>
      <w:r>
        <w:t xml:space="preserve">. Two</w:t>
      </w:r>
      <w:r>
        <w:t xml:space="preserve"> </w:t>
      </w:r>
      <w:r>
        <w:t xml:space="preserve">independent price gauges check the structure from the market side without</w:t>
      </w:r>
      <w:r>
        <w:t xml:space="preserve"> </w:t>
      </w:r>
      <w:r>
        <w:t xml:space="preserve">sharing the formation model’s inputs. Ordered by proximity:</w:t>
      </w:r>
    </w:p>
    <w:p>
      <w:pPr>
        <w:pStyle w:val="BodyText"/>
      </w:pPr>
      <w:r>
        <w:rPr>
          <w:b/>
          <w:bCs/>
        </w:rPr>
        <w:t xml:space="preserve">1. A down-round or pulled mega-round at a frontier lab</w:t>
      </w:r>
      <w:r>
        <w:t xml:space="preserve"> </w:t>
      </w:r>
      <w:r>
        <w:t xml:space="preserve">(nearest).</w:t>
      </w:r>
      <w:r>
        <w:t xml:space="preserve"> </w:t>
      </w:r>
      <w:r>
        <w:t xml:space="preserve">failed raise reprices every adjacent private mark at once — Anthropic’s</w:t>
      </w:r>
      <w:r>
        <w:t xml:space="preserve"> </w:t>
      </w:r>
      <w:r>
        <w:t xml:space="preserve">$965B, Databricks near 905x, xAI at 400x.</w:t>
      </w:r>
    </w:p>
    <w:p>
      <w:pPr>
        <w:pStyle w:val="BodyText"/>
      </w:pPr>
      <w:r>
        <w:rPr>
          <w:b/>
          <w:bCs/>
        </w:rPr>
        <w:t xml:space="preserve">2. Conditional money walking away.</w:t>
      </w:r>
      <w:r>
        <w:t xml:space="preserve"> </w:t>
      </w:r>
      <w:r>
        <w:t xml:space="preserve">Google’s $30B milestones, Amazon’s</w:t>
      </w:r>
      <w:r>
        <w:t xml:space="preserve"> </w:t>
      </w:r>
      <w:r>
        <w:t xml:space="preserve">$20B, and NVIDIA’s up-to-$10B tranche were disclosed, never booked. If milestones slip and</w:t>
      </w:r>
      <w:r>
        <w:t xml:space="preserve"> </w:t>
      </w:r>
      <w:r>
        <w:t xml:space="preserve">tranches lapse, roughly $60B of anticipated capacity — pushing the booked</w:t>
      </w:r>
      <w:r>
        <w:t xml:space="preserve"> </w:t>
      </w:r>
      <w:r>
        <w:t xml:space="preserve">frame toward $735B had it activated — evaporates instead.</w:t>
      </w:r>
    </w:p>
    <w:p>
      <w:pPr>
        <w:pStyle w:val="BodyText"/>
      </w:pPr>
      <w:r>
        <w:rPr>
          <w:b/>
          <w:bCs/>
        </w:rPr>
        <w:t xml:space="preserve">3. A neocloud refinancing failure.</w:t>
      </w:r>
      <w:r>
        <w:t xml:space="preserve"> </w:t>
      </w:r>
      <w:r>
        <w:t xml:space="preserve">GPU-collateral borrowers roll</w:t>
      </w:r>
      <w:r>
        <w:t xml:space="preserve"> </w:t>
      </w:r>
      <w:r>
        <w:t xml:space="preserve">short-dated obligations against homogeneous collateral with supplier resale</w:t>
      </w:r>
      <w:r>
        <w:t xml:space="preserve"> </w:t>
      </w:r>
      <w:r>
        <w:t xml:space="preserve">guarantees. One failed refinancing reprices the whole collateral class and</w:t>
      </w:r>
      <w:r>
        <w:t xml:space="preserve"> </w:t>
      </w:r>
      <w:r>
        <w:t xml:space="preserve">switches the fire-sale channel on.</w:t>
      </w:r>
    </w:p>
    <w:p>
      <w:pPr>
        <w:pStyle w:val="BodyText"/>
      </w:pPr>
      <w:r>
        <w:rPr>
          <w:b/>
          <w:bCs/>
        </w:rPr>
        <w:t xml:space="preserve">4. Rating and spread contagion.</w:t>
      </w:r>
      <w:r>
        <w:t xml:space="preserve"> </w:t>
      </w:r>
      <w:r>
        <w:t xml:space="preserve">Oracle’s template — record CDS,</w:t>
      </w:r>
      <w:r>
        <w:t xml:space="preserve"> </w:t>
      </w:r>
      <w:r>
        <w:t xml:space="preserve">then the downgrade — applied to the next leveraged name. Each gap widens</w:t>
      </w:r>
      <w:r>
        <w:t xml:space="preserve"> </w:t>
      </w:r>
      <w:r>
        <w:t xml:space="preserve">the discount on all of them.</w:t>
      </w:r>
    </w:p>
    <w:p>
      <w:pPr>
        <w:pStyle w:val="BodyText"/>
      </w:pPr>
      <w:r>
        <w:rPr>
          <w:b/>
          <w:bCs/>
        </w:rPr>
        <w:t xml:space="preserve">5. A hyperscaler capex guidance cut</w:t>
      </w:r>
      <w:r>
        <w:t xml:space="preserve"> </w:t>
      </w:r>
      <w:r>
        <w:t xml:space="preserve">(latest but largest).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$733B 2026 guidance sum is the demand floor under the stack; a joint</w:t>
      </w:r>
      <w:r>
        <w:t xml:space="preserve"> </w:t>
      </w:r>
      <w:r>
        <w:t xml:space="preserve">cut turns circular receivables doubtful simultaneously.</w:t>
      </w:r>
    </w:p>
    <w:bookmarkStart w:id="226" w:name="X207d1cc5fbe726a549bc80127c6f7e3616a2ec4"/>
    <w:p>
      <w:pPr>
        <w:pStyle w:val="TableCaption"/>
      </w:pPr>
      <w:r>
        <w:t xml:space="preserve">Trigger watchlist: observable, current marker, tripwire. Machine-readable:</w:t>
      </w:r>
      <w:r>
        <w:t xml:space="preserve"> </w:t>
      </w:r>
      <w:r>
        <w:rPr>
          <w:rStyle w:val="VerbatimChar"/>
        </w:rPr>
        <w:t xml:space="preserve">pred_B_trigger_watchlist.csv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gger watchlist: observable, current marker, tripwire. Machine-readable: pred_B_trigger_watchlist.csv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down-round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size, tenor, debt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shrinks / stretches / converts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money 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Drawdowns vs. milestone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passes, no drawdown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Neocloud refi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GPU-paper spreads,</w:t>
            </w:r>
            <w:r>
              <w:t xml:space="preserve"> </w:t>
            </w:r>
            <w:r>
              <w:t xml:space="preserve">“strategic”</w:t>
            </w:r>
            <w:r>
              <w:t xml:space="preserve"> </w:t>
            </w: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roll, collateral repriced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Rating/spread contagion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 + ratings in burst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name gaps like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Hyperscaler capex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Earnings-call capex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hyperscalers cut together</w:t>
            </w:r>
          </w:p>
        </w:tc>
      </w:tr>
    </w:tbl>
    <w:bookmarkEnd w:id="226"/>
    <w:p>
      <w:pPr>
        <w:pStyle w:val="BodyText"/>
      </w:pPr>
      <w:r>
        <w:t xml:space="preserve">A convexity gauge (OLS log-price on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trailing 26/52/78-week</w:t>
      </w:r>
      <w:r>
        <w:t xml:space="preserve"> </w:t>
      </w:r>
      <w:r>
        <w:t xml:space="preserve">windows; the quadratic</w:t>
      </w:r>
      <w:r>
        <w:t xml:space="preserve"> </w:t>
      </w:r>
      <m:oMath>
        <m:r>
          <m:t>t</m:t>
        </m:r>
      </m:oMath>
      <w:r>
        <w:t xml:space="preserve">-statistic) fires at both historical tops —</w:t>
      </w:r>
      <w:r>
        <w:t xml:space="preserve"> </w:t>
      </w:r>
      <w:r>
        <w:t xml:space="preserve">9.9 at QQQ in March 2000, 2.9 at SPY in October 2007 — and reads quiet</w:t>
      </w:r>
      <w:r>
        <w:t xml:space="preserve"> </w:t>
      </w:r>
      <w:r>
        <w:t xml:space="preserve">(-1.9) at SPY in February 2025, after which no crash followed. A</w:t>
      </w:r>
      <w:r>
        <w:t xml:space="preserve"> </w:t>
      </w:r>
      <w:r>
        <w:t xml:space="preserve">crash-hazard gauge (drawdown depth and duration, distance from the 52-week</w:t>
      </w:r>
      <w:r>
        <w:t xml:space="preserve"> </w:t>
      </w:r>
      <w:r>
        <w:t xml:space="preserve">high, realized volatility, vol-regime scaled, with stated rather than fitted</w:t>
      </w:r>
      <w:r>
        <w:t xml:space="preserve"> </w:t>
      </w:r>
      <w:r>
        <w:t xml:space="preserve">weights) ranks the dot-com top first (100), October 2007 next (60), and</w:t>
      </w:r>
      <w:r>
        <w:t xml:space="preserve"> </w:t>
      </w:r>
      <w:r>
        <w:t xml:space="preserve">February 2025 a distant 33. Over SPY 2000–2026, 41.3% of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20%-drawdown</w:t>
      </w:r>
      <w:r>
        <w:t xml:space="preserve"> </w:t>
      </w:r>
      <w:r>
        <w:t xml:space="preserve">weeks score in the top hazard quintile, a 2.06x lift over the 20% baseline.</w:t>
      </w:r>
      <w:r>
        <w:t xml:space="preserve"> </w:t>
      </w:r>
      <w:r>
        <w:t xml:space="preserve">Live readings are milder on both lenses: 1y-window convexity of 2.4–3.6</w:t>
      </w:r>
      <w:r>
        <w:t xml:space="preserve"> </w:t>
      </w:r>
      <w:r>
        <w:t xml:space="preserve">against 9.9 at the dot-com top, hazard 7–16 against 60–100 at the</w:t>
      </w:r>
      <w:r>
        <w:t xml:space="preserve"> </w:t>
      </w:r>
      <w:r>
        <w:t xml:space="preserve">historical tops — acceleration without stress. A log-periodic (LPPL)</w:t>
      </w:r>
      <w:r>
        <w:t xml:space="preserve"> </w:t>
      </w:r>
      <w:r>
        <w:t xml:space="preserve">price clock was evaluated on the same histories and rejected: degenerate</w:t>
      </w:r>
      <w:r>
        <w:t xml:space="preserve"> </w:t>
      </w:r>
      <w:r>
        <w:t xml:space="preserve">optima, no critical-time convergence at either historical peak. A fitted</w:t>
      </w:r>
      <w:r>
        <w:t xml:space="preserve"> </w:t>
      </w:r>
      <w:r>
        <w:t xml:space="preserve">alternative was evaluated the same way and also rejected: an L2 logistic</w:t>
      </w:r>
      <w:r>
        <w:t xml:space="preserve"> </w:t>
      </w:r>
      <w:r>
        <w:t xml:space="preserve">regression on drawdown depth, duration, and volatility (distance-from-high</w:t>
      </w:r>
      <w:r>
        <w:t xml:space="preserve"> </w:t>
      </w:r>
      <w:r>
        <w:t xml:space="preserve">dropped as exactly collinear with depth,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1.00</m:t>
        </m:r>
      </m:oMath>
      <w:r>
        <w:t xml:space="preserve">; stated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; scalers</w:t>
      </w:r>
      <w:r>
        <w:t xml:space="preserve"> </w:t>
      </w:r>
      <w:r>
        <w:t xml:space="preserve">fit on train eras only) wins in-sample but has no stable out-of-sample edge.</w:t>
      </w:r>
      <w:r>
        <w:t xml:space="preserve"> </w:t>
      </w:r>
      <w:r>
        <w:t xml:space="preserve">Fit on 2000–2006 it takes the 2007–2015 GFC test 0.44 vs 0.51 for the</w:t>
      </w:r>
      <w:r>
        <w:t xml:space="preserve"> </w:t>
      </w:r>
      <w:r>
        <w:t xml:space="preserve">stated weights; fit on 2007 onward it takes the 2000–2006 dot-com test 0.54 vs 0.30.</w:t>
      </w:r>
      <w:r>
        <w:t xml:space="preserve"> </w:t>
      </w:r>
      <w:r>
        <w:t xml:space="preserve">Crash capture, top-quintile share in both cases: each bust’s shape overfits</w:t>
      </w:r>
      <w:r>
        <w:t xml:space="preserve"> </w:t>
      </w:r>
      <w:r>
        <w:t xml:space="preserve">to itself, so no ML upgrade ships and the stated gauge stands. Machine-readable:</w:t>
      </w:r>
      <w:r>
        <w:t xml:space="preserve"> </w:t>
      </w:r>
      <w:r>
        <w:rPr>
          <w:rStyle w:val="VerbatimChar"/>
        </w:rPr>
        <w:t xml:space="preserve">pred_I_price_gauges.csv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pred_J_gauge_backtest.csv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pred_M_ml_horserace.csv</w:t>
      </w:r>
      <w:r>
        <w:t xml:space="preserve">.</w:t>
      </w:r>
    </w:p>
    <w:bookmarkStart w:id="230" w:name="fig:ml-horserace-oos"/>
    <w:p>
      <w:pPr>
        <w:pStyle w:val="CaptionedFigure"/>
      </w:pPr>
      <w:r>
        <w:drawing>
          <wp:inline>
            <wp:extent cx="5943600" cy="321015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pred_ml_horserace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 horse-race out-of-sample crash capture: fitted L2 logit vs stated-weight hazard. The dot-com fit loses the GFC test; the GFC fit wins the dot-com test; the full fit ties the recent test. No weight vector wins everywhere — bust shapes differ, so judgment-weighted gauges keep the job.</w:t>
      </w:r>
    </w:p>
    <w:bookmarkEnd w:id="230"/>
    <w:bookmarkStart w:id="234" w:name="fig:price-gauges-backtest"/>
    <w:p>
      <w:pPr>
        <w:pStyle w:val="CaptionedFigure"/>
      </w:pPr>
      <w:r>
        <w:drawing>
          <wp:inline>
            <wp:extent cx="5943600" cy="4128223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pred_gauge_backtest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Price gauges across live names and frozen backtests. Top: convexity max</w:t>
      </w:r>
      <w:r>
        <w:t xml:space="preserve"> </w:t>
      </w:r>
      <m:oMath>
        <m:r>
          <m:t>t</m:t>
        </m:r>
      </m:oMath>
      <w:r>
        <w:t xml:space="preserve">-statistic (fires at 2.0) — both historical tops fire, February 2025 reads negative. Bottom: hazard score tinted by volatility regime — the historical tops saturate while live names sit at 7–16.</w:t>
      </w:r>
    </w:p>
    <w:bookmarkEnd w:id="234"/>
    <w:bookmarkEnd w:id="235"/>
    <w:bookmarkStart w:id="237" w:name="sec:scenarios"/>
    <w:p>
      <w:pPr>
        <w:pStyle w:val="Heading2"/>
      </w:pPr>
      <w:r>
        <w:t xml:space="preserve">Scenario Analysis: Mild, Severe, and Conditional Activation</w:t>
      </w:r>
    </w:p>
    <w:p>
      <w:pPr>
        <w:pStyle w:val="FirstParagraph"/>
      </w:pPr>
      <w:r>
        <w:rPr>
          <w:i/>
          <w:iCs/>
        </w:rPr>
        <w:t xml:space="preserve">Mild</w:t>
      </w:r>
      <w:r>
        <w:t xml:space="preserve"> </w:t>
      </w:r>
      <w:r>
        <w:t xml:space="preserve">(capex trimmed, wealth wobbles): GDP cost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$48.2B</w:t>
      </w:r>
      <w:r>
        <w:t xml:space="preserve"> </w:t>
      </w:r>
      <w:r>
        <w:t xml:space="preserve">(0.157%) — painful quarter, no recession print.</w:t>
      </w:r>
      <w:r>
        <w:t xml:space="preserve"> </w:t>
      </w:r>
      <w:r>
        <w:rPr>
          <w:i/>
          <w:iCs/>
        </w:rPr>
        <w:t xml:space="preserve">Severe</w:t>
      </w:r>
      <w:r>
        <w:t xml:space="preserve"> </w:t>
      </w:r>
      <w:r>
        <w:t xml:space="preserve">(the</w:t>
      </w:r>
      <w:r>
        <w:t xml:space="preserve"> </w:t>
      </w:r>
      <w:r>
        <w:t xml:space="preserve">modeled case: 70% of circular capital impaired, 30% capex cut): GDP cost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$139.1B (0.452%), concentrated upstream.</w:t>
      </w:r>
      <w:r>
        <w:t xml:space="preserve"> </w:t>
      </w:r>
      <w:r>
        <w:rPr>
          <w:i/>
          <w:iCs/>
        </w:rPr>
        <w:t xml:space="preserve">Activation</w:t>
      </w:r>
      <w:r>
        <w:t xml:space="preserve"> </w:t>
      </w:r>
      <w:r>
        <w:t xml:space="preserve">(the</w:t>
      </w:r>
      <w:r>
        <w:t xml:space="preserve"> </w:t>
      </w:r>
      <w:r>
        <w:t xml:space="preserve">conditional $60B lands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stress): the booked frame swells</w:t>
      </w:r>
      <w:r>
        <w:t xml:space="preserve"> </w:t>
      </w:r>
      <w:r>
        <w:t xml:space="preserve">toward $735B, every burst number in this paper scales up roughly 9%, and</w:t>
      </w:r>
      <w:r>
        <w:t xml:space="preserve"> </w:t>
      </w:r>
      <w:r>
        <w:t xml:space="preserve">the fire-sale channel gets more collateral to burn. If the $500B facility</w:t>
      </w:r>
      <w:r>
        <w:t xml:space="preserve"> </w:t>
      </w:r>
      <w:r>
        <w:t xml:space="preserve">were ever drawn, it would nearly double the frame and move this analysis</w:t>
      </w:r>
      <w:r>
        <w:t xml:space="preserve"> </w:t>
      </w:r>
      <w:r>
        <w:t xml:space="preserve">from a sectoral call to a macroprudential one. The base prediction is</w:t>
      </w:r>
      <w:r>
        <w:t xml:space="preserve"> </w:t>
      </w:r>
      <w:r>
        <w:t xml:space="preserve">the severe case; activation before stress makes it worse, while early policy</w:t>
      </w:r>
      <w:r>
        <w:t xml:space="preserve"> </w:t>
      </w:r>
      <w:r>
        <w:t xml:space="preserve">response (disclosure plus caps, bought early) makes the mild case likelier.</w:t>
      </w:r>
    </w:p>
    <w:bookmarkStart w:id="236" w:name="tab:14-scenario-ledger-b-unless"/>
    <w:p>
      <w:pPr>
        <w:pStyle w:val="TableCaption"/>
      </w:pPr>
      <w:r>
        <w:t xml:space="preserve">Scenario ledger ($B unless noted). Activation rows are proportional scalings (x735/675.4), not recomputed equilibria; DebtRank reverberation is modeled severe-only. Machine-readable:</w:t>
      </w:r>
      <w:r>
        <w:t xml:space="preserve"> </w:t>
      </w:r>
      <w:r>
        <w:rPr>
          <w:rStyle w:val="VerbatimChar"/>
        </w:rPr>
        <w:t xml:space="preserve">pred_A_scenario_ledger.csv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enario ledger ($B unless noted). Activation rows are proportional scalings (x735/675.4), not recomputed equilibria; DebtRank reverberation is modeled severe-only. Machine-readable: pred_A_scenario_ledger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2nd 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GDP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(base)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Activation-then-severe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 scaled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0.492%</w:t>
            </w:r>
          </w:p>
        </w:tc>
      </w:tr>
    </w:tbl>
    <w:bookmarkEnd w:id="236"/>
    <w:bookmarkEnd w:id="237"/>
    <w:bookmarkStart w:id="246" w:name="sec:firms"/>
    <w:p>
      <w:pPr>
        <w:pStyle w:val="Heading2"/>
      </w:pPr>
      <w:r>
        <w:t xml:space="preserve">Firm-Level Vulnerability Assessment</w:t>
      </w:r>
    </w:p>
    <w:p>
      <w:pPr>
        <w:pStyle w:val="FirstParagraph"/>
      </w:pPr>
      <w:r>
        <w:t xml:space="preserve">The screen’s verdicts translate into a casualty order.</w:t>
      </w:r>
      <w:r>
        <w:t xml:space="preserve"> </w:t>
      </w:r>
      <w:r>
        <w:rPr>
          <w:b/>
          <w:bCs/>
        </w:rPr>
        <w:t xml:space="preserve">NVIDIA</w:t>
      </w:r>
      <w:r>
        <w:t xml:space="preserve"> </w:t>
      </w:r>
      <w:r>
        <w:t xml:space="preserve">($5,280B, 31.7x) and</w:t>
      </w:r>
      <w:r>
        <w:t xml:space="preserve"> </w:t>
      </w:r>
      <w:r>
        <w:rPr>
          <w:b/>
          <w:bCs/>
        </w:rPr>
        <w:t xml:space="preserve">Broadcom</w:t>
      </w:r>
      <w:r>
        <w:t xml:space="preserve"> </w:t>
      </w:r>
      <w:r>
        <w:t xml:space="preserve">($1,500B, 35.7x) are the last to</w:t>
      </w:r>
      <w:r>
        <w:t xml:space="preserve"> </w:t>
      </w:r>
      <w:r>
        <w:t xml:space="preserve">fall: cash-covered multiples plus the top sustainability scores (78 and 76).</w:t>
      </w:r>
      <w:r>
        <w:t xml:space="preserve"> </w:t>
      </w:r>
      <w:r>
        <w:t xml:space="preserve">A demand break still cuts them first in dollars — Hardware absorbs</w:t>
      </w:r>
      <w:r>
        <w:t xml:space="preserve"> </w:t>
      </w:r>
      <w:r>
        <w:t xml:space="preserve">$239.4B — but they have earnings to fall back on.</w:t>
      </w:r>
      <w:r>
        <w:t xml:space="preserve"> </w:t>
      </w:r>
      <w:r>
        <w:rPr>
          <w:b/>
          <w:bCs/>
        </w:rPr>
        <w:t xml:space="preserve">Microsoft</w:t>
      </w:r>
      <w:r>
        <w:t xml:space="preserve"> </w:t>
      </w:r>
      <w:r>
        <w:t xml:space="preserve">($3,600B, 27.1x) and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($480B, 28.5x) are screened Positive</w:t>
      </w:r>
      <w:r>
        <w:t xml:space="preserve"> </w:t>
      </w:r>
      <w:r>
        <w:t xml:space="preserve">on cash flow, with Oracle the live warning that leverage reprices even</w:t>
      </w:r>
      <w:r>
        <w:t xml:space="preserve"> </w:t>
      </w:r>
      <w:r>
        <w:t xml:space="preserve">healthy franchises: record CDS, lost rating cushion.</w:t>
      </w:r>
      <w:r>
        <w:t xml:space="preserve"> </w:t>
      </w:r>
      <w:r>
        <w:rPr>
          <w:b/>
          <w:bCs/>
        </w:rPr>
        <w:t xml:space="preserve">AMD</w:t>
      </w:r>
      <w:r>
        <w:t xml:space="preserve"> </w:t>
      </w:r>
      <w:r>
        <w:t xml:space="preserve">($746B,</w:t>
      </w:r>
      <w:r>
        <w:t xml:space="preserve"> </w:t>
      </w:r>
      <w:r>
        <w:t xml:space="preserve">89.2x) and</w:t>
      </w:r>
      <w:r>
        <w:t xml:space="preserve"> </w:t>
      </w:r>
      <w:r>
        <w:rPr>
          <w:b/>
          <w:bCs/>
        </w:rPr>
        <w:t xml:space="preserve">ServiceNow</w:t>
      </w:r>
      <w:r>
        <w:t xml:space="preserve"> </w:t>
      </w:r>
      <w:r>
        <w:t xml:space="preserve">($151B, 84.7x) are the two outright</w:t>
      </w:r>
      <w:r>
        <w:t xml:space="preserve"> </w:t>
      </w:r>
      <w:r>
        <w:t xml:space="preserve">Negatives — multiples with no circularity cushion and no miss tolerance.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($965B, earnings unattributed) is the single largest</w:t>
      </w:r>
      <w:r>
        <w:t xml:space="preserve"> </w:t>
      </w:r>
      <w:r>
        <w:t xml:space="preserve">unverified number in the stack: a walks-like-revenue $65B run-rate against</w:t>
      </w:r>
      <w:r>
        <w:t xml:space="preserve"> </w:t>
      </w:r>
      <w:r>
        <w:t xml:space="preserve">a mark that assumes it compounds.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($852B,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rPr>
            <m:sty m:val="p"/>
          </m:rPr>
          <m:t>−</m:t>
        </m:r>
        <m:r>
          <m:t>35</m:t>
        </m:r>
        <m:r>
          <m:rPr>
            <m:sty m:val="p"/>
          </m:rPr>
          <m:t>%</m:t>
        </m:r>
      </m:oMath>
      <w:r>
        <w:t xml:space="preserve"> </w:t>
      </w:r>
      <w:r>
        <w:t xml:space="preserve">margins) burns to grow; its $105B Ohio guarantee chain makes NVIDIA a</w:t>
      </w:r>
      <w:r>
        <w:t xml:space="preserve"> </w:t>
      </w:r>
      <w:r>
        <w:t xml:space="preserve">co-borrower in all but name.</w:t>
      </w:r>
      <w:r>
        <w:t xml:space="preserve"> </w:t>
      </w:r>
      <w:r>
        <w:rPr>
          <w:b/>
          <w:bCs/>
        </w:rPr>
        <w:t xml:space="preserve">CoreWeave</w:t>
      </w:r>
      <w:r>
        <w:t xml:space="preserve"> </w:t>
      </w:r>
      <w:r>
        <w:t xml:space="preserve">($70B, loss-making) is</w:t>
      </w:r>
      <w:r>
        <w:t xml:space="preserve"> </w:t>
      </w:r>
      <w:r>
        <w:t xml:space="preserve">the fire-sale prototype: homogeneous collateral, single-supplier dependence,</w:t>
      </w:r>
      <w:r>
        <w:t xml:space="preserve"> </w:t>
      </w:r>
      <w:r>
        <w:t xml:space="preserve">short-dated funding.</w:t>
      </w:r>
      <w:r>
        <w:t xml:space="preserve"> </w:t>
      </w:r>
      <w:r>
        <w:rPr>
          <w:b/>
          <w:bCs/>
        </w:rPr>
        <w:t xml:space="preserve">Databricks</w:t>
      </w:r>
      <w:r>
        <w:t xml:space="preserve"> </w:t>
      </w:r>
      <w:r>
        <w:t xml:space="preserve">(905x) and</w:t>
      </w:r>
      <w:r>
        <w:t xml:space="preserve"> </w:t>
      </w:r>
      <w:r>
        <w:rPr>
          <w:b/>
          <w:bCs/>
        </w:rPr>
        <w:t xml:space="preserve">xAI</w:t>
      </w:r>
      <w:r>
        <w:t xml:space="preserve"> </w:t>
      </w:r>
      <w:r>
        <w:t xml:space="preserve">(400x</w:t>
      </w:r>
      <w:r>
        <w:t xml:space="preserve"> </w:t>
      </w:r>
      <w:r>
        <w:t xml:space="preserve">revenue) are momentum marks awaiting earnings that may never arrive at the</w:t>
      </w:r>
      <w:r>
        <w:t xml:space="preserve"> </w:t>
      </w:r>
      <w:r>
        <w:t xml:space="preserve">assumed scale.</w:t>
      </w:r>
      <w:r>
        <w:t xml:space="preserve"> </w:t>
      </w:r>
      <w:r>
        <w:rPr>
          <w:b/>
          <w:bCs/>
        </w:rPr>
        <w:t xml:space="preserve">Intel</w:t>
      </w:r>
      <w:r>
        <w:t xml:space="preserve"> </w:t>
      </w:r>
      <w:r>
        <w:t xml:space="preserve">($110B, Neutral on an N/A multiple) matters as the</w:t>
      </w:r>
      <w:r>
        <w:t xml:space="preserve"> </w:t>
      </w:r>
      <w:r>
        <w:t xml:space="preserve">contrarian indicator: if the laggard rallies while leaders stall, the market</w:t>
      </w:r>
      <w:r>
        <w:t xml:space="preserve"> </w:t>
      </w:r>
      <w:r>
        <w:t xml:space="preserve">is pricing scarcity, not growth — late-cycle behavior.</w:t>
      </w:r>
    </w:p>
    <w:p>
      <w:pPr>
        <w:pStyle w:val="BodyText"/>
      </w:pPr>
      <w:r>
        <w:rPr>
          <w:i/>
          <w:iCs/>
        </w:rPr>
        <w:t xml:space="preserve">Who loses what.</w:t>
      </w:r>
      <w:r>
        <w:t xml:space="preserve"> </w:t>
      </w:r>
      <w:r>
        <w:t xml:space="preserve">Table 7.11’s archetype totals split across the</w:t>
      </w:r>
      <w:r>
        <w:t xml:space="preserve"> </w:t>
      </w:r>
      <w:r>
        <w:t xml:space="preserve">23 screened companies on two stated bases: market-cap pro-rata and</w:t>
      </w:r>
      <w:r>
        <w:t xml:space="preserve"> </w:t>
      </w:r>
      <w:r>
        <w:t xml:space="preserve">deal-flow weight, where each company’s attributed circular-deal flow comes</w:t>
      </w:r>
      <w:r>
        <w:t xml:space="preserve"> </w:t>
      </w:r>
      <w:r>
        <w:t xml:space="preserve">from the 19-row frame. NVIDIA midpoint $198.3B ($159.7B size basis,</w:t>
      </w:r>
      <w:r>
        <w:t xml:space="preserve"> </w:t>
      </w:r>
      <w:r>
        <w:t xml:space="preserve">$236.9B deal basis) absorbs nearly all of Hardware’s deal lens — every</w:t>
      </w:r>
      <w:r>
        <w:t xml:space="preserve"> </w:t>
      </w:r>
      <w:r>
        <w:t xml:space="preserve">circular GPU flow runs through it. Anthropic midpoint $41.7B and</w:t>
      </w:r>
      <w:r>
        <w:t xml:space="preserve"> </w:t>
      </w:r>
      <w:r>
        <w:t xml:space="preserve">OpenAI midpoint $31.5B top the lab ledger; Microsoft Azure ($36.4B) and AWS</w:t>
      </w:r>
      <w:r>
        <w:t xml:space="preserve"> </w:t>
      </w:r>
      <w:r>
        <w:t xml:space="preserve">($34.6B) top Cloud. The concentration flag is Lambda Labs: $27.2B</w:t>
      </w:r>
      <w:r>
        <w:t xml:space="preserve"> </w:t>
      </w:r>
      <w:r>
        <w:t xml:space="preserve">midpoint on a $5B mark, a capped 100% haircut — tiny neocloud, outsized</w:t>
      </w:r>
      <w:r>
        <w:t xml:space="preserve"> </w:t>
      </w:r>
      <w:r>
        <w:t xml:space="preserve">flow exposure. Google Cloud and Broadcom read $0 on the deal basis (no</w:t>
      </w:r>
      <w:r>
        <w:t xml:space="preserve"> </w:t>
      </w:r>
      <w:r>
        <w:t xml:space="preserve">measured circular flow), an honest zero beside their size-basis shares.</w:t>
      </w:r>
      <w:r>
        <w:t xml:space="preserve"> </w:t>
      </w:r>
      <w:r>
        <w:t xml:space="preserve">Machine-readable:</w:t>
      </w:r>
      <w:r>
        <w:t xml:space="preserve"> </w:t>
      </w:r>
      <w:r>
        <w:rPr>
          <w:rStyle w:val="VerbatimChar"/>
        </w:rPr>
        <w:t xml:space="preserve">pred_H_company_losses.csv</w:t>
      </w:r>
      <w:r>
        <w:t xml:space="preserve">.</w:t>
      </w:r>
    </w:p>
    <w:bookmarkStart w:id="241" w:name="fig:company-severe-losses"/>
    <w:p>
      <w:pPr>
        <w:pStyle w:val="CaptionedFigure"/>
      </w:pPr>
      <w:r>
        <w:drawing>
          <wp:inline>
            <wp:extent cx="5943600" cy="2557397"/>
            <wp:effectExtent b="0" l="0" r="0" t="0"/>
            <wp:docPr descr="" title="" id="239" name="Picture"/>
            <a:graphic>
              <a:graphicData uri="http://schemas.openxmlformats.org/drawingml/2006/picture">
                <pic:pic>
                  <pic:nvPicPr>
                    <pic:cNvPr descr="pred_company_losses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Top-8 company severe losses on two allocation bases. Size basis follows market capitalization; deal basis follows attributed circular-deal flow. NVIDIA dominates both; Lambda Labs’ deal bar against its sliver of a size bar is the stack’s concentration risk in one picture.</w:t>
      </w:r>
    </w:p>
    <w:bookmarkEnd w:id="241"/>
    <w:p>
      <w:pPr>
        <w:pStyle w:val="BodyText"/>
      </w:pPr>
      <w:r>
        <w:rPr>
          <w:i/>
          <w:iCs/>
        </w:rPr>
        <w:t xml:space="preserve">Expected losses: probability-weighted.</w:t>
      </w:r>
      <w:r>
        <w:t xml:space="preserve"> </w:t>
      </w:r>
      <w:r>
        <w:t xml:space="preserve">Blending the two severities by</w:t>
      </w:r>
      <w:r>
        <w:t xml:space="preserve"> </w:t>
      </w:r>
      <w:r>
        <w:t xml:space="preserve">each archetype’s formation probability as the severe-burst probability</w:t>
      </w:r>
      <w:r>
        <w:t xml:space="preserve"> </w:t>
      </w:r>
      <w:r>
        <w:t xml:space="preserve">inside the window — an upper-bound convention, stated in the ledger, not a</w:t>
      </w:r>
      <w:r>
        <w:t xml:space="preserve"> </w:t>
      </w:r>
      <w:r>
        <w:t xml:space="preserve">measured burst frequency — gives the expected-loss ranking that answers</w:t>
      </w:r>
      <w:r>
        <w:t xml:space="preserve"> </w:t>
      </w:r>
      <w:r>
        <w:t xml:space="preserve">who loses how much: NVIDIA expected $164.3B, Anthropic expected $36.7B</w:t>
      </w:r>
      <w:r>
        <w:t xml:space="preserve"> </w:t>
      </w:r>
      <w:r>
        <w:t xml:space="preserve">and OpenAI expected $27.7B lead, followed by Microsoft Azure ($22.6B) and</w:t>
      </w:r>
      <w:r>
        <w:t xml:space="preserve"> </w:t>
      </w:r>
      <w:r>
        <w:t xml:space="preserve">AWS ($21.6B). The driver column says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number is what it is:</w:t>
      </w:r>
      <w:r>
        <w:t xml:space="preserve"> </w:t>
      </w:r>
      <w:r>
        <w:t xml:space="preserve">the top three are deal-flow-driven (their circular-deal weight exceeds their</w:t>
      </w:r>
      <w:r>
        <w:t xml:space="preserve"> </w:t>
      </w:r>
      <w:r>
        <w:t xml:space="preserve">size weight), while Microsoft Azure and Broadcom ($18.8B) are</w:t>
      </w:r>
      <w:r>
        <w:t xml:space="preserve"> </w:t>
      </w:r>
      <w:r>
        <w:t xml:space="preserve">size-driven. Lambda Labs’ expected $16.9B exceeds its $5B mark severalfold</w:t>
      </w:r>
      <w:r>
        <w:t xml:space="preserve"> </w:t>
      </w:r>
      <w:r>
        <w:t xml:space="preserve">(haircut capped at wipeout) — the concentration flag survives</w:t>
      </w:r>
      <w:r>
        <w:t xml:space="preserve"> </w:t>
      </w:r>
      <w:r>
        <w:t xml:space="preserve">probability-weighting. Machine-readable:</w:t>
      </w:r>
      <w:r>
        <w:t xml:space="preserve"> </w:t>
      </w:r>
      <w:r>
        <w:rPr>
          <w:rStyle w:val="VerbatimChar"/>
        </w:rPr>
        <w:t xml:space="preserve">pred_K_expected_losses.csv</w:t>
      </w:r>
      <w:r>
        <w:t xml:space="preserve">.</w:t>
      </w:r>
    </w:p>
    <w:bookmarkStart w:id="245" w:name="fig:expected-losses-top10"/>
    <w:p>
      <w:pPr>
        <w:pStyle w:val="CaptionedFigure"/>
      </w:pPr>
      <w:r>
        <w:drawing>
          <wp:inline>
            <wp:extent cx="5943600" cy="3706139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pred_expected_losses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Top-10 expected burst losses with severity ranges. Bars blend severe and mild by each archetype’s formation probability; whiskers span mild-mid to severe-mid. NVIDIA’s bar is a deal-flow story; Azure’s and Broadcom’s are size stories.</w:t>
      </w:r>
    </w:p>
    <w:bookmarkEnd w:id="245"/>
    <w:p>
      <w:pPr>
        <w:pStyle w:val="BodyText"/>
      </w:pPr>
      <w:r>
        <w:rPr>
          <w:i/>
          <w:iCs/>
        </w:rPr>
        <w:t xml:space="preserve">How the flags are built.</w:t>
      </w:r>
      <w:r>
        <w:t xml:space="preserve"> </w:t>
      </w:r>
      <w:r>
        <w:t xml:space="preserve">The screen flags 4 Positive (NVIDIA at 31.7x trailing, Broadcom at 35.7x, Microsoft at 27.1x, Oracle at 28.5x), 2</w:t>
      </w:r>
      <w:r>
        <w:t xml:space="preserve"> </w:t>
      </w:r>
      <w:r>
        <w:t xml:space="preserve">Negative (AMD at 89.2x, ServiceNow at 84.7x) and 17 Neutral on trailing</w:t>
      </w:r>
      <w:r>
        <w:t xml:space="preserve"> </w:t>
      </w:r>
      <w:r>
        <w:t xml:space="preserve">P/E and EV/Revenue multiples. Diversified hyperscalers enter at parent</w:t>
      </w:r>
      <w:r>
        <w:t xml:space="preserve"> </w:t>
      </w:r>
      <w:r>
        <w:t xml:space="preserve">market capitalization because segment revenue against a parent cap would</w:t>
      </w:r>
      <w:r>
        <w:t xml:space="preserve"> </w:t>
      </w:r>
      <w:r>
        <w:t xml:space="preserve">fabricate multiples; attributed-revenue units (Google TPU, Meta Llama) are</w:t>
      </w:r>
      <w:r>
        <w:t xml:space="preserve"> </w:t>
      </w:r>
      <w:r>
        <w:t xml:space="preserve">capped at Neutral regardless of arithmetic, since attribution is not</w:t>
      </w:r>
      <w:r>
        <w:t xml:space="preserve"> </w:t>
      </w:r>
      <w:r>
        <w:t xml:space="preserve">audit-grade. The forward multiple is trailing P/E scaled by one minus the</w:t>
      </w:r>
      <w:r>
        <w:t xml:space="preserve"> </w:t>
      </w:r>
      <w:r>
        <w:t xml:space="preserve">revenue-growth rate (Broadcom:</w:t>
      </w:r>
      <w:r>
        <w:t xml:space="preserve"> </w:t>
      </w:r>
      <m:oMath>
        <m:r>
          <m:t>35.7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0.80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7.1</m:t>
        </m:r>
        <m:r>
          <m:rPr>
            <m:sty m:val="p"/>
          </m:rPr>
          <m:t>×</m:t>
        </m:r>
      </m:oMath>
      <w:r>
        <w:t xml:space="preserve">),</w:t>
      </w:r>
      <w:r>
        <w:t xml:space="preserve"> </w:t>
      </w:r>
      <w:r>
        <w:t xml:space="preserve">clamped to a maximum 99% haircut so hyper-growth can never flip the sign</w:t>
      </w:r>
      <w:r>
        <w:t xml:space="preserve"> </w:t>
      </w:r>
      <w:r>
        <w:t xml:space="preserve">— a first-order, growth-rewarding shorthand rather than a</w:t>
      </w:r>
      <w:r>
        <w:t xml:space="preserve"> </w:t>
      </w:r>
      <w:r>
        <w:t xml:space="preserve">forecasted-earnings construction. Loss-makers and unattributed-margin</w:t>
      </w:r>
      <w:r>
        <w:t xml:space="preserve"> </w:t>
      </w:r>
      <w:r>
        <w:t xml:space="preserve">frontier labs show N/A trailing multiples and rate Neutral rather than</w:t>
      </w:r>
      <w:r>
        <w:t xml:space="preserve"> </w:t>
      </w:r>
      <w:r>
        <w:t xml:space="preserve">Negative: the discipline is to distinguish unprofitability-by-investment</w:t>
      </w:r>
      <w:r>
        <w:t xml:space="preserve"> </w:t>
      </w:r>
      <w:r>
        <w:t xml:space="preserve">from overvaluation-by-multiple. These are triage screen flags, not</w:t>
      </w:r>
      <w:r>
        <w:t xml:space="preserve"> </w:t>
      </w:r>
      <w:r>
        <w:t xml:space="preserve">investment ratings: no Buy/Sell/Hold recommendation is issued.</w:t>
      </w:r>
    </w:p>
    <w:p>
      <w:pPr>
        <w:pStyle w:val="BodyText"/>
      </w:pPr>
      <w:r>
        <w:rPr>
          <w:i/>
          <w:iCs/>
        </w:rPr>
        <w:t xml:space="preserve">What incumbents should do.</w:t>
      </w:r>
      <w:r>
        <w:t xml:space="preserve"> </w:t>
      </w:r>
      <w:r>
        <w:t xml:space="preserve">The core game’s Pareto cell exceeds the</w:t>
      </w:r>
      <w:r>
        <w:t xml:space="preserve"> </w:t>
      </w:r>
      <w:r>
        <w:t xml:space="preserve">Nash cell by $58.6B: there is a purchasable surplus from coordinated</w:t>
      </w:r>
      <w:r>
        <w:t xml:space="preserve"> </w:t>
      </w:r>
      <w:r>
        <w:t xml:space="preserve">openness, and firms that pre-commit to portability standards capture</w:t>
      </w:r>
      <w:r>
        <w:t xml:space="preserve"> </w:t>
      </w:r>
      <w:r>
        <w:t xml:space="preserve">first-mover goodwill while blunting the antitrust case against them. For</w:t>
      </w:r>
      <w:r>
        <w:t xml:space="preserve"> </w:t>
      </w:r>
      <w:r>
        <w:t xml:space="preserve">labs, the formation ranking is a funding warning: diversifying compute</w:t>
      </w:r>
      <w:r>
        <w:t xml:space="preserve"> </w:t>
      </w:r>
      <w:r>
        <w:t xml:space="preserve">supply and converting conditional tranches into committed, covenant-light</w:t>
      </w:r>
      <w:r>
        <w:t xml:space="preserve"> </w:t>
      </w:r>
      <w:r>
        <w:t xml:space="preserve">capacity reduces both financing risk and the appearance of circularity that</w:t>
      </w:r>
      <w:r>
        <w:t xml:space="preserve"> </w:t>
      </w:r>
      <w:r>
        <w:t xml:space="preserve">disclosure rules would in any case reveal. For neoclouds and GPU-debt</w:t>
      </w:r>
      <w:r>
        <w:t xml:space="preserve"> </w:t>
      </w:r>
      <w:r>
        <w:t xml:space="preserve">vehicles, the message is concentration arithmetic: stagger maturities,</w:t>
      </w:r>
      <w:r>
        <w:t xml:space="preserve"> </w:t>
      </w:r>
      <w:r>
        <w:t xml:space="preserve">diversify silicon, and publish recovery rates — the cheapest</w:t>
      </w:r>
      <w:r>
        <w:t xml:space="preserve"> </w:t>
      </w:r>
      <w:r>
        <w:t xml:space="preserve">self-insurance available.</w:t>
      </w:r>
    </w:p>
    <w:bookmarkEnd w:id="246"/>
    <w:bookmarkStart w:id="256" w:name="sec:portfolio"/>
    <w:p>
      <w:pPr>
        <w:pStyle w:val="Heading2"/>
      </w:pPr>
      <w:r>
        <w:t xml:space="preserve">Portfolio Implications and Risk Management</w:t>
      </w:r>
    </w:p>
    <w:p>
      <w:pPr>
        <w:pStyle w:val="FirstParagraph"/>
      </w:pPr>
      <w:r>
        <w:t xml:space="preserve">Own the cash-generative infrastructure core; underweight the densest</w:t>
      </w:r>
      <w:r>
        <w:t xml:space="preserve"> </w:t>
      </w:r>
      <w:r>
        <w:t xml:space="preserve">round-trippers; hedge the uncovered multiples; let funding rounds and</w:t>
      </w:r>
      <w:r>
        <w:t xml:space="preserve"> </w:t>
      </w:r>
      <w:r>
        <w:t xml:space="preserve">chip-collateral spreads move the odds.</w:t>
      </w:r>
    </w:p>
    <w:bookmarkStart w:id="250" w:name="fig:23-trailing-pe-log-scale"/>
    <w:p>
      <w:pPr>
        <w:pStyle w:val="CaptionedFigure"/>
      </w:pPr>
      <w:r>
        <w:drawing>
          <wp:inline>
            <wp:extent cx="5943600" cy="3314023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pred_valuation_scatter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Trailing P/E (log scale) vs. circular-revenue dependency, sized by market cap, colored by screen flag. The shaded danger zone (stretched multiple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dense round-tripping) holds four names, and only one carries a Negative screen flag: AMD (89x). Google TPU (67x), Marvell (59x), and Meta (95x) share the region as Neutrals. The cloud majors cluster on the stretched-multiple line; Databricks (905x) plots top-left — extreme multiple without round-tripping; xAI (400x EV/Rev) carries no trailing P/E and does not plot.</w:t>
      </w:r>
    </w:p>
    <w:bookmarkEnd w:id="250"/>
    <w:bookmarkStart w:id="251" w:name="tab:15-valuation-screen-flagged-names"/>
    <w:p>
      <w:pPr>
        <w:pStyle w:val="TableCaption"/>
      </w:pPr>
      <w:r>
        <w:t xml:space="preserve">Valuation screen: flagged names only (4 Positive, 2 Negative, 5 flagged Neutral). Full 23-company ledger:</w:t>
      </w:r>
      <w:r>
        <w:t xml:space="preserve"> </w:t>
      </w:r>
      <w:r>
        <w:rPr>
          <w:rStyle w:val="VerbatimChar"/>
        </w:rPr>
        <w:t xml:space="preserve">pred_C_valuation_watchlist.csv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uation screen: flagged names only (4 Positive, 2 Negative, 5 flagged Neutral). Full 23-company ledger: pred_C_valuation_watchlist.cs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Mkt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31.7x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35.7x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27.1x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89.2x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84.7x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neg.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400x EV/Rev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905x 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CoreWeave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loss-making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(fire-sale proto.)</w:t>
            </w:r>
          </w:p>
        </w:tc>
      </w:tr>
    </w:tbl>
    <w:bookmarkEnd w:id="251"/>
    <w:p>
      <w:pPr>
        <w:pStyle w:val="BodyText"/>
      </w:pPr>
      <w:r>
        <w:t xml:space="preserve">Pair-trade logic follows the burst order: positions long one side of a</w:t>
      </w:r>
      <w:r>
        <w:t xml:space="preserve"> </w:t>
      </w:r>
      <w:r>
        <w:t xml:space="preserve">Hardware–Cloud pair and short the other collect the spread only in mild</w:t>
      </w:r>
      <w:r>
        <w:t xml:space="preserve"> </w:t>
      </w:r>
      <w:r>
        <w:t xml:space="preserve">states, because a severe burst impairs both sides of the largest contracts</w:t>
      </w:r>
      <w:r>
        <w:t xml:space="preserve"> </w:t>
      </w:r>
      <w:r>
        <w:t xml:space="preserve">at once. Size positions off ranks (which survive), never off point GDP</w:t>
      </w:r>
      <w:r>
        <w:t xml:space="preserve"> </w:t>
      </w:r>
      <w:r>
        <w:t xml:space="preserve">costs (which expire with the vintage).</w:t>
      </w:r>
    </w:p>
    <w:bookmarkStart w:id="255" w:name="X3b2ab2ede447a4410ef61bb6183839e21717bdc"/>
    <w:p>
      <w:pPr>
        <w:pStyle w:val="CaptionedFigure"/>
      </w:pPr>
      <w:r>
        <w:drawing>
          <wp:inline>
            <wp:extent cx="5052060" cy="3522366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figure_15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52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Diversification arithmetic (Table A.2): the stack portfolio earns 10.7% mean return at 13.0% volatility (Sharpe 0.82), but the left tail is a burst tail — 95% VaR of</w:t>
      </w:r>
      <w:r>
        <w:t xml:space="preserve"> </w:t>
      </w:r>
      <m:oMath>
        <m:r>
          <m:rPr>
            <m:sty m:val="p"/>
          </m:rPr>
          <m:t>−</m:t>
        </m:r>
        <m:r>
          <m:t>10.8</m:t>
        </m:r>
        <m:r>
          <m:rPr>
            <m:sty m:val="p"/>
          </m:rPr>
          <m:t>%</m:t>
        </m:r>
      </m:oMath>
      <w:r>
        <w:t xml:space="preserve">, conditional tail (CVaR) of</w:t>
      </w:r>
      <w:r>
        <w:t xml:space="preserve"> </w:t>
      </w:r>
      <m:oMath>
        <m:r>
          <m:rPr>
            <m:sty m:val="p"/>
          </m:rPr>
          <m:t>−</m:t>
        </m:r>
        <m:r>
          <m:t>16.2</m:t>
        </m:r>
        <m:r>
          <m:rPr>
            <m:sty m:val="p"/>
          </m:rPr>
          <m:t>%</m:t>
        </m:r>
      </m:oMath>
      <w:r>
        <w:t xml:space="preserve">. The mean compensates holders for volatility, not for the correlated unwind; hedge the tail, not the mean.</w:t>
      </w:r>
    </w:p>
    <w:bookmarkEnd w:id="255"/>
    <w:p>
      <w:pPr>
        <w:pStyle w:val="BodyText"/>
      </w:pPr>
      <w:r>
        <w:rPr>
          <w:i/>
          <w:iCs/>
        </w:rPr>
        <w:t xml:space="preserve">For banks, lenders, and risk functions.</w:t>
      </w:r>
      <w:r>
        <w:t xml:space="preserve"> </w:t>
      </w:r>
      <w:r>
        <w:t xml:space="preserve">Collateral haircuts</w:t>
      </w:r>
      <w:r>
        <w:t xml:space="preserve"> </w:t>
      </w:r>
      <w:r>
        <w:t xml:space="preserve">calibrated on generic equipment schedules understate wrong-way risk:</w:t>
      </w:r>
      <w:r>
        <w:t xml:space="preserve"> </w:t>
      </w:r>
      <w:r>
        <w:t xml:space="preserve">homogeneous, supplier-guaranteed GPU collateral correlates exactly when it</w:t>
      </w:r>
      <w:r>
        <w:t xml:space="preserve"> </w:t>
      </w:r>
      <w:r>
        <w:t xml:space="preserve">must be sold. Lenders should haircut GPU collateral against a</w:t>
      </w:r>
      <w:r>
        <w:t xml:space="preserve"> </w:t>
      </w:r>
      <w:r>
        <w:t xml:space="preserve">circularity-adjusted recovery rate and covenant single-name exposure to</w:t>
      </w:r>
      <w:r>
        <w:t xml:space="preserve"> </w:t>
      </w:r>
      <w:r>
        <w:t xml:space="preserve">leveraged secondary nodes (Oracle, CoreWeave, and neocloud vehicles are</w:t>
      </w:r>
      <w:r>
        <w:t xml:space="preserve"> </w:t>
      </w:r>
      <w:r>
        <w:t xml:space="preserve">named by both the cascade analysis and the burst ranking). The 215bp</w:t>
      </w:r>
      <w:r>
        <w:t xml:space="preserve"> </w:t>
      </w:r>
      <w:r>
        <w:t xml:space="preserve">Oracle CDS print and BBB- downgrade show credit markets already price part</w:t>
      </w:r>
      <w:r>
        <w:t xml:space="preserve"> </w:t>
      </w:r>
      <w:r>
        <w:t xml:space="preserve">of this; this paper’s contribution is the stack-wide incidence map that</w:t>
      </w:r>
      <w:r>
        <w:t xml:space="preserve"> </w:t>
      </w:r>
      <w:r>
        <w:t xml:space="preserve">tells a risk committee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names reprice next. Risk functions can</w:t>
      </w:r>
      <w:r>
        <w:t xml:space="preserve"> </w:t>
      </w:r>
      <w:r>
        <w:t xml:space="preserve">operationalize the portable rule immediately: per $100B of destroyed AI</w:t>
      </w:r>
      <w:r>
        <w:t xml:space="preserve"> </w:t>
      </w:r>
      <w:r>
        <w:t xml:space="preserve">value, book $4.0B of wealth-channel GDP drag and add the domestic</w:t>
      </w:r>
      <w:r>
        <w:t xml:space="preserve"> </w:t>
      </w:r>
      <w:r>
        <w:t xml:space="preserve">capex-cut share, and scale by local capex intensity elsewhere. Scenario</w:t>
      </w:r>
      <w:r>
        <w:t xml:space="preserve"> </w:t>
      </w:r>
      <w:r>
        <w:t xml:space="preserve">design should include a multi-stage cascade structure (macro shock meeting</w:t>
      </w:r>
      <w:r>
        <w:t xml:space="preserve"> </w:t>
      </w:r>
      <w:r>
        <w:t xml:space="preserve">stretched credit) rather than a single-factor tech selloff, and recovery</w:t>
      </w:r>
      <w:r>
        <w:t xml:space="preserve"> </w:t>
      </w:r>
      <w:r>
        <w:t xml:space="preserve">planning should pre-negotiate data-center collateral conversion terms.</w:t>
      </w:r>
    </w:p>
    <w:bookmarkEnd w:id="256"/>
    <w:bookmarkStart w:id="272" w:name="sec:policy"/>
    <w:p>
      <w:pPr>
        <w:pStyle w:val="Heading2"/>
      </w:pPr>
      <w:r>
        <w:t xml:space="preserve">Policy Sequencing by Benefit–Cost Ratio</w:t>
      </w:r>
    </w:p>
    <w:p>
      <w:pPr>
        <w:pStyle w:val="FirstParagraph"/>
      </w:pPr>
      <w:r>
        <w:t xml:space="preserve">Every remedy studied returns more than it costs — but doing everything at</w:t>
      </w:r>
      <w:r>
        <w:t xml:space="preserve"> </w:t>
      </w:r>
      <w:r>
        <w:t xml:space="preserve">once is worth less than the sum of its parts (combined DWL package $214.2B</w:t>
      </w:r>
      <w:r>
        <w:t xml:space="preserve"> </w:t>
      </w:r>
      <w:r>
        <w:t xml:space="preserve">against $418.9B of standalone gains: synergy ratio 0.547). So sequence,</w:t>
      </w:r>
      <w:r>
        <w:t xml:space="preserve"> </w:t>
      </w:r>
      <w:r>
        <w:t xml:space="preserve">don’t stack: measure and open first (disclosure alongside antitrust), constrain</w:t>
      </w:r>
      <w:r>
        <w:t xml:space="preserve"> </w:t>
      </w:r>
      <w:r>
        <w:t xml:space="preserve">second (lending caps), restructure third (interoperability) — caps return the</w:t>
      </w:r>
      <w:r>
        <w:t xml:space="preserve"> </w:t>
      </w:r>
      <w:r>
        <w:t xml:space="preserve">most per dollar yet cannot bite positions disclosure has not revealed.</w:t>
      </w:r>
    </w:p>
    <w:bookmarkStart w:id="260" w:name="X4e7e5dcf0388a440f225f8b8560897db920bc92"/>
    <w:p>
      <w:pPr>
        <w:pStyle w:val="CaptionedFigure"/>
      </w:pPr>
      <w:r>
        <w:drawing>
          <wp:inline>
            <wp:extent cx="5943600" cy="2798328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pred_bubble_policy_bcr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Burst-denominated remedy value (Table 7.13): net benefit in the base case with conservative/optimistic whiskers. GPU-lending caps return $56.4B on $1B (BCR 57.4); disclosure returns $69.8B on $2B (BCR 35.9). Denominated in expected severe burst loss rather than deadweight loss, so the numbers below complement — rather than duplicate — the DWL-based table that follows.</w:t>
      </w:r>
    </w:p>
    <w:bookmarkEnd w:id="260"/>
    <w:bookmarkStart w:id="261" w:name="Xea33f7cf893d34366347c3c35fd703f98f628dd"/>
    <w:p>
      <w:pPr>
        <w:pStyle w:val="TableCaption"/>
      </w:pPr>
      <w:r>
        <w:t xml:space="preserve">Burst-denominated remedies (Table 7.13): ordered by value per dollar.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rst-denominated remedies (Table 7.13): ordered by value per doll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Net ($B)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($B)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GPU-lending caps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disclosure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</w:tr>
    </w:tbl>
    <w:bookmarkEnd w:id="261"/>
    <w:bookmarkStart w:id="262" w:name="X2fa62f17f5bca9e86b1c385ac1a2c3d4e90afb3"/>
    <w:p>
      <w:pPr>
        <w:pStyle w:val="TableCaption"/>
      </w:pPr>
      <w:r>
        <w:t xml:space="preserve">Deadweight-loss-denominated remedies (Table 6): ordered by value per dollar.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adweight-loss-denominated remedies (Table 6): ordered by value per doll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Net ($B)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($B)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Antitrust 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interoperability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sharing mandate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subsidies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intervention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</w:tr>
    </w:tbl>
    <w:bookmarkEnd w:id="262"/>
    <w:p>
      <w:pPr>
        <w:pStyle w:val="BodyText"/>
      </w:pPr>
      <w:r>
        <w:t xml:space="preserve">Table </w:t>
      </w:r>
      <w:hyperlink w:anchor="tab:policy-summary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states the paper’s policy contribution in one</w:t>
      </w:r>
      <w:r>
        <w:t xml:space="preserve"> </w:t>
      </w:r>
      <w:r>
        <w:t xml:space="preserve">place: burst-denominated tools and DWL-denominated tools attack different</w:t>
      </w:r>
      <w:r>
        <w:t xml:space="preserve"> </w:t>
      </w:r>
      <w:r>
        <w:t xml:space="preserve">margins, so the two rankings complement rather than compete — sequence</w:t>
      </w:r>
      <w:r>
        <w:t xml:space="preserve"> </w:t>
      </w:r>
      <w:r>
        <w:t xml:space="preserve">measurement and leverage control first, market-structure repair second.</w:t>
      </w:r>
    </w:p>
    <w:bookmarkStart w:id="263" w:name="tab:policy-summary"/>
    <w:p>
      <w:pPr>
        <w:pStyle w:val="TableCaption"/>
      </w:pPr>
      <w:r>
        <w:t xml:space="preserve">Optimal policy sequencing across welfare and stability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timal policy sequencing across welfare and stability metric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 Instrument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Primary 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BCR (Burst)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BCR (DWL)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Regulatory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Deal disclosure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Information asymmetry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 / FTC / DOJ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GPU-lending caps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Stack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Fed / OCC / 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Antitrust 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Market-power markups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DOJ / FTC / DG COMP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API interoperability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Switching costs / lock-in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FTC / EU DMA</w:t>
            </w:r>
          </w:p>
        </w:tc>
      </w:tr>
    </w:tbl>
    <w:bookmarkEnd w:id="263"/>
    <w:bookmarkStart w:id="267" w:name="fig:25-net-benefit-by-intervention"/>
    <w:p>
      <w:pPr>
        <w:pStyle w:val="CaptionedFigure"/>
      </w:pPr>
      <w:r>
        <w:drawing>
          <wp:inline>
            <wp:extent cx="5349240" cy="3543740"/>
            <wp:effectExtent b="0" l="0" r="0" t="0"/>
            <wp:docPr descr="" title="" id="265" name="Picture"/>
            <a:graphic>
              <a:graphicData uri="http://schemas.openxmlformats.org/drawingml/2006/picture">
                <pic:pic>
                  <pic:nvPicPr>
                    <pic:cNvPr descr="figure_12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54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benefit by intervention ($B). The combined package exceeds any standalone tool, yet trails the sum of its parts — the quantitative case for sequencing.</w:t>
      </w:r>
    </w:p>
    <w:bookmarkEnd w:id="267"/>
    <w:bookmarkStart w:id="271" w:name="fig:06-joint-gains-by-relationship"/>
    <w:p>
      <w:pPr>
        <w:pStyle w:val="CaptionedFigure"/>
      </w:pPr>
      <w:r>
        <w:drawing>
          <wp:inline>
            <wp:extent cx="5943600" cy="3010782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supplemental/s5_joint_gains_transfer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Joint gains by relationship with the compensating transfers that unlock them. Every transition needs a payment; none is free — which is why the prediction expects the stuck cells to persist until policy or crisis pays the transfer.</w:t>
      </w:r>
    </w:p>
    <w:bookmarkEnd w:id="271"/>
    <w:p>
      <w:pPr>
        <w:pStyle w:val="BodyText"/>
      </w:pPr>
      <w:r>
        <w:t xml:space="preserve">Break-even conditions and what the ratios omit are documented in the Online Appendix; the remedy ranking above is the result.</w:t>
      </w:r>
    </w:p>
    <w:bookmarkEnd w:id="272"/>
    <w:bookmarkStart w:id="273" w:name="sec:validation"/>
    <w:p>
      <w:pPr>
        <w:pStyle w:val="Heading2"/>
      </w:pPr>
      <w:r>
        <w:t xml:space="preserve">Validation Tests</w:t>
      </w:r>
    </w:p>
    <w:p>
      <w:pPr>
        <w:pStyle w:val="FirstParagraph"/>
      </w:pPr>
      <w:r>
        <w:t xml:space="preserve">Three numbered tests retire the registry — the same numbering the</w:t>
      </w:r>
      <w:r>
        <w:t xml:space="preserve"> </w:t>
      </w:r>
      <w:r>
        <w:t xml:space="preserve">registry’s last column points to.</w:t>
      </w:r>
      <w:r>
        <w:t xml:space="preserve"> </w:t>
      </w:r>
      <w:r>
        <w:rPr>
          <w:b/>
          <w:bCs/>
        </w:rPr>
        <w:t xml:space="preserve">Test 1:</w:t>
      </w:r>
      <w:r>
        <w:t xml:space="preserve"> </w:t>
      </w:r>
      <w:r>
        <w:t xml:space="preserve">frontier labs converting</w:t>
      </w:r>
      <w:r>
        <w:t xml:space="preserve"> </w:t>
      </w:r>
      <w:r>
        <w:t xml:space="preserve">private marks into committed, profitable revenue at current scale (retires</w:t>
      </w:r>
      <w:r>
        <w:t xml:space="preserve"> </w:t>
      </w:r>
      <w:r>
        <w:t xml:space="preserve">P1 and P5).</w:t>
      </w:r>
      <w:r>
        <w:t xml:space="preserve"> </w:t>
      </w:r>
      <w:r>
        <w:rPr>
          <w:b/>
          <w:bCs/>
        </w:rPr>
        <w:t xml:space="preserve">Test 2:</w:t>
      </w:r>
      <w:r>
        <w:t xml:space="preserve"> </w:t>
      </w:r>
      <w:r>
        <w:t xml:space="preserve">conditional tranches activating on schedule</w:t>
      </w:r>
      <w:r>
        <w:t xml:space="preserve"> </w:t>
      </w:r>
      <w:r>
        <w:t xml:space="preserve">through a full cycle with no spread widening (retires P1).</w:t>
      </w:r>
      <w:r>
        <w:t xml:space="preserve"> </w:t>
      </w:r>
      <w:r>
        <w:rPr>
          <w:b/>
          <w:bCs/>
        </w:rPr>
        <w:t xml:space="preserve">Test 3:</w:t>
      </w:r>
      <w:r>
        <w:t xml:space="preserve"> </w:t>
      </w:r>
      <w:r>
        <w:t xml:space="preserve">a demand break that spares Hardware — the burst ranking flipping on</w:t>
      </w:r>
      <w:r>
        <w:t xml:space="preserve"> </w:t>
      </w:r>
      <w:r>
        <w:t xml:space="preserve">re-estimated exposures (retires P2, the paper’s firmest claim). The</w:t>
      </w:r>
      <w:r>
        <w:t xml:space="preserve"> </w:t>
      </w:r>
      <w:r>
        <w:t xml:space="preserve">pipeline’s 364 automated checks turn each into a failing gate, so the</w:t>
      </w:r>
      <w:r>
        <w:t xml:space="preserve"> </w:t>
      </w:r>
      <w:r>
        <w:t xml:space="preserve">call updates mechanically with new data: when a test trips, the</w:t>
      </w:r>
      <w:r>
        <w:t xml:space="preserve"> </w:t>
      </w:r>
      <w:r>
        <w:t xml:space="preserve">corresponding registry likelihood goes to near zero by construction, not by</w:t>
      </w:r>
      <w:r>
        <w:t xml:space="preserve"> </w:t>
      </w:r>
      <w:r>
        <w:t xml:space="preserve">reargument.</w:t>
      </w:r>
    </w:p>
    <w:bookmarkEnd w:id="273"/>
    <w:bookmarkStart w:id="27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central result of this paper is an incidence ranking with measured</w:t>
      </w:r>
      <w:r>
        <w:t xml:space="preserve"> </w:t>
      </w:r>
      <w:r>
        <w:t xml:space="preserve">foundations: $675.40 billion of circular capital read off signed contracts,</w:t>
      </w:r>
      <w:r>
        <w:t xml:space="preserve"> </w:t>
      </w:r>
      <w:r>
        <w:t xml:space="preserve">a binding non-cooperation constraint proved in six solved games, and a</w:t>
      </w:r>
      <w:r>
        <w:t xml:space="preserve"> </w:t>
      </w:r>
      <w:r>
        <w:t xml:space="preserve">Hardware-first loss order that survives sixteen extremes, 300 joint draws,</w:t>
      </w:r>
      <w:r>
        <w:t xml:space="preserve"> </w:t>
      </w:r>
      <w:r>
        <w:t xml:space="preserve">and blind transfer to 2008 inputs. No link in that chain is assumed: the</w:t>
      </w:r>
      <w:r>
        <w:t xml:space="preserve"> </w:t>
      </w:r>
      <w:r>
        <w:t xml:space="preserve">capital is documented, the trap is solved, the order is stress-tested, and</w:t>
      </w:r>
      <w:r>
        <w:t xml:space="preserve"> </w:t>
      </w:r>
      <w:r>
        <w:t xml:space="preserve">the machinery is backtested. Dollar figures mark scenario scale for sizing</w:t>
      </w:r>
      <w:r>
        <w:t xml:space="preserve"> </w:t>
      </w:r>
      <w:r>
        <w:t xml:space="preserve">remedies; the order is the forecast. The remedy order itself favors</w:t>
      </w:r>
      <w:r>
        <w:t xml:space="preserve"> </w:t>
      </w:r>
      <w:r>
        <w:t xml:space="preserve">disclosure and lending caps by benefit–cost ratio. Three observables would</w:t>
      </w:r>
      <w:r>
        <w:t xml:space="preserve"> </w:t>
      </w:r>
      <w:r>
        <w:t xml:space="preserve">retire the call (Section </w:t>
      </w:r>
      <w:hyperlink w:anchor="sec:validation">
        <w:r>
          <w:rPr>
            <w:rStyle w:val="Hyperlink"/>
          </w:rPr>
          <w:t xml:space="preserve">20</w:t>
        </w:r>
      </w:hyperlink>
      <w:r>
        <w:t xml:space="preserve">); until one fires, the</w:t>
      </w:r>
      <w:r>
        <w:t xml:space="preserve"> </w:t>
      </w:r>
      <w:r>
        <w:t xml:space="preserve">monitoring order in Section </w:t>
      </w:r>
      <w:hyperlink w:anchor="sec:triggers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and the positioning rules in</w:t>
      </w:r>
      <w:r>
        <w:t xml:space="preserve"> </w:t>
      </w:r>
      <w:r>
        <w:t xml:space="preserve">Section </w:t>
      </w:r>
      <w:hyperlink w:anchor="sec:portfolio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are the operational edge of the analysis.</w:t>
      </w:r>
    </w:p>
    <w:p>
      <w:pPr>
        <w:pStyle w:val="BodyText"/>
      </w:pPr>
      <w:r>
        <w:t xml:space="preserve">Three broader lessons close the argument. First,</w:t>
      </w:r>
      <w:r>
        <w:t xml:space="preserve"> </w:t>
      </w:r>
      <w:r>
        <w:rPr>
          <w:i/>
          <w:iCs/>
        </w:rPr>
        <w:t xml:space="preserve">structure dominates</w:t>
      </w:r>
      <w:r>
        <w:rPr>
          <w:i/>
          <w:iCs/>
        </w:rPr>
        <w:t xml:space="preserve"> </w:t>
      </w:r>
      <w:r>
        <w:rPr>
          <w:i/>
          <w:iCs/>
        </w:rPr>
        <w:t xml:space="preserve">sentiment</w:t>
      </w:r>
      <w:r>
        <w:t xml:space="preserve">: once financing is round-tripped, contracts — not narratives</w:t>
      </w:r>
      <w:r>
        <w:t xml:space="preserve"> </w:t>
      </w:r>
      <w:r>
        <w:t xml:space="preserve">about exuberance — decide where losses land. The burst ranking therefore</w:t>
      </w:r>
      <w:r>
        <w:t xml:space="preserve"> </w:t>
      </w:r>
      <w:r>
        <w:t xml:space="preserve">differs from the formation ranking, and both are needed. Second,</w:t>
      </w:r>
      <w:r>
        <w:t xml:space="preserve"> </w:t>
      </w:r>
      <w:r>
        <w:rPr>
          <w:i/>
          <w:iCs/>
        </w:rPr>
        <w:t xml:space="preserve">disclosure is the cheapest stabilizer</w:t>
      </w:r>
      <w:r>
        <w:t xml:space="preserve">: the highest burst-mitigation</w:t>
      </w:r>
      <w:r>
        <w:t xml:space="preserve"> </w:t>
      </w:r>
      <w:r>
        <w:t xml:space="preserve">BCRs reward revealing structure (35.9) and capping the leverage it invites</w:t>
      </w:r>
      <w:r>
        <w:t xml:space="preserve"> </w:t>
      </w:r>
      <w:r>
        <w:t xml:space="preserve">(57.4). Third,</w:t>
      </w:r>
      <w:r>
        <w:t xml:space="preserve"> </w:t>
      </w:r>
      <w:r>
        <w:rPr>
          <w:i/>
          <w:iCs/>
        </w:rPr>
        <w:t xml:space="preserve">ranks travel while levels expire</w:t>
      </w:r>
      <w:r>
        <w:t xml:space="preserve">: every number in</w:t>
      </w:r>
      <w:r>
        <w:t xml:space="preserve"> </w:t>
      </w:r>
      <w:r>
        <w:t xml:space="preserve">this paper will age with funding rounds and prices, but the orderings —</w:t>
      </w:r>
      <w:r>
        <w:t xml:space="preserve"> </w:t>
      </w:r>
      <w:r>
        <w:t xml:space="preserve">the burst order, the remedy order, the loss-source order — are built to</w:t>
      </w:r>
      <w:r>
        <w:t xml:space="preserve"> </w:t>
      </w:r>
      <w:r>
        <w:t xml:space="preserve">survive re-calibration. Technology can succeed while assets disappoint;</w:t>
      </w:r>
      <w:r>
        <w:t xml:space="preserve"> </w:t>
      </w:r>
      <w:r>
        <w:t xml:space="preserve">mapping the circle shows where. What remains is to decide, before the next</w:t>
      </w:r>
      <w:r>
        <w:t xml:space="preserve"> </w:t>
      </w:r>
      <w:r>
        <w:t xml:space="preserve">funding round redraws it, which edge to cut first.</w:t>
      </w:r>
    </w:p>
    <w:bookmarkEnd w:id="274"/>
    <w:bookmarkStart w:id="27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code, tables, and figures are generated by a single Python pipeline,</w:t>
      </w:r>
      <w:r>
        <w:t xml:space="preserve"> </w:t>
      </w:r>
      <w:r>
        <w:t xml:space="preserve">available at</w:t>
      </w:r>
      <w:r>
        <w:t xml:space="preserve"> </w:t>
      </w:r>
      <w:hyperlink r:id="rId275">
        <w:r>
          <w:rPr>
            <w:rStyle w:val="Hyperlink"/>
          </w:rPr>
          <w:t xml:space="preserve">https://github.com/ranjithvijik/airesearch</w:t>
        </w:r>
      </w:hyperlink>
      <w:r>
        <w:t xml:space="preserve">. Running</w:t>
      </w:r>
      <w:r>
        <w:t xml:space="preserve"> </w:t>
      </w:r>
      <w:r>
        <w:rPr>
          <w:rStyle w:val="VerbatimChar"/>
        </w:rPr>
        <w:t xml:space="preserve">python3 run_pipeline.py</w:t>
      </w:r>
      <w:r>
        <w:t xml:space="preserve"> </w:t>
      </w:r>
      <w:r>
        <w:t xml:space="preserve">from the repository root regenerates every</w:t>
      </w:r>
      <w:r>
        <w:t xml:space="preserve"> </w:t>
      </w:r>
      <w:r>
        <w:t xml:space="preserve">numbered table and figure in order (model, technical report, dashboard,</w:t>
      </w:r>
      <w:r>
        <w:t xml:space="preserve"> </w:t>
      </w:r>
      <w:r>
        <w:t xml:space="preserve">tests, retirement exposure, article PDF, prediction exhibits, backtests, and</w:t>
      </w:r>
      <w:r>
        <w:t xml:space="preserve"> </w:t>
      </w:r>
      <w:r>
        <w:t xml:space="preserve">comparisons), gated by a 364-test suite that must pass before the article</w:t>
      </w:r>
      <w:r>
        <w:t xml:space="preserve"> </w:t>
      </w:r>
      <w:r>
        <w:t xml:space="preserve">typesets. Requirements are Python 3.12 with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 </w:t>
      </w:r>
      <w:r>
        <w:t xml:space="preserve">(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only for the</w:t>
      </w:r>
      <w:r>
        <w:t xml:space="preserve"> </w:t>
      </w:r>
      <w:r>
        <w:t xml:space="preserve">coverage report), plus a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distribution for the article;</w:t>
      </w:r>
      <w:r>
        <w:t xml:space="preserve"> </w:t>
      </w:r>
      <w:r>
        <w:t xml:space="preserve">each stage also runs standalone (see the repository README for per-stage</w:t>
      </w:r>
      <w:r>
        <w:t xml:space="preserve"> </w:t>
      </w:r>
      <w:r>
        <w:t xml:space="preserve">commands and runtimes). Random draws are seeded (global seed 42; joint</w:t>
      </w:r>
      <w:r>
        <w:t xml:space="preserve"> </w:t>
      </w:r>
      <w:r>
        <w:t xml:space="preserve">robustness check seed 7) for exact reproducibility. The only live network</w:t>
      </w:r>
      <w:r>
        <w:t xml:space="preserve"> </w:t>
      </w:r>
      <w:r>
        <w:t xml:space="preserve">call is an SEC EDGAR revenue fetch with a vendored offline fallback, so</w:t>
      </w:r>
      <w:r>
        <w:t xml:space="preserve"> </w:t>
      </w:r>
      <w:r>
        <w:t xml:space="preserve">builds are deterministic without network access; price inputs are vendored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tables/price_history_weekly.csv</w:t>
      </w:r>
      <w:r>
        <w:t xml:space="preserve">.</w:t>
      </w:r>
    </w:p>
    <w:bookmarkEnd w:id="276"/>
    <w:bookmarkStart w:id="290" w:name="sec: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Aghion, P., Bloom, N., Blundell, R., Griffith, R., &amp; Howitt, P. (2005).</w:t>
      </w:r>
      <w:r>
        <w:t xml:space="preserve"> </w:t>
      </w:r>
      <w:r>
        <w:t xml:space="preserve">Competition and innovation: An inverted-U relationship.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120</w:t>
      </w:r>
      <w:r>
        <w:t xml:space="preserve">(2), 701–728.</w:t>
      </w:r>
    </w:p>
    <w:p>
      <w:pPr>
        <w:pStyle w:val="BodyText"/>
      </w:pPr>
      <w:r>
        <w:t xml:space="preserve">Agrawal, A., Gans, J., &amp; Goldfarb, A. (2018).</w:t>
      </w:r>
      <w:r>
        <w:t xml:space="preserve"> </w:t>
      </w:r>
      <w:r>
        <w:rPr>
          <w:i/>
          <w:iCs/>
        </w:rPr>
        <w:t xml:space="preserve">Prediction machines: The simple economics of artificial intelligence</w:t>
      </w:r>
      <w:r>
        <w:t xml:space="preserve">.</w:t>
      </w:r>
      <w:r>
        <w:t xml:space="preserve"> </w:t>
      </w:r>
      <w:r>
        <w:t xml:space="preserve">Harvard Business Review Press.</w:t>
      </w:r>
    </w:p>
    <w:p>
      <w:pPr>
        <w:pStyle w:val="BodyText"/>
      </w:pPr>
      <w:r>
        <w:t xml:space="preserve">Agrawal, A., Gans, J., &amp; Goldfarb, A. (Eds.). (2019).</w:t>
      </w:r>
      <w:r>
        <w:t xml:space="preserve"> </w:t>
      </w:r>
      <w:r>
        <w:rPr>
          <w:i/>
          <w:iCs/>
        </w:rPr>
        <w:t xml:space="preserve">The economics of artificial intelligence: An agenda</w:t>
      </w:r>
      <w:r>
        <w:t xml:space="preserve">.</w:t>
      </w:r>
      <w:r>
        <w:t xml:space="preserve"> </w:t>
      </w:r>
      <w:r>
        <w:t xml:space="preserve">University of Chicago Press.</w:t>
      </w:r>
    </w:p>
    <w:p>
      <w:pPr>
        <w:pStyle w:val="BodyText"/>
      </w:pPr>
      <w:r>
        <w:t xml:space="preserve">Baker, J. B. (2019).</w:t>
      </w:r>
      <w:r>
        <w:t xml:space="preserve"> </w:t>
      </w:r>
      <w:r>
        <w:rPr>
          <w:i/>
          <w:iCs/>
        </w:rPr>
        <w:t xml:space="preserve">The antitrust paradigm</w:t>
      </w:r>
      <w:r>
        <w:t xml:space="preserve">.</w:t>
      </w:r>
      <w:r>
        <w:t xml:space="preserve"> </w:t>
      </w:r>
      <w:r>
        <w:t xml:space="preserve">Harvard University Press.</w:t>
      </w:r>
    </w:p>
    <w:p>
      <w:pPr>
        <w:pStyle w:val="BodyText"/>
      </w:pPr>
      <w:r>
        <w:t xml:space="preserve">Bakos, Y., &amp; Brynjolfsson, E. (2000).</w:t>
      </w:r>
      <w:r>
        <w:t xml:space="preserve"> </w:t>
      </w:r>
      <w:r>
        <w:t xml:space="preserve">Bundling and competition on the Internet.</w:t>
      </w:r>
      <w:r>
        <w:t xml:space="preserve"> </w:t>
      </w:r>
      <w:r>
        <w:rPr>
          <w:i/>
          <w:iCs/>
        </w:rPr>
        <w:t xml:space="preserve">Marketing Science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(1), 63–82.</w:t>
      </w:r>
    </w:p>
    <w:p>
      <w:pPr>
        <w:pStyle w:val="BodyText"/>
      </w:pPr>
      <w:r>
        <w:t xml:space="preserve">Battiston, S., Puliga, M., Kaushik, R., Tasca, P., &amp; Caldarelli, G. (2012).</w:t>
      </w:r>
      <w:r>
        <w:t xml:space="preserve"> </w:t>
      </w:r>
      <w:r>
        <w:t xml:space="preserve">DebtRank: too central to fail? Financial networks, the FED and systemic risk.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, 541.</w:t>
      </w:r>
    </w:p>
    <w:p>
      <w:pPr>
        <w:pStyle w:val="BodyText"/>
      </w:pPr>
      <w:r>
        <w:t xml:space="preserve">U.S. Bureau of Economic Analysis. (2026).</w:t>
      </w:r>
      <w:r>
        <w:t xml:space="preserve"> </w:t>
      </w:r>
      <w:r>
        <w:t xml:space="preserve">National Income and Product Accounts: 2025 annual nominal GDP ($30,767.1B).</w:t>
      </w:r>
      <w:r>
        <w:t xml:space="preserve"> </w:t>
      </w:r>
      <w:r>
        <w:t xml:space="preserve">Available at</w:t>
      </w:r>
      <w:r>
        <w:t xml:space="preserve"> </w:t>
      </w:r>
      <w:hyperlink r:id="rId277">
        <w:r>
          <w:rPr>
            <w:rStyle w:val="Hyperlink"/>
          </w:rPr>
          <w:t xml:space="preserve">https://www.bea.gov</w:t>
        </w:r>
      </w:hyperlink>
      <w:r>
        <w:t xml:space="preserve">.</w:t>
      </w:r>
      <w:r>
        <w:t xml:space="preserve"> </w:t>
      </w:r>
      <w:r>
        <w:t xml:space="preserve">Retrieved September 2026.</w:t>
      </w:r>
    </w:p>
    <w:p>
      <w:pPr>
        <w:pStyle w:val="BodyText"/>
      </w:pPr>
      <w:r>
        <w:t xml:space="preserve">Bank for International Settlements. (2026).</w:t>
      </w:r>
      <w:r>
        <w:t xml:space="preserve"> </w:t>
      </w:r>
      <w:r>
        <w:rPr>
          <w:i/>
          <w:iCs/>
        </w:rPr>
        <w:t xml:space="preserve">Annual economic report 2026</w:t>
      </w:r>
      <w:r>
        <w:t xml:space="preserve">, Chapter I (</w:t>
      </w:r>
      <w:r>
        <w:t xml:space="preserve">“Progress and peril”</w:t>
      </w:r>
      <w:r>
        <w:t xml:space="preserve">,</w:t>
      </w:r>
      <w:r>
        <w:t xml:space="preserve"> </w:t>
      </w:r>
      <w:r>
        <w:t xml:space="preserve">published June 28, 2026; Graph 13 on circular AI financing).</w:t>
      </w:r>
      <w:r>
        <w:t xml:space="preserve"> </w:t>
      </w:r>
      <w:r>
        <w:t xml:space="preserve">Available at</w:t>
      </w:r>
      <w:r>
        <w:t xml:space="preserve"> </w:t>
      </w:r>
      <w:hyperlink r:id="rId278">
        <w:r>
          <w:rPr>
            <w:rStyle w:val="Hyperlink"/>
          </w:rPr>
          <w:t xml:space="preserve">https://www.bis.org/publ/arpdf/ar2026e1.pdf</w:t>
        </w:r>
      </w:hyperlink>
      <w:r>
        <w:t xml:space="preserve">.</w:t>
      </w:r>
      <w:r>
        <w:t xml:space="preserve"> </w:t>
      </w:r>
      <w:r>
        <w:t xml:space="preserve">Retrieved September 2026.</w:t>
      </w:r>
      <w:r>
        <w:t xml:space="preserve"> </w:t>
      </w:r>
      <w:r>
        <w:t xml:space="preserve">Brynjolfsson, E., Rock, D., &amp; Syverson, C. (2021).</w:t>
      </w:r>
      <w:r>
        <w:t xml:space="preserve"> </w:t>
      </w:r>
      <w:r>
        <w:t xml:space="preserve">The productivity J-curve.</w:t>
      </w:r>
      <w:r>
        <w:t xml:space="preserve"> </w:t>
      </w:r>
      <w:r>
        <w:rPr>
          <w:i/>
          <w:iCs/>
        </w:rPr>
        <w:t xml:space="preserve">American Economic Journal: Macroeconomics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(1), 333–372.</w:t>
      </w:r>
    </w:p>
    <w:p>
      <w:pPr>
        <w:pStyle w:val="BodyText"/>
      </w:pPr>
      <w:r>
        <w:t xml:space="preserve">Brynjolfsson, E., Li, D., &amp; Raymond, L. R. (2025).</w:t>
      </w:r>
      <w:r>
        <w:t xml:space="preserve"> </w:t>
      </w:r>
      <w:r>
        <w:t xml:space="preserve">Generative AI at work.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140</w:t>
      </w:r>
      <w:r>
        <w:t xml:space="preserve">(2), 889–942.</w:t>
      </w:r>
    </w:p>
    <w:p>
      <w:pPr>
        <w:pStyle w:val="BodyText"/>
      </w:pPr>
      <w:r>
        <w:t xml:space="preserve">Carroll, C. D., Otsuka, M., &amp; Slacalek, J. (2011).</w:t>
      </w:r>
      <w:r>
        <w:t xml:space="preserve"> </w:t>
      </w:r>
      <w:r>
        <w:t xml:space="preserve">How large are housing and financial wealth effects? A new approach.</w:t>
      </w:r>
      <w:r>
        <w:t xml:space="preserve"> </w:t>
      </w:r>
      <w:r>
        <w:rPr>
          <w:i/>
          <w:iCs/>
        </w:rPr>
        <w:t xml:space="preserve">Journal of Money, Credit and Banking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(1), 55–79.</w:t>
      </w:r>
    </w:p>
    <w:p>
      <w:pPr>
        <w:pStyle w:val="BodyText"/>
      </w:pPr>
      <w:r>
        <w:t xml:space="preserve">Chodorow-Reich, G., Nenov, P. T., &amp; Simsek, A. (2021).</w:t>
      </w:r>
      <w:r>
        <w:t xml:space="preserve"> </w:t>
      </w:r>
      <w:r>
        <w:t xml:space="preserve">Stock market wealth and the real economy: A local labor market approach.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111</w:t>
      </w:r>
      <w:r>
        <w:t xml:space="preserve">(5), 1613–1657.</w:t>
      </w:r>
    </w:p>
    <w:p>
      <w:pPr>
        <w:pStyle w:val="BodyText"/>
      </w:pPr>
      <w:r>
        <w:t xml:space="preserve">Cooper, R., &amp; John, A. (1988).</w:t>
      </w:r>
      <w:r>
        <w:t xml:space="preserve"> </w:t>
      </w:r>
      <w:r>
        <w:t xml:space="preserve">Coordinating coordination failures in Keynesian models.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103</w:t>
      </w:r>
      <w:r>
        <w:t xml:space="preserve">(3), 441–463.</w:t>
      </w:r>
    </w:p>
    <w:p>
      <w:pPr>
        <w:pStyle w:val="BodyText"/>
      </w:pPr>
      <w:r>
        <w:t xml:space="preserve">Congressional Budget Office. (2022).</w:t>
      </w:r>
      <w:r>
        <w:t xml:space="preserve"> </w:t>
      </w:r>
      <w:r>
        <w:t xml:space="preserve">Cost estimate for the CHIPS and Science Act (H.R. 4346, July 21, 2022).</w:t>
      </w:r>
      <w:r>
        <w:t xml:space="preserve"> </w:t>
      </w:r>
      <w:r>
        <w:t xml:space="preserve">Available at</w:t>
      </w:r>
      <w:r>
        <w:t xml:space="preserve"> </w:t>
      </w:r>
      <w:hyperlink r:id="rId279">
        <w:r>
          <w:rPr>
            <w:rStyle w:val="Hyperlink"/>
          </w:rPr>
          <w:t xml:space="preserve">https://www.cbo.gov/system/files/2022-07/hr4346_chip.pdf</w:t>
        </w:r>
      </w:hyperlink>
      <w:r>
        <w:t xml:space="preserve">.</w:t>
      </w:r>
      <w:r>
        <w:t xml:space="preserve"> </w:t>
      </w:r>
      <w:r>
        <w:t xml:space="preserve">Retrieved September 2026. IRA clean-energy credit costs are scored</w:t>
      </w:r>
      <w:r>
        <w:t xml:space="preserve"> </w:t>
      </w:r>
      <w:r>
        <w:t xml:space="preserve">separately by the Joint Committee on Taxation.</w:t>
      </w:r>
      <w:r>
        <w:t xml:space="preserve"> </w:t>
      </w:r>
      <w:r>
        <w:t xml:space="preserve">Crémer, J., de Montjoye, Y.-A., &amp; Schweitzer, H. (2019).</w:t>
      </w:r>
      <w:r>
        <w:t xml:space="preserve"> </w:t>
      </w:r>
      <w:r>
        <w:rPr>
          <w:i/>
          <w:iCs/>
        </w:rPr>
        <w:t xml:space="preserve">Competition policy for the digital era</w:t>
      </w:r>
      <w:r>
        <w:t xml:space="preserve">.</w:t>
      </w:r>
      <w:r>
        <w:t xml:space="preserve"> </w:t>
      </w:r>
      <w:r>
        <w:t xml:space="preserve">European Commission, Directorate-General for Competition (report published</w:t>
      </w:r>
      <w:r>
        <w:t xml:space="preserve"> </w:t>
      </w:r>
      <w:r>
        <w:t xml:space="preserve">April 4, 2019). DOI </w:t>
      </w:r>
      <w:hyperlink r:id="rId280">
        <w:r>
          <w:rPr>
            <w:rStyle w:val="Hyperlink"/>
          </w:rPr>
          <w:t xml:space="preserve">https://data.europa.eu/doi/10.2763/407537</w:t>
        </w:r>
      </w:hyperlink>
      <w:r>
        <w:t xml:space="preserve">;</w:t>
      </w:r>
      <w:r>
        <w:t xml:space="preserve"> </w:t>
      </w:r>
      <w:r>
        <w:t xml:space="preserve">PDF at</w:t>
      </w:r>
      <w:r>
        <w:t xml:space="preserve"> </w:t>
      </w:r>
      <w:hyperlink r:id="rId281">
        <w:r>
          <w:rPr>
            <w:rStyle w:val="Hyperlink"/>
          </w:rPr>
          <w:t xml:space="preserve">https://ec.europa.eu/competition/publications/reports/kd0419345enn.pdf</w:t>
        </w:r>
      </w:hyperlink>
      <w:r>
        <w:t xml:space="preserve">.</w:t>
      </w:r>
      <w:r>
        <w:t xml:space="preserve"> </w:t>
      </w:r>
      <w:r>
        <w:t xml:space="preserve">Retrieved September 2026.</w:t>
      </w:r>
      <w:r>
        <w:t xml:space="preserve"> </w:t>
      </w:r>
      <w:r>
        <w:t xml:space="preserve">Damodaran, A. (2026).</w:t>
      </w:r>
      <w:r>
        <w:t xml:space="preserve"> </w:t>
      </w:r>
      <w:r>
        <w:t xml:space="preserve">Implied equity risk premium dataset, Stern School of Business,</w:t>
      </w:r>
      <w:r>
        <w:t xml:space="preserve"> </w:t>
      </w:r>
      <w:r>
        <w:t xml:space="preserve">New York University (end-2025 implied ERP 4.18%; mid-2026 mature-market</w:t>
      </w:r>
      <w:r>
        <w:t xml:space="preserve"> </w:t>
      </w:r>
      <w:r>
        <w:t xml:space="preserve">base 4.17%).</w:t>
      </w:r>
      <w:r>
        <w:t xml:space="preserve"> </w:t>
      </w:r>
      <w:r>
        <w:t xml:space="preserve">Available at</w:t>
      </w:r>
      <w:r>
        <w:t xml:space="preserve"> </w:t>
      </w:r>
      <w:hyperlink r:id="rId282">
        <w:r>
          <w:rPr>
            <w:rStyle w:val="Hyperlink"/>
          </w:rPr>
          <w:t xml:space="preserve">https://pages.stern.nyu.edu/~adamodar/</w:t>
        </w:r>
      </w:hyperlink>
      <w:r>
        <w:t xml:space="preserve">.</w:t>
      </w:r>
      <w:r>
        <w:t xml:space="preserve"> </w:t>
      </w:r>
      <w:r>
        <w:t xml:space="preserve">Retrieved September 2026.</w:t>
      </w:r>
    </w:p>
    <w:p>
      <w:pPr>
        <w:pStyle w:val="BodyText"/>
      </w:pPr>
      <w:r>
        <w:t xml:space="preserve">David, P. A. (1990).</w:t>
      </w:r>
      <w:r>
        <w:t xml:space="preserve"> </w:t>
      </w:r>
      <w:r>
        <w:t xml:space="preserve">The dynamo and the computer.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80</w:t>
      </w:r>
      <w:r>
        <w:t xml:space="preserve">(2), 355–361.</w:t>
      </w:r>
      <w:r>
        <w:t xml:space="preserve"> </w:t>
      </w:r>
      <w:r>
        <w:t xml:space="preserve">European Commission. (2022).</w:t>
      </w:r>
      <w:r>
        <w:t xml:space="preserve"> </w:t>
      </w:r>
      <w:r>
        <w:t xml:space="preserve">Regulation (EU) 2022/1925 (Digital Markets Act).</w:t>
      </w:r>
      <w:r>
        <w:t xml:space="preserve"> </w:t>
      </w:r>
      <w:r>
        <w:t xml:space="preserve">Available at</w:t>
      </w:r>
      <w:r>
        <w:t xml:space="preserve"> </w:t>
      </w:r>
      <w:hyperlink r:id="rId283">
        <w:r>
          <w:rPr>
            <w:rStyle w:val="Hyperlink"/>
          </w:rPr>
          <w:t xml:space="preserve">https://eur-lex.europa.eu/eli/reg/2022/1925</w:t>
        </w:r>
      </w:hyperlink>
      <w:r>
        <w:t xml:space="preserve">.</w:t>
      </w:r>
      <w:r>
        <w:t xml:space="preserve"> </w:t>
      </w:r>
      <w:r>
        <w:t xml:space="preserve">Retrieved September 2026.</w:t>
      </w:r>
      <w:r>
        <w:t xml:space="preserve"> </w:t>
      </w:r>
      <w:r>
        <w:t xml:space="preserve">Farrell, J., &amp; Klemperer, P. (2007).</w:t>
      </w:r>
      <w:r>
        <w:t xml:space="preserve"> </w:t>
      </w:r>
      <w:r>
        <w:t xml:space="preserve">Coordination and lock-in: Competition with switching costs and network effects.</w:t>
      </w:r>
      <w:r>
        <w:t xml:space="preserve"> </w:t>
      </w:r>
      <w:r>
        <w:t xml:space="preserve">In M. Armstrong &amp; R. Porter (Eds.),</w:t>
      </w:r>
      <w:r>
        <w:t xml:space="preserve"> </w:t>
      </w:r>
      <w:r>
        <w:rPr>
          <w:i/>
          <w:iCs/>
        </w:rPr>
        <w:t xml:space="preserve">Handbook of industrial organization</w:t>
      </w:r>
      <w:r>
        <w:t xml:space="preserve"> </w:t>
      </w:r>
      <w:r>
        <w:t xml:space="preserve">(Vol. 3, pp. 1967–2072).</w:t>
      </w:r>
      <w:r>
        <w:t xml:space="preserve"> </w:t>
      </w:r>
      <w:r>
        <w:t xml:space="preserve">North-Holland.</w:t>
      </w:r>
    </w:p>
    <w:p>
      <w:pPr>
        <w:pStyle w:val="BodyText"/>
      </w:pPr>
      <w:r>
        <w:t xml:space="preserve">Federal Trade Commission. (2025).</w:t>
      </w:r>
      <w:r>
        <w:t xml:space="preserve"> </w:t>
      </w:r>
      <w:r>
        <w:rPr>
          <w:i/>
          <w:iCs/>
        </w:rPr>
        <w:t xml:space="preserve">Partnerships between cloud service providers and AI developers</w:t>
      </w:r>
      <w:r>
        <w:t xml:space="preserve">,</w:t>
      </w:r>
      <w:r>
        <w:t xml:space="preserve"> </w:t>
      </w:r>
      <w:r>
        <w:t xml:space="preserve">6(b) staff report (orders issued January 2024; report issued January 2025),</w:t>
      </w:r>
      <w:r>
        <w:t xml:space="preserve"> </w:t>
      </w:r>
      <w:r>
        <w:t xml:space="preserve">covering Alphabet/Google, Amazon and Microsoft with Anthropic and OpenAI.</w:t>
      </w:r>
      <w:r>
        <w:t xml:space="preserve"> </w:t>
      </w:r>
      <w:r>
        <w:t xml:space="preserve">Press release at</w:t>
      </w:r>
      <w:r>
        <w:t xml:space="preserve"> </w:t>
      </w:r>
      <w:hyperlink r:id="rId284">
        <w:r>
          <w:rPr>
            <w:rStyle w:val="Hyperlink"/>
          </w:rPr>
          <w:t xml:space="preserve">https://www.ftc.gov/news-events/news/press-releases/2025/01/ftc-issues-staff-report-ai-partnerships-investments-study</w:t>
        </w:r>
      </w:hyperlink>
      <w:r>
        <w:t xml:space="preserve">;</w:t>
      </w:r>
      <w:r>
        <w:t xml:space="preserve"> </w:t>
      </w:r>
      <w:r>
        <w:t xml:space="preserve">report PDF at</w:t>
      </w:r>
      <w:r>
        <w:t xml:space="preserve"> </w:t>
      </w:r>
      <w:hyperlink r:id="rId285">
        <w:r>
          <w:rPr>
            <w:rStyle w:val="Hyperlink"/>
          </w:rPr>
          <w:t xml:space="preserve">https://www.ftc.gov/system/files/ftc_gov/pdf/p246201_aipartnerships6breport_redacted.pdf</w:t>
        </w:r>
      </w:hyperlink>
      <w:r>
        <w:t xml:space="preserve">.</w:t>
      </w:r>
      <w:r>
        <w:t xml:space="preserve"> </w:t>
      </w:r>
      <w:r>
        <w:t xml:space="preserve">Retrieved September 2026.</w:t>
      </w:r>
      <w:r>
        <w:t xml:space="preserve"> </w:t>
      </w:r>
      <w:r>
        <w:t xml:space="preserve">Greenwood, R., Shleifer, A., &amp; You, Y. (2019).</w:t>
      </w:r>
      <w:r>
        <w:t xml:space="preserve"> </w:t>
      </w:r>
      <w:r>
        <w:t xml:space="preserve">Bubbles for Fama.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131</w:t>
      </w:r>
      <w:r>
        <w:t xml:space="preserve">(1), 20–43.</w:t>
      </w:r>
      <w:r>
        <w:t xml:space="preserve"> </w:t>
      </w:r>
      <w:r>
        <w:t xml:space="preserve">Hagiu, A., &amp; Wright, J. (2025).</w:t>
      </w:r>
      <w:r>
        <w:t xml:space="preserve"> </w:t>
      </w:r>
      <w:r>
        <w:t xml:space="preserve">Artificial intelligence and competition policy.</w:t>
      </w:r>
      <w:r>
        <w:t xml:space="preserve"> </w:t>
      </w:r>
      <w:r>
        <w:rPr>
          <w:i/>
          <w:iCs/>
        </w:rPr>
        <w:t xml:space="preserve">International Journal of Industrial Organization</w:t>
      </w:r>
      <w:r>
        <w:t xml:space="preserve">,</w:t>
      </w:r>
      <w:r>
        <w:t xml:space="preserve"> </w:t>
      </w:r>
      <w:r>
        <w:rPr>
          <w:i/>
          <w:iCs/>
        </w:rPr>
        <w:t xml:space="preserve">103</w:t>
      </w:r>
      <w:r>
        <w:t xml:space="preserve">, 103134.</w:t>
      </w:r>
    </w:p>
    <w:p>
      <w:pPr>
        <w:pStyle w:val="BodyText"/>
      </w:pPr>
      <w:r>
        <w:t xml:space="preserve">Harberger, A. C. (1954).</w:t>
      </w:r>
      <w:r>
        <w:t xml:space="preserve"> </w:t>
      </w:r>
      <w:r>
        <w:t xml:space="preserve">Monopoly and resource allocation.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(2), 77–87.</w:t>
      </w:r>
    </w:p>
    <w:p>
      <w:pPr>
        <w:pStyle w:val="BodyText"/>
      </w:pPr>
      <w:r>
        <w:t xml:space="preserve">International Data Corporation. (2026).</w:t>
      </w:r>
      <w:r>
        <w:t xml:space="preserve"> </w:t>
      </w:r>
      <w:r>
        <w:t xml:space="preserve">Worldwide AI and Automation Spending Guide (29% 2024–28 CAGR) and</w:t>
      </w:r>
      <w:r>
        <w:t xml:space="preserve"> </w:t>
      </w:r>
      <w:r>
        <w:t xml:space="preserve">FutureScape 2026 (32% five-year AI IT spending CAGR): subscription</w:t>
      </w:r>
      <w:r>
        <w:t xml:space="preserve"> </w:t>
      </w:r>
      <w:r>
        <w:t xml:space="preserve">research, figures as compiled in the pipeline calibration (30% central).</w:t>
      </w:r>
    </w:p>
    <w:p>
      <w:pPr>
        <w:pStyle w:val="BodyText"/>
      </w:pPr>
      <w:r>
        <w:t xml:space="preserve">International Energy Agency. (2026).</w:t>
      </w:r>
      <w:r>
        <w:t xml:space="preserve"> </w:t>
      </w:r>
      <w:r>
        <w:rPr>
          <w:i/>
          <w:iCs/>
        </w:rPr>
        <w:t xml:space="preserve">Electricity 2026</w:t>
      </w:r>
      <w:r>
        <w:t xml:space="preserve"> </w:t>
      </w:r>
      <w:r>
        <w:t xml:space="preserve">demand analysis (data-center consumption</w:t>
      </w:r>
      <w:r>
        <w:t xml:space="preserve"> </w:t>
      </w:r>
      <w:r>
        <w:t xml:space="preserve">485 TWh in 2025 toward ~950 TWh by 2030, per IEA figures).</w:t>
      </w:r>
      <w:r>
        <w:t xml:space="preserve"> </w:t>
      </w:r>
      <w:r>
        <w:t xml:space="preserve">Available at</w:t>
      </w:r>
      <w:r>
        <w:t xml:space="preserve"> </w:t>
      </w:r>
      <w:hyperlink r:id="rId286">
        <w:r>
          <w:rPr>
            <w:rStyle w:val="Hyperlink"/>
          </w:rPr>
          <w:t xml:space="preserve">https://www.iea.org/reports/electricity-2026/demand</w:t>
        </w:r>
      </w:hyperlink>
      <w:r>
        <w:t xml:space="preserve">.</w:t>
      </w:r>
      <w:r>
        <w:t xml:space="preserve"> </w:t>
      </w:r>
      <w:r>
        <w:t xml:space="preserve">Retrieved September 2026.</w:t>
      </w:r>
    </w:p>
    <w:p>
      <w:pPr>
        <w:pStyle w:val="BodyText"/>
      </w:pPr>
      <w:r>
        <w:t xml:space="preserve">Adrian, T. (International Monetary Fund, Monetary and Capital Markets</w:t>
      </w:r>
      <w:r>
        <w:t xml:space="preserve"> </w:t>
      </w:r>
      <w:r>
        <w:t xml:space="preserve">Department). (2026).</w:t>
      </w:r>
      <w:r>
        <w:t xml:space="preserve"> </w:t>
      </w:r>
      <w:r>
        <w:t xml:space="preserve">Remarks on AI debt and leverage: major tech firms are</w:t>
      </w:r>
      <w:r>
        <w:t xml:space="preserve"> </w:t>
      </w:r>
      <w:r>
        <w:t xml:space="preserve">“starting to</w:t>
      </w:r>
      <w:r>
        <w:t xml:space="preserve"> </w:t>
      </w:r>
      <w:r>
        <w:t xml:space="preserve">leverage up,”</w:t>
      </w:r>
      <w:r>
        <w:t xml:space="preserve"> </w:t>
      </w:r>
      <w:r>
        <w:t xml:space="preserve">with a potential maturity mismatch between physical-asset</w:t>
      </w:r>
      <w:r>
        <w:t xml:space="preserve"> </w:t>
      </w:r>
      <w:r>
        <w:t xml:space="preserve">duration and financing duration (reported via Bloomberg).</w:t>
      </w:r>
      <w:r>
        <w:t xml:space="preserve"> </w:t>
      </w:r>
      <w:r>
        <w:t xml:space="preserve">Available at</w:t>
      </w:r>
      <w:r>
        <w:t xml:space="preserve"> </w:t>
      </w:r>
      <w:hyperlink r:id="rId287">
        <w:r>
          <w:rPr>
            <w:rStyle w:val="Hyperlink"/>
          </w:rPr>
          <w:t xml:space="preserve">https://moneywise.com/news/economy/imf-ai-debt-leverage-data-centers-2026</w:t>
        </w:r>
      </w:hyperlink>
      <w:r>
        <w:t xml:space="preserve">.</w:t>
      </w:r>
      <w:r>
        <w:t xml:space="preserve"> </w:t>
      </w:r>
      <w:r>
        <w:t xml:space="preserve">Retrieved September 2026.</w:t>
      </w:r>
    </w:p>
    <w:p>
      <w:pPr>
        <w:pStyle w:val="BodyText"/>
      </w:pPr>
      <w:r>
        <w:t xml:space="preserve">International Monetary Fund. (2026b).</w:t>
      </w:r>
      <w:r>
        <w:t xml:space="preserve"> </w:t>
      </w:r>
      <w:r>
        <w:rPr>
          <w:i/>
          <w:iCs/>
        </w:rPr>
        <w:t xml:space="preserve">World economic outlook update, January 2026</w:t>
      </w:r>
      <w:r>
        <w:t xml:space="preserve"> </w:t>
      </w:r>
      <w:r>
        <w:t xml:space="preserve">(released January 19,</w:t>
      </w:r>
      <w:r>
        <w:t xml:space="preserve"> </w:t>
      </w:r>
      <w:r>
        <w:t xml:space="preserve">2026; 3.3% global growth with an AI-correction warning).</w:t>
      </w:r>
      <w:r>
        <w:t xml:space="preserve"> </w:t>
      </w:r>
      <w:r>
        <w:t xml:space="preserve">Available at</w:t>
      </w:r>
      <w:r>
        <w:t xml:space="preserve"> </w:t>
      </w:r>
      <w:hyperlink r:id="rId288">
        <w:r>
          <w:rPr>
            <w:rStyle w:val="Hyperlink"/>
          </w:rPr>
          <w:t xml:space="preserve">https://www.imf.org/en/publications/weo</w:t>
        </w:r>
      </w:hyperlink>
      <w:r>
        <w:t xml:space="preserve">.</w:t>
      </w:r>
      <w:r>
        <w:t xml:space="preserve"> </w:t>
      </w:r>
      <w:r>
        <w:t xml:space="preserve">Retrieved September 2026.</w:t>
      </w:r>
      <w:r>
        <w:t xml:space="preserve"> </w:t>
      </w:r>
      <w:r>
        <w:t xml:space="preserve">Klemperer, P. (1987).</w:t>
      </w:r>
      <w:r>
        <w:t xml:space="preserve"> </w:t>
      </w:r>
      <w:r>
        <w:t xml:space="preserve">Markets with consumer switching costs.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102</w:t>
      </w:r>
      <w:r>
        <w:t xml:space="preserve">(2), 375–394.</w:t>
      </w:r>
    </w:p>
    <w:p>
      <w:pPr>
        <w:pStyle w:val="BodyText"/>
      </w:pPr>
      <w:r>
        <w:t xml:space="preserve">Klein, B., Crawford, R. G., &amp; Alchian, A. A. (1978).</w:t>
      </w:r>
      <w:r>
        <w:t xml:space="preserve"> </w:t>
      </w:r>
      <w:r>
        <w:t xml:space="preserve">Vertical integration, appropriable rents, and the competitive contracting process.</w:t>
      </w:r>
      <w:r>
        <w:t xml:space="preserve"> </w:t>
      </w:r>
      <w:r>
        <w:rPr>
          <w:i/>
          <w:iCs/>
        </w:rPr>
        <w:t xml:space="preserve">Journal of Law and Economics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(2), 297–326.</w:t>
      </w:r>
      <w:r>
        <w:t xml:space="preserve"> </w:t>
      </w:r>
      <w:r>
        <w:t xml:space="preserve">Korinek, A., &amp; Vipra, J. (2025).</w:t>
      </w:r>
      <w:r>
        <w:t xml:space="preserve"> </w:t>
      </w:r>
      <w:r>
        <w:t xml:space="preserve">Concentrating intelligence: scaling and market structure in artificial intelligence.</w:t>
      </w:r>
      <w:r>
        <w:t xml:space="preserve"> </w:t>
      </w:r>
      <w:r>
        <w:rPr>
          <w:i/>
          <w:iCs/>
        </w:rPr>
        <w:t xml:space="preserve">Economic Policy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(121), 225–256.</w:t>
      </w:r>
    </w:p>
    <w:p>
      <w:pPr>
        <w:pStyle w:val="BodyText"/>
      </w:pPr>
      <w:r>
        <w:t xml:space="preserve">Krämer, J., Senellart, P., &amp; de Streel, A. (2020).</w:t>
      </w:r>
      <w:r>
        <w:t xml:space="preserve"> </w:t>
      </w:r>
      <w:r>
        <w:t xml:space="preserve">Making data portability more effective for the digital economy.</w:t>
      </w:r>
      <w:r>
        <w:t xml:space="preserve"> </w:t>
      </w:r>
      <w:r>
        <w:t xml:space="preserve">CERRE report, June 2020.</w:t>
      </w:r>
    </w:p>
    <w:p>
      <w:pPr>
        <w:pStyle w:val="BodyText"/>
      </w:pPr>
      <w:r>
        <w:t xml:space="preserve">Lipsey, R. G., &amp; Lancaster, K. (1956).</w:t>
      </w:r>
      <w:r>
        <w:t xml:space="preserve"> </w:t>
      </w:r>
      <w:r>
        <w:t xml:space="preserve">The general theory of second best.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(1), 11–32.</w:t>
      </w:r>
    </w:p>
    <w:p>
      <w:pPr>
        <w:pStyle w:val="BodyText"/>
      </w:pPr>
      <w:r>
        <w:t xml:space="preserve">Noy, S., &amp; Zhang, W. (2023).</w:t>
      </w:r>
      <w:r>
        <w:t xml:space="preserve"> </w:t>
      </w:r>
      <w:r>
        <w:t xml:space="preserve">Experimental evidence on the productivity effects of generative AI.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381</w:t>
      </w:r>
      <w:r>
        <w:t xml:space="preserve">, 187–192.</w:t>
      </w:r>
    </w:p>
    <w:p>
      <w:pPr>
        <w:pStyle w:val="BodyText"/>
      </w:pPr>
      <w:r>
        <w:t xml:space="preserve">Ofek, E., &amp; Richardson, M. (2003).</w:t>
      </w:r>
      <w:r>
        <w:t xml:space="preserve"> </w:t>
      </w:r>
      <w:r>
        <w:t xml:space="preserve">DotCom mania: The rise and fall of Internet stock prices.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</w:t>
      </w:r>
      <w:r>
        <w:t xml:space="preserve"> </w:t>
      </w:r>
      <w:r>
        <w:rPr>
          <w:i/>
          <w:iCs/>
        </w:rPr>
        <w:t xml:space="preserve">58</w:t>
      </w:r>
      <w:r>
        <w:t xml:space="preserve">(3), 1113–1137.</w:t>
      </w:r>
    </w:p>
    <w:p>
      <w:pPr>
        <w:pStyle w:val="BodyText"/>
      </w:pPr>
      <w:r>
        <w:t xml:space="preserve">Phillips, P. C. B., Wu, Y., &amp; Yu, J. (2011).</w:t>
      </w:r>
      <w:r>
        <w:t xml:space="preserve"> </w:t>
      </w:r>
      <w:r>
        <w:t xml:space="preserve">Explosive behavior in the 1990s Nasdaq: When did exuberance escalate asset values?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52</w:t>
      </w:r>
      <w:r>
        <w:t xml:space="preserve">(1), 201–226.</w:t>
      </w:r>
    </w:p>
    <w:p>
      <w:pPr>
        <w:pStyle w:val="BodyText"/>
      </w:pPr>
      <w:r>
        <w:t xml:space="preserve">Phillips, P. C. B., Shi, S., &amp; Yu, J. (2015).</w:t>
      </w:r>
      <w:r>
        <w:t xml:space="preserve"> </w:t>
      </w:r>
      <w:r>
        <w:t xml:space="preserve">Testing for multiple bubbles.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56</w:t>
      </w:r>
      <w:r>
        <w:t xml:space="preserve">(4), 1043–1078.</w:t>
      </w:r>
      <w:r>
        <w:t xml:space="preserve"> </w:t>
      </w:r>
      <w:r>
        <w:t xml:space="preserve">PwC. (2026).</w:t>
      </w:r>
      <w:r>
        <w:t xml:space="preserve"> </w:t>
      </w:r>
      <w:r>
        <w:rPr>
          <w:i/>
          <w:iCs/>
        </w:rPr>
        <w:t xml:space="preserve">Global Data Center Outlook 2026–50</w:t>
      </w:r>
      <w:r>
        <w:t xml:space="preserve"> </w:t>
      </w:r>
      <w:r>
        <w:t xml:space="preserve">(Oxford Economics modeling;</w:t>
      </w:r>
      <w:r>
        <w:t xml:space="preserve"> </w:t>
      </w:r>
      <w:r>
        <w:t xml:space="preserve">released September 2, 2026): $31.6T central cumulative data-center capex</w:t>
      </w:r>
      <w:r>
        <w:t xml:space="preserve"> </w:t>
      </w:r>
      <w:r>
        <w:t xml:space="preserve">($800B in 2026 to $1.1T in 2030 to $1.8T in 2050; US $15.1T).</w:t>
      </w:r>
      <w:r>
        <w:t xml:space="preserve"> </w:t>
      </w:r>
      <w:r>
        <w:t xml:space="preserve">Reported in Data Center Frontier. Available at</w:t>
      </w:r>
      <w:r>
        <w:t xml:space="preserve"> </w:t>
      </w:r>
      <w:hyperlink r:id="rId289">
        <w:r>
          <w:rPr>
            <w:rStyle w:val="Hyperlink"/>
          </w:rPr>
          <w:t xml:space="preserve">https://www.datacenterfrontier.com/machine-learning/article/55403120/pwc-maps-316-trillion-ai-data-center-buildout-through-2050</w:t>
        </w:r>
      </w:hyperlink>
      <w:r>
        <w:t xml:space="preserve">.</w:t>
      </w:r>
      <w:r>
        <w:t xml:space="preserve"> </w:t>
      </w:r>
      <w:r>
        <w:t xml:space="preserve">Retrieved September 2026.</w:t>
      </w:r>
    </w:p>
    <w:p>
      <w:pPr>
        <w:pStyle w:val="BodyText"/>
      </w:pPr>
      <w:r>
        <w:t xml:space="preserve">Scherer, F. M., &amp; Ross, D. (1990).</w:t>
      </w:r>
      <w:r>
        <w:t xml:space="preserve"> </w:t>
      </w:r>
      <w:r>
        <w:rPr>
          <w:i/>
          <w:iCs/>
        </w:rPr>
        <w:t xml:space="preserve">Industrial market structure and economic performance</w:t>
      </w:r>
      <w:r>
        <w:t xml:space="preserve"> </w:t>
      </w:r>
      <w:r>
        <w:t xml:space="preserve">(3rd ed.).</w:t>
      </w:r>
      <w:r>
        <w:t xml:space="preserve"> </w:t>
      </w:r>
      <w:r>
        <w:t xml:space="preserve">Houghton Mifflin.</w:t>
      </w:r>
    </w:p>
    <w:p>
      <w:pPr>
        <w:pStyle w:val="BodyText"/>
      </w:pPr>
      <w:r>
        <w:t xml:space="preserve">Shapiro, C., &amp; Varian, H. R. (1999).</w:t>
      </w:r>
      <w:r>
        <w:t xml:space="preserve"> </w:t>
      </w:r>
      <w:r>
        <w:rPr>
          <w:i/>
          <w:iCs/>
        </w:rPr>
        <w:t xml:space="preserve">Information rules</w:t>
      </w:r>
      <w:r>
        <w:t xml:space="preserve">.</w:t>
      </w:r>
      <w:r>
        <w:t xml:space="preserve"> </w:t>
      </w:r>
      <w:r>
        <w:t xml:space="preserve">Harvard Business School Press.</w:t>
      </w:r>
    </w:p>
    <w:p>
      <w:pPr>
        <w:pStyle w:val="BodyText"/>
      </w:pPr>
      <w:r>
        <w:t xml:space="preserve">Shleifer, A., &amp; Vishny, R. W. (1992).</w:t>
      </w:r>
      <w:r>
        <w:t xml:space="preserve"> </w:t>
      </w:r>
      <w:r>
        <w:t xml:space="preserve">Liquidation values and debt capacity: a market equilibrium approach.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(4), 1343–1366.</w:t>
      </w:r>
      <w:r>
        <w:t xml:space="preserve"> </w:t>
      </w:r>
      <w:r>
        <w:t xml:space="preserve">Spence, A. M. (1975).</w:t>
      </w:r>
      <w:r>
        <w:t xml:space="preserve"> </w:t>
      </w:r>
      <w:r>
        <w:t xml:space="preserve">Monopoly, quality, and regulation.</w:t>
      </w:r>
      <w:r>
        <w:t xml:space="preserve"> </w:t>
      </w:r>
      <w:r>
        <w:rPr>
          <w:i/>
          <w:iCs/>
        </w:rPr>
        <w:t xml:space="preserve">Bell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(2), 417–429.</w:t>
      </w:r>
    </w:p>
    <w:p>
      <w:pPr>
        <w:pStyle w:val="BodyText"/>
      </w:pPr>
      <w:r>
        <w:t xml:space="preserve">Sutton, J. (1991).</w:t>
      </w:r>
      <w:r>
        <w:t xml:space="preserve"> </w:t>
      </w:r>
      <w:r>
        <w:rPr>
          <w:i/>
          <w:iCs/>
        </w:rPr>
        <w:t xml:space="preserve">Sunk costs and market structure</w:t>
      </w:r>
      <w:r>
        <w:t xml:space="preserve">.</w:t>
      </w:r>
      <w:r>
        <w:t xml:space="preserve"> </w:t>
      </w:r>
      <w:r>
        <w:t xml:space="preserve">MIT Press.</w:t>
      </w:r>
    </w:p>
    <w:p>
      <w:pPr>
        <w:pStyle w:val="BodyText"/>
      </w:pPr>
      <w:r>
        <w:t xml:space="preserve">Williamson, O. E. (1985).</w:t>
      </w:r>
      <w:r>
        <w:t xml:space="preserve"> </w:t>
      </w:r>
      <w:r>
        <w:rPr>
          <w:i/>
          <w:iCs/>
        </w:rPr>
        <w:t xml:space="preserve">The economic institutions of capitalism: Firms, markets, relational contracting</w:t>
      </w:r>
      <w:r>
        <w:t xml:space="preserve">.</w:t>
      </w:r>
      <w:r>
        <w:t xml:space="preserve"> </w:t>
      </w:r>
      <w:r>
        <w:t xml:space="preserve">Free Press.</w:t>
      </w:r>
    </w:p>
    <w:bookmarkEnd w:id="290"/>
    <w:sectPr w:rsidR="00FC693F" w:rsidRPr="0006063C" w:rsidSect="00034616">
      <w:headerReference r:id="rId9" w:type="default"/>
      <w:footerReference r:id="rId10" w:type="default"/>
      <w:pgSz w:h="15840" w:w="12240"/>
      <w:pgMar w:bottom="1296" w:footer="720" w:gutter="0" w:header="720" w:left="1440" w:right="1440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jc w:val="center"/>
    </w:pPr>
    <w:r>
      <w:rPr>
        <w:i/>
        <w:color w:val="808080"/>
        <w:sz w:val="17"/>
      </w:rPr>
      <w:t>AI Ecosystem Game Theory — Technical Report</w:t>
      <w:tab/>
    </w:r>
    <w:r>
      <w:rPr>
        <w:sz w:val="18"/>
      </w:rPr>
      <w:t xml:space="preserve">Page </w:t>
    </w:r>
    <w:fldSimple w:instr="PAGE">
      <w:r>
        <w:t>1</w:t>
      </w:r>
    </w:fldSimple>
    <w:r>
      <w:rPr>
        <w:sz w:val="18"/>
      </w:rPr>
      <w:t xml:space="preserve"> of </w:t>
    </w:r>
    <w:fldSimple w:instr="NUMPAGES">
      <w:r>
        <w:t>1</w:t>
      </w:r>
    </w:fldSimple>
    <w:r>
      <w:rPr>
        <w:i/>
        <w:color w:val="808080"/>
        <w:sz w:val="17"/>
      </w:rPr>
      <w:tab/>
      <w:t>Q3 2026 (Aug-Sep earnings cycle)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7"/>
      </w:rPr>
      <w:t>AI Ecosystem Game Theory Analysis — Technical Report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Times New Roman" w:hAnsi="Times New Roman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val="2C3E5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val="2C3E5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val="2E86C1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41" Type="http://schemas.openxmlformats.org/officeDocument/2006/relationships/numbering" Target="numbering.xml"/><Relationship Id="rId40" Type="http://schemas.openxmlformats.org/officeDocument/2006/relationships/styles" Target="styles.xml"/><Relationship Id="rId39" Type="http://schemas.openxmlformats.org/officeDocument/2006/relationships/settings" Target="settings.xml"/><Relationship Id="rId38" Type="http://schemas.openxmlformats.org/officeDocument/2006/relationships/webSettings" Target="webSettings.xml"/><Relationship Id="rId37" Type="http://schemas.openxmlformats.org/officeDocument/2006/relationships/fontTable" Target="fontTable.xml"/><Relationship Id="rId36" Type="http://schemas.openxmlformats.org/officeDocument/2006/relationships/theme" Target="theme/theme1.xml"/><Relationship Id="rId35" Type="http://schemas.openxmlformats.org/officeDocument/2006/relationships/footnotes" Target="footnotes.xml"/><Relationship Id="rId34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167" Type="http://schemas.openxmlformats.org/officeDocument/2006/relationships/image" Target="media/rId167.png"/><Relationship Id="rId177" Type="http://schemas.openxmlformats.org/officeDocument/2006/relationships/image" Target="media/rId177.png"/><Relationship Id="rId171" Type="http://schemas.openxmlformats.org/officeDocument/2006/relationships/image" Target="media/rId171.png"/><Relationship Id="rId185" Type="http://schemas.openxmlformats.org/officeDocument/2006/relationships/image" Target="media/rId185.png"/><Relationship Id="rId195" Type="http://schemas.openxmlformats.org/officeDocument/2006/relationships/image" Target="media/rId195.png"/><Relationship Id="rId189" Type="http://schemas.openxmlformats.org/officeDocument/2006/relationships/image" Target="media/rId189.png"/><Relationship Id="rId199" Type="http://schemas.openxmlformats.org/officeDocument/2006/relationships/image" Target="media/rId199.png"/><Relationship Id="rId155" Type="http://schemas.openxmlformats.org/officeDocument/2006/relationships/image" Target="media/rId155.png"/><Relationship Id="rId264" Type="http://schemas.openxmlformats.org/officeDocument/2006/relationships/image" Target="media/rId264.png"/><Relationship Id="rId53" Type="http://schemas.openxmlformats.org/officeDocument/2006/relationships/image" Target="media/rId53.png"/><Relationship Id="rId252" Type="http://schemas.openxmlformats.org/officeDocument/2006/relationships/image" Target="media/rId252.png"/><Relationship Id="rId71" Type="http://schemas.openxmlformats.org/officeDocument/2006/relationships/image" Target="media/rId71.png"/><Relationship Id="rId57" Type="http://schemas.openxmlformats.org/officeDocument/2006/relationships/image" Target="media/rId57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95" Type="http://schemas.openxmlformats.org/officeDocument/2006/relationships/image" Target="media/rId95.png"/><Relationship Id="rId151" Type="http://schemas.openxmlformats.org/officeDocument/2006/relationships/image" Target="media/rId151.png"/><Relationship Id="rId181" Type="http://schemas.openxmlformats.org/officeDocument/2006/relationships/image" Target="media/rId181.png"/><Relationship Id="rId211" Type="http://schemas.openxmlformats.org/officeDocument/2006/relationships/image" Target="media/rId211.png"/><Relationship Id="rId257" Type="http://schemas.openxmlformats.org/officeDocument/2006/relationships/image" Target="media/rId257.png"/><Relationship Id="rId115" Type="http://schemas.openxmlformats.org/officeDocument/2006/relationships/image" Target="media/rId115.png"/><Relationship Id="rId145" Type="http://schemas.openxmlformats.org/officeDocument/2006/relationships/image" Target="media/rId145.png"/><Relationship Id="rId238" Type="http://schemas.openxmlformats.org/officeDocument/2006/relationships/image" Target="media/rId238.png"/><Relationship Id="rId65" Type="http://schemas.openxmlformats.org/officeDocument/2006/relationships/image" Target="media/rId65.png"/><Relationship Id="rId119" Type="http://schemas.openxmlformats.org/officeDocument/2006/relationships/image" Target="media/rId119.png"/><Relationship Id="rId242" Type="http://schemas.openxmlformats.org/officeDocument/2006/relationships/image" Target="media/rId242.png"/><Relationship Id="rId105" Type="http://schemas.openxmlformats.org/officeDocument/2006/relationships/image" Target="media/rId105.png"/><Relationship Id="rId100" Type="http://schemas.openxmlformats.org/officeDocument/2006/relationships/image" Target="media/rId100.png"/><Relationship Id="rId45" Type="http://schemas.openxmlformats.org/officeDocument/2006/relationships/image" Target="media/rId45.png"/><Relationship Id="rId123" Type="http://schemas.openxmlformats.org/officeDocument/2006/relationships/image" Target="media/rId123.png"/><Relationship Id="rId231" Type="http://schemas.openxmlformats.org/officeDocument/2006/relationships/image" Target="media/rId2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61" Type="http://schemas.openxmlformats.org/officeDocument/2006/relationships/image" Target="media/rId61.png"/><Relationship Id="rId227" Type="http://schemas.openxmlformats.org/officeDocument/2006/relationships/image" Target="media/rId227.png"/><Relationship Id="rId109" Type="http://schemas.openxmlformats.org/officeDocument/2006/relationships/image" Target="media/rId109.png"/><Relationship Id="rId159" Type="http://schemas.openxmlformats.org/officeDocument/2006/relationships/image" Target="media/rId159.png"/><Relationship Id="rId75" Type="http://schemas.openxmlformats.org/officeDocument/2006/relationships/image" Target="media/rId75.png"/><Relationship Id="rId131" Type="http://schemas.openxmlformats.org/officeDocument/2006/relationships/image" Target="media/rId131.png"/><Relationship Id="rId127" Type="http://schemas.openxmlformats.org/officeDocument/2006/relationships/image" Target="media/rId127.png"/><Relationship Id="rId247" Type="http://schemas.openxmlformats.org/officeDocument/2006/relationships/image" Target="media/rId247.png"/><Relationship Id="rId90" Type="http://schemas.openxmlformats.org/officeDocument/2006/relationships/image" Target="media/rId90.png"/><Relationship Id="rId268" Type="http://schemas.openxmlformats.org/officeDocument/2006/relationships/image" Target="media/rId268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219" Type="http://schemas.openxmlformats.org/officeDocument/2006/relationships/image" Target="media/rId219.png"/><Relationship Id="rId215" Type="http://schemas.openxmlformats.org/officeDocument/2006/relationships/image" Target="media/rId215.png"/><Relationship Id="rId280" Type="http://schemas.openxmlformats.org/officeDocument/2006/relationships/hyperlink" Target="https://data.europa.eu/doi/10.2763/407537" TargetMode="External"/><Relationship Id="rId281" Type="http://schemas.openxmlformats.org/officeDocument/2006/relationships/hyperlink" Target="https://ec.europa.eu/competition/publications/reports/kd0419345enn.pdf" TargetMode="External"/><Relationship Id="rId283" Type="http://schemas.openxmlformats.org/officeDocument/2006/relationships/hyperlink" Target="https://eur-lex.europa.eu/eli/reg/2022/1925" TargetMode="External"/><Relationship Id="rId275" Type="http://schemas.openxmlformats.org/officeDocument/2006/relationships/hyperlink" Target="https://github.com/ranjithvijik/airesearch" TargetMode="External"/><Relationship Id="rId287" Type="http://schemas.openxmlformats.org/officeDocument/2006/relationships/hyperlink" Target="https://moneywise.com/news/economy/imf-ai-debt-leverage-data-centers-2026" TargetMode="External"/><Relationship Id="rId282" Type="http://schemas.openxmlformats.org/officeDocument/2006/relationships/hyperlink" Target="https://pages.stern.nyu.edu/~adamodar/" TargetMode="External"/><Relationship Id="rId277" Type="http://schemas.openxmlformats.org/officeDocument/2006/relationships/hyperlink" Target="https://www.bea.gov" TargetMode="External"/><Relationship Id="rId278" Type="http://schemas.openxmlformats.org/officeDocument/2006/relationships/hyperlink" Target="https://www.bis.org/publ/arpdf/ar2026e1.pdf" TargetMode="External"/><Relationship Id="rId279" Type="http://schemas.openxmlformats.org/officeDocument/2006/relationships/hyperlink" Target="https://www.cbo.gov/system/files/2022-07/hr4346_chip.pdf" TargetMode="External"/><Relationship Id="rId289" Type="http://schemas.openxmlformats.org/officeDocument/2006/relationships/hyperlink" Target="https://www.datacenterfrontier.com/machine-learning/article/55403120/pwc-maps-316-trillion-ai-data-center-buildout-through-2050" TargetMode="External"/><Relationship Id="rId284" Type="http://schemas.openxmlformats.org/officeDocument/2006/relationships/hyperlink" Target="https://www.ftc.gov/news-events/news/press-releases/2025/01/ftc-issues-staff-report-ai-partnerships-investments-study" TargetMode="External"/><Relationship Id="rId285" Type="http://schemas.openxmlformats.org/officeDocument/2006/relationships/hyperlink" Target="https://www.ftc.gov/system/files/ftc_gov/pdf/p246201_aipartnerships6breport_redacted.pdf" TargetMode="External"/><Relationship Id="rId286" Type="http://schemas.openxmlformats.org/officeDocument/2006/relationships/hyperlink" Target="https://www.iea.org/reports/electricity-2026/demand" TargetMode="External"/><Relationship Id="rId288" Type="http://schemas.openxmlformats.org/officeDocument/2006/relationships/hyperlink" Target="https://www.imf.org/en/publications/weo" TargetMode="External"/></Relationships>
</file>

<file path=word/_rels/footnotes.xml.rels><?xml version='1.0' encoding='UTF-8' standalone='yes'?>
<Relationships xmlns="http://schemas.openxmlformats.org/package/2006/relationships"><Relationship Id="rId280" Type="http://schemas.openxmlformats.org/officeDocument/2006/relationships/hyperlink" Target="https://data.europa.eu/doi/10.2763/407537" TargetMode="External"/><Relationship Id="rId281" Type="http://schemas.openxmlformats.org/officeDocument/2006/relationships/hyperlink" Target="https://ec.europa.eu/competition/publications/reports/kd0419345enn.pdf" TargetMode="External"/><Relationship Id="rId283" Type="http://schemas.openxmlformats.org/officeDocument/2006/relationships/hyperlink" Target="https://eur-lex.europa.eu/eli/reg/2022/1925" TargetMode="External"/><Relationship Id="rId275" Type="http://schemas.openxmlformats.org/officeDocument/2006/relationships/hyperlink" Target="https://github.com/ranjithvijik/airesearch" TargetMode="External"/><Relationship Id="rId287" Type="http://schemas.openxmlformats.org/officeDocument/2006/relationships/hyperlink" Target="https://moneywise.com/news/economy/imf-ai-debt-leverage-data-centers-2026" TargetMode="External"/><Relationship Id="rId282" Type="http://schemas.openxmlformats.org/officeDocument/2006/relationships/hyperlink" Target="https://pages.stern.nyu.edu/~adamodar/" TargetMode="External"/><Relationship Id="rId277" Type="http://schemas.openxmlformats.org/officeDocument/2006/relationships/hyperlink" Target="https://www.bea.gov" TargetMode="External"/><Relationship Id="rId278" Type="http://schemas.openxmlformats.org/officeDocument/2006/relationships/hyperlink" Target="https://www.bis.org/publ/arpdf/ar2026e1.pdf" TargetMode="External"/><Relationship Id="rId279" Type="http://schemas.openxmlformats.org/officeDocument/2006/relationships/hyperlink" Target="https://www.cbo.gov/system/files/2022-07/hr4346_chip.pdf" TargetMode="External"/><Relationship Id="rId289" Type="http://schemas.openxmlformats.org/officeDocument/2006/relationships/hyperlink" Target="https://www.datacenterfrontier.com/machine-learning/article/55403120/pwc-maps-316-trillion-ai-data-center-buildout-through-2050" TargetMode="External"/><Relationship Id="rId284" Type="http://schemas.openxmlformats.org/officeDocument/2006/relationships/hyperlink" Target="https://www.ftc.gov/news-events/news/press-releases/2025/01/ftc-issues-staff-report-ai-partnerships-investments-study" TargetMode="External"/><Relationship Id="rId285" Type="http://schemas.openxmlformats.org/officeDocument/2006/relationships/hyperlink" Target="https://www.ftc.gov/system/files/ftc_gov/pdf/p246201_aipartnerships6breport_redacted.pdf" TargetMode="External"/><Relationship Id="rId286" Type="http://schemas.openxmlformats.org/officeDocument/2006/relationships/hyperlink" Target="https://www.iea.org/reports/electricity-2026/demand" TargetMode="External"/><Relationship Id="rId288" Type="http://schemas.openxmlformats.org/officeDocument/2006/relationships/hyperlink" Target="https://www.imf.org/en/publications/w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 Capital in the Artificial Intelligence Stack: A Game-Theoretic Analysis of Market Power, Financial Fragility, and Welfare</dc:title>
  <dc:creator>Ranjith Keerikkattil University of Baltimore, Merrick School of Business</dc:creator>
  <cp:keywords/>
  <dcterms:created xsi:type="dcterms:W3CDTF">2026-09-29T02:46:08Z</dcterms:created>
  <dcterms:modified xsi:type="dcterms:W3CDTF">2026-09-29T02:46:08Z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2024–2026 artificial-intelligence investment boom exhibits the financing structure that preceded previous round-trip busts: dense, committed circular capital in which upstream investment returns downstream as contracted compute spend, measured here at $675.40 billion across 17 committed contracts. This architecture concentrates burst incidence upstream. While bubble indicators peak at \sim83% among frontier labs where valuations have detached from revenue, credit markets already price stack leverage through a record single-name CDS spread (215 bp) and downgrade. Six solved bilateral games reveal an aggregate deadweight loss of $416.77 billion (71.28% efficiency), with non-cooperation binding in the Hardware–Cloud bottleneck. Consequently, a severe repricing destroys \sim$239 billion of Hardware and \sim$133 billion of Cloud value first, transmitting a \sim$139 billion loss (\sim0.45% of GDP) to the U.S. economy via capex and wealth channels. This loss hierarchy is structural: it survives 16 parameter extremes and 300 joint Monte Carlo draws, and reproduces the historical loss order when applied blind to 2006–07 pre-crisis inputs from the 2008 Global Financial Crisis. By benefit–cost ratio, optimal policy sequencing prioritizes contract disclosure and lending caps. Three empirical triggers would cancel the forecast if observed.Keywords: artificial intelligence; financial bubbles; circular dealing; vendor financing; game theory; burst prediction; financial stability; competition policy.JEL codes: D43, G01, G12, G14, L13, L41, E44, O33.</vt:lpwstr>
  </property>
  <property fmtid="{D5CDD505-2E9C-101B-9397-08002B2CF9AE}" pid="3" name="date">
    <vt:lpwstr>September 2026</vt:lpwstr>
  </property>
</Properties>
</file>