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40"/>
        <w:jc w:val="center"/>
      </w:pPr>
      <w:r>
        <w:rPr>
          <w:b/>
          <w:i w:val="0"/>
          <w:color w:val="2C3E50"/>
          <w:sz w:val="52"/>
        </w:rPr>
        <w:t>AI ECOSYSTEM GAME THEORY ANALYSIS</w:t>
      </w:r>
    </w:p>
    <w:p>
      <w:pPr>
        <w:spacing w:after="360"/>
        <w:jc w:val="center"/>
      </w:pPr>
      <w:r>
        <w:rPr>
          <w:b w:val="0"/>
          <w:i/>
          <w:color w:val="2E86C1"/>
          <w:sz w:val="32"/>
        </w:rPr>
        <w:t>Market Structure, Strategic Interaction, and Welfare</w:t>
      </w:r>
    </w:p>
    <w:p>
      <w:pPr>
        <w:spacing w:after="240"/>
        <w:jc w:val="center"/>
      </w:pPr>
      <w:r>
        <w:rPr>
          <w:b/>
          <w:i w:val="0"/>
          <w:sz w:val="28"/>
        </w:rPr>
        <w:t>Technical &amp; Validation Report</w:t>
      </w:r>
    </w:p>
    <w:p>
      <w:pPr>
        <w:spacing w:after="480"/>
        <w:jc w:val="center"/>
      </w:pPr>
      <w:r>
        <w:rPr>
          <w:b/>
          <w:i w:val="0"/>
          <w:color w:val="2C3E50"/>
          <w:sz w:val="26"/>
        </w:rPr>
        <w:t>Ranjith Keerikkattil</w:t>
      </w:r>
    </w:p>
    <w:tbl>
      <w:tblPr>
        <w:tblStyle w:val="TableGrid"/>
        <w:tblW w:type="auto" w:w="0"/>
        <w:tblLook w:firstColumn="1" w:firstRow="1" w:lastColumn="0" w:lastRow="0" w:noHBand="0" w:noVBand="1" w:val="04A0"/>
      </w:tblPr>
      <w:tblGrid>
        <w:gridCol w:w="4680"/>
        <w:gridCol w:w="4680"/>
      </w:tblGrid>
      <w:tr>
        <w:tc>
          <w:tcPr>
            <w:tcW w:type="dxa" w:w="4680"/>
            <w:shd w:val="clear" w:color="auto" w:fill="EDF1F5"/>
          </w:tcPr>
          <w:p>
            <w:r/>
            <w:r>
              <w:rPr>
                <w:b/>
                <w:sz w:val="20"/>
              </w:rPr>
              <w:t>Report date</w:t>
            </w:r>
          </w:p>
        </w:tc>
        <w:tc>
          <w:tcPr>
            <w:tcW w:type="dxa" w:w="4680"/>
          </w:tcPr>
          <w:p>
            <w:r/>
            <w:r>
              <w:rPr>
                <w:sz w:val="20"/>
              </w:rPr>
              <w:t>September 28, 2026</w:t>
            </w:r>
          </w:p>
        </w:tc>
      </w:tr>
      <w:tr>
        <w:tc>
          <w:tcPr>
            <w:tcW w:type="dxa" w:w="4680"/>
            <w:shd w:val="clear" w:color="auto" w:fill="EDF1F5"/>
          </w:tcPr>
          <w:p>
            <w:r/>
            <w:r>
              <w:rPr>
                <w:b/>
                <w:sz w:val="20"/>
              </w:rPr>
              <w:t>Data vintage</w:t>
            </w:r>
          </w:p>
        </w:tc>
        <w:tc>
          <w:tcPr>
            <w:tcW w:type="dxa" w:w="4680"/>
          </w:tcPr>
          <w:p>
            <w:r/>
            <w:r>
              <w:rPr>
                <w:sz w:val="20"/>
              </w:rPr>
              <w:t>Q3 2026 (Aug-Sep earnings cycle)</w:t>
            </w:r>
          </w:p>
        </w:tc>
      </w:tr>
      <w:tr>
        <w:tc>
          <w:tcPr>
            <w:tcW w:type="dxa" w:w="4680"/>
            <w:shd w:val="clear" w:color="auto" w:fill="EDF1F5"/>
          </w:tcPr>
          <w:p>
            <w:r/>
            <w:r>
              <w:rPr>
                <w:b/>
                <w:sz w:val="20"/>
              </w:rPr>
              <w:t>Data module version</w:t>
            </w:r>
          </w:p>
        </w:tc>
        <w:tc>
          <w:tcPr>
            <w:tcW w:type="dxa" w:w="4680"/>
          </w:tcPr>
          <w:p>
            <w:r/>
            <w:r>
              <w:rPr>
                <w:sz w:val="20"/>
              </w:rPr>
              <w:t>v10.0</w:t>
            </w:r>
          </w:p>
        </w:tc>
      </w:tr>
      <w:tr>
        <w:tc>
          <w:tcPr>
            <w:tcW w:type="dxa" w:w="4680"/>
            <w:shd w:val="clear" w:color="auto" w:fill="EDF1F5"/>
          </w:tcPr>
          <w:p>
            <w:r/>
            <w:r>
              <w:rPr>
                <w:b/>
                <w:sz w:val="20"/>
              </w:rPr>
              <w:t>Script</w:t>
            </w:r>
          </w:p>
        </w:tc>
        <w:tc>
          <w:tcPr>
            <w:tcW w:type="dxa" w:w="4680"/>
          </w:tcPr>
          <w:p>
            <w:r/>
            <w:r>
              <w:rPr>
                <w:sz w:val="20"/>
              </w:rPr>
              <w:t>ai_ecosystem_model.py (11,507 lines; V8.0)</w:t>
            </w:r>
          </w:p>
        </w:tc>
      </w:tr>
      <w:tr>
        <w:tc>
          <w:tcPr>
            <w:tcW w:type="dxa" w:w="4680"/>
            <w:shd w:val="clear" w:color="auto" w:fill="EDF1F5"/>
          </w:tcPr>
          <w:p>
            <w:r/>
            <w:r>
              <w:rPr>
                <w:b/>
                <w:sz w:val="20"/>
              </w:rPr>
              <w:t>Analysis engine</w:t>
            </w:r>
          </w:p>
        </w:tc>
        <w:tc>
          <w:tcPr>
            <w:tcW w:type="dxa" w:w="4680"/>
          </w:tcPr>
          <w:p>
            <w:r/>
            <w:r>
              <w:rPr>
                <w:sz w:val="20"/>
              </w:rPr>
              <w:t>ai_ecosystem_model.py embedded data + analysis classes (recomputed for this report)</w:t>
            </w:r>
          </w:p>
        </w:tc>
      </w:tr>
      <w:tr>
        <w:tc>
          <w:tcPr>
            <w:tcW w:type="dxa" w:w="4680"/>
            <w:shd w:val="clear" w:color="auto" w:fill="EDF1F5"/>
          </w:tcPr>
          <w:p>
            <w:r/>
            <w:r>
              <w:rPr>
                <w:b/>
                <w:sz w:val="20"/>
              </w:rPr>
              <w:t>Scope</w:t>
            </w:r>
          </w:p>
        </w:tc>
        <w:tc>
          <w:tcPr>
            <w:tcW w:type="dxa" w:w="4680"/>
          </w:tcPr>
          <w:p>
            <w:r/>
            <w:r>
              <w:rPr>
                <w:sz w:val="20"/>
              </w:rPr>
              <w:t>4 player archetypes · 6 bilateral games · circular-deals &amp; welfare analysis</w:t>
            </w:r>
          </w:p>
        </w:tc>
      </w:tr>
      <w:tr>
        <w:tc>
          <w:tcPr>
            <w:tcW w:type="dxa" w:w="4680"/>
            <w:shd w:val="clear" w:color="auto" w:fill="EDF1F5"/>
          </w:tcPr>
          <w:p>
            <w:r/>
            <w:r>
              <w:rPr>
                <w:b/>
                <w:sz w:val="20"/>
              </w:rPr>
              <w:t>Units</w:t>
            </w:r>
          </w:p>
        </w:tc>
        <w:tc>
          <w:tcPr>
            <w:tcW w:type="dxa" w:w="4680"/>
          </w:tcPr>
          <w:p>
            <w:r/>
            <w:r>
              <w:rPr>
                <w:sz w:val="20"/>
              </w:rPr>
              <w:t>Monetary values in $B unless noted; September 2026 vintage</w:t>
            </w:r>
          </w:p>
        </w:tc>
      </w:tr>
    </w:tbl>
    <w:p>
      <w:pPr>
        <w:spacing w:after="0"/>
      </w:pPr>
    </w:p>
    <w:p>
      <w:pPr>
        <w:spacing w:after="120"/>
        <w:jc w:val="center"/>
      </w:pPr>
      <w:r>
        <w:rPr>
          <w:b/>
          <w:i w:val="0"/>
          <w:color w:val="2C3E50"/>
          <w:sz w:val="24"/>
        </w:rPr>
        <w:t>WORKING PAPER</w:t>
      </w:r>
    </w:p>
    <w:p>
      <w:pPr>
        <w:spacing w:after="120"/>
        <w:jc w:val="center"/>
      </w:pPr>
      <w:r>
        <w:rPr>
          <w:b w:val="0"/>
          <w:i/>
          <w:color w:val="606060"/>
          <w:sz w:val="18"/>
        </w:rPr>
        <w:t>Prepared for journal submission. All market figures are dated Q2/Q3 2026 and cross-validated from primary sources (company filings, SEC, tier-1 financial media).</w:t>
      </w:r>
    </w:p>
    <w:p>
      <w:r>
        <w:br w:type="page"/>
      </w:r>
    </w:p>
    <w:p>
      <w:pPr>
        <w:pStyle w:val="Heading1"/>
      </w:pPr>
      <w:r>
        <w:t>Abstract</w:t>
      </w:r>
    </w:p>
    <w:p>
      <w:pPr>
        <w:spacing w:after="120"/>
      </w:pPr>
      <w:r>
        <w:rPr>
          <w:b w:val="0"/>
          <w:i w:val="0"/>
          <w:sz w:val="22"/>
        </w:rPr>
        <w:t>This paper presents a computational analysis of strategic interaction in the artificial-intelligence ecosystem through game theory, welfare economics, and market-concentration analysis. Four player archetypes — Hardware, Cloud Providers, Foundation Models, and LLM Wrappers, with aggregate revenue of $1,034.5B (Q2/Q3 2026 vintage) — interact as six bilateral 2×2 games solved for pure-strategy Nash equilibria by best-response analysis, with welfare measured against the joint-surplus maximum (Kaldor–Hicks benchmark).</w:t>
      </w:r>
    </w:p>
    <w:p>
      <w:pPr>
        <w:spacing w:after="120"/>
      </w:pPr>
      <w:r>
        <w:rPr>
          <w:b w:val="0"/>
          <w:i w:val="0"/>
          <w:sz w:val="22"/>
        </w:rPr>
        <w:t>The market is highly concentrated (HHI 3,851, CR4 100.0%). Aggregate welfare at the Nash outcome is $1,034.5B against a potential $1,451.3B — a deadweight loss of $416.8B (71.3% efficiency). The core Hardware–Cloud Providers game is a distributive obstruction: the Nash outcome differs from a joint-surplus maximum that requires compensating transfers; equilibrium stability and policy scenarios are evaluated with Monte-Carlo simulation and sensitivity analysis, and every figure and table below is an artifact of the ai_ecosystem_model.py run_pipeline, re-verified by this generator.</w:t>
      </w:r>
    </w:p>
    <w:p>
      <w:pPr>
        <w:spacing w:after="120"/>
      </w:pPr>
      <w:r>
        <w:rPr>
          <w:b w:val="0"/>
          <w:i/>
          <w:sz w:val="20"/>
        </w:rPr>
        <w:t>Keywords: game theory; Nash equilibrium; deadweight loss; market concentration; HHI; Lerner index; Monte Carlo; AI ecosystem; antitrust; interoperability.</w:t>
      </w:r>
    </w:p>
    <w:p>
      <w:r>
        <w:br w:type="page"/>
      </w:r>
    </w:p>
    <w:p>
      <w:pPr>
        <w:pStyle w:val="Heading1"/>
      </w:pPr>
      <w:r>
        <w:t>Contents</w:t>
      </w:r>
    </w:p>
    <w:p>
      <w:fldSimple w:instr="TOC \o &quot;1-2&quot; \h \z \u">
        <w:r>
          <w:t>1</w:t>
        </w:r>
      </w:fldSimple>
    </w:p>
    <w:p>
      <w:pPr>
        <w:spacing w:after="120"/>
      </w:pPr>
      <w:r>
        <w:rPr>
          <w:b w:val="0"/>
          <w:i/>
          <w:color w:val="808080"/>
          <w:sz w:val="17"/>
        </w:rPr>
        <w:t>If the table of contents does not display, select it and press F9 in Word (or set Tools → Options → Print → Update fields).</w:t>
      </w:r>
    </w:p>
    <w:p>
      <w:r>
        <w:br w:type="page"/>
      </w:r>
    </w:p>
    <w:p>
      <w:pPr>
        <w:pStyle w:val="Heading1"/>
      </w:pPr>
      <w:r>
        <w:t>List of Tables</w:t>
      </w:r>
    </w:p>
    <w:tbl>
      <w:tblPr>
        <w:tblStyle w:val="TableGrid"/>
        <w:tblW w:type="auto" w:w="0"/>
        <w:jc w:val="center"/>
        <w:tblLook w:firstColumn="1" w:firstRow="1" w:lastColumn="0" w:lastRow="0" w:noHBand="0" w:noVBand="1" w:val="04A0"/>
      </w:tblPr>
      <w:tblGrid>
        <w:gridCol w:w="4320"/>
        <w:gridCol w:w="4320"/>
      </w:tblGrid>
      <w:tr>
        <w:tc>
          <w:tcPr>
            <w:tcW w:type="dxa" w:w="4320"/>
            <w:tblHeader w:val="true"/>
            <w:shd w:val="clear" w:color="auto" w:fill="2C3E50"/>
          </w:tcPr>
          <w:p>
            <w:pPr>
              <w:jc w:val="center"/>
            </w:pPr>
            <w:r/>
            <w:r>
              <w:rPr>
                <w:b/>
                <w:color w:val="FFFFFF"/>
                <w:sz w:val="20"/>
              </w:rPr>
              <w:t>Table</w:t>
            </w:r>
          </w:p>
        </w:tc>
        <w:tc>
          <w:tcPr>
            <w:tcW w:type="dxa" w:w="4320"/>
            <w:tblHeader w:val="true"/>
            <w:shd w:val="clear" w:color="auto" w:fill="2C3E50"/>
          </w:tcPr>
          <w:p>
            <w:pPr>
              <w:jc w:val="center"/>
            </w:pPr>
            <w:r/>
            <w:r>
              <w:rPr>
                <w:b/>
                <w:color w:val="FFFFFF"/>
                <w:sz w:val="20"/>
              </w:rPr>
              <w:t>Section</w:t>
            </w:r>
          </w:p>
        </w:tc>
      </w:tr>
      <w:tr>
        <w:tc>
          <w:tcPr>
            <w:tcW w:type="dxa" w:w="4320"/>
          </w:tcPr>
          <w:p>
            <w:pPr>
              <w:spacing w:after="0"/>
            </w:pPr>
            <w:r/>
            <w:r>
              <w:rPr>
                <w:sz w:val="19"/>
              </w:rPr>
              <w:t>Exhibit 2.1  Player archetypes and market data (computed by build_technical_report.py)</w:t>
            </w:r>
          </w:p>
        </w:tc>
        <w:tc>
          <w:tcPr>
            <w:tcW w:type="dxa" w:w="4320"/>
          </w:tcPr>
          <w:p>
            <w:pPr>
              <w:spacing w:after="0"/>
            </w:pPr>
            <w:r/>
            <w:r>
              <w:rPr>
                <w:sz w:val="19"/>
              </w:rPr>
              <w:t>Section 2</w:t>
            </w:r>
          </w:p>
        </w:tc>
      </w:tr>
      <w:tr>
        <w:tc>
          <w:tcPr>
            <w:tcW w:type="dxa" w:w="4320"/>
            <w:shd w:val="clear" w:color="auto" w:fill="EDF1F5"/>
          </w:tcPr>
          <w:p>
            <w:pPr>
              <w:spacing w:after="0"/>
            </w:pPr>
            <w:r/>
            <w:r>
              <w:rPr>
                <w:sz w:val="19"/>
              </w:rPr>
              <w:t>Exhibit 2.2  Data sources and macro parameters</w:t>
            </w:r>
          </w:p>
        </w:tc>
        <w:tc>
          <w:tcPr>
            <w:tcW w:type="dxa" w:w="4320"/>
            <w:shd w:val="clear" w:color="auto" w:fill="EDF1F5"/>
          </w:tcPr>
          <w:p>
            <w:pPr>
              <w:spacing w:after="0"/>
            </w:pPr>
            <w:r/>
            <w:r>
              <w:rPr>
                <w:sz w:val="19"/>
              </w:rPr>
              <w:t>Section 2</w:t>
            </w:r>
          </w:p>
        </w:tc>
      </w:tr>
      <w:tr>
        <w:tc>
          <w:tcPr>
            <w:tcW w:type="dxa" w:w="4320"/>
          </w:tcPr>
          <w:p>
            <w:pPr>
              <w:spacing w:after="0"/>
            </w:pPr>
            <w:r/>
            <w:r>
              <w:rPr>
                <w:sz w:val="19"/>
              </w:rPr>
              <w:t>Exhibit 2.6  Literature-to-report mapping (compiled by build_technical_report.py)</w:t>
            </w:r>
          </w:p>
        </w:tc>
        <w:tc>
          <w:tcPr>
            <w:tcW w:type="dxa" w:w="4320"/>
          </w:tcPr>
          <w:p>
            <w:pPr>
              <w:spacing w:after="0"/>
            </w:pPr>
            <w:r/>
            <w:r>
              <w:rPr>
                <w:sz w:val="19"/>
              </w:rPr>
              <w:t>Section 2</w:t>
            </w:r>
          </w:p>
        </w:tc>
      </w:tr>
      <w:tr>
        <w:tc>
          <w:tcPr>
            <w:tcW w:type="dxa" w:w="4320"/>
            <w:shd w:val="clear" w:color="auto" w:fill="EDF1F5"/>
          </w:tcPr>
          <w:p>
            <w:pPr>
              <w:spacing w:after="0"/>
            </w:pPr>
            <w:r/>
            <w:r>
              <w:rPr>
                <w:sz w:val="19"/>
              </w:rPr>
              <w:t>Table 8.5: Assumption Register</w:t>
            </w:r>
          </w:p>
        </w:tc>
        <w:tc>
          <w:tcPr>
            <w:tcW w:type="dxa" w:w="4320"/>
            <w:shd w:val="clear" w:color="auto" w:fill="EDF1F5"/>
          </w:tcPr>
          <w:p>
            <w:pPr>
              <w:spacing w:after="0"/>
            </w:pPr>
            <w:r/>
            <w:r>
              <w:rPr>
                <w:sz w:val="19"/>
              </w:rPr>
              <w:t>Section 2</w:t>
            </w:r>
          </w:p>
        </w:tc>
      </w:tr>
      <w:tr>
        <w:tc>
          <w:tcPr>
            <w:tcW w:type="dxa" w:w="4320"/>
          </w:tcPr>
          <w:p>
            <w:pPr>
              <w:spacing w:after="0"/>
            </w:pPr>
            <w:r/>
            <w:r>
              <w:rPr>
                <w:sz w:val="19"/>
              </w:rPr>
              <w:t>Table 8.6 (excerpt) — Validated inputs register (first 10 of 110 rows)</w:t>
            </w:r>
          </w:p>
        </w:tc>
        <w:tc>
          <w:tcPr>
            <w:tcW w:type="dxa" w:w="4320"/>
          </w:tcPr>
          <w:p>
            <w:pPr>
              <w:spacing w:after="0"/>
            </w:pPr>
            <w:r/>
            <w:r>
              <w:rPr>
                <w:sz w:val="19"/>
              </w:rPr>
              <w:t>Section 2</w:t>
            </w:r>
          </w:p>
        </w:tc>
      </w:tr>
      <w:tr>
        <w:tc>
          <w:tcPr>
            <w:tcW w:type="dxa" w:w="4320"/>
            <w:shd w:val="clear" w:color="auto" w:fill="EDF1F5"/>
          </w:tcPr>
          <w:p>
            <w:pPr>
              <w:spacing w:after="0"/>
            </w:pPr>
            <w:r/>
            <w:r>
              <w:rPr>
                <w:sz w:val="19"/>
              </w:rPr>
              <w:t>Table 2.4: Player Categories</w:t>
            </w:r>
          </w:p>
        </w:tc>
        <w:tc>
          <w:tcPr>
            <w:tcW w:type="dxa" w:w="4320"/>
            <w:shd w:val="clear" w:color="auto" w:fill="EDF1F5"/>
          </w:tcPr>
          <w:p>
            <w:pPr>
              <w:spacing w:after="0"/>
            </w:pPr>
            <w:r/>
            <w:r>
              <w:rPr>
                <w:sz w:val="19"/>
              </w:rPr>
              <w:t>Section 2</w:t>
            </w:r>
          </w:p>
        </w:tc>
      </w:tr>
      <w:tr>
        <w:tc>
          <w:tcPr>
            <w:tcW w:type="dxa" w:w="4320"/>
          </w:tcPr>
          <w:p>
            <w:pPr>
              <w:spacing w:after="0"/>
            </w:pPr>
            <w:r/>
            <w:r>
              <w:rPr>
                <w:sz w:val="19"/>
              </w:rPr>
              <w:t>Table 8.6: Validated Inputs Register</w:t>
            </w:r>
          </w:p>
        </w:tc>
        <w:tc>
          <w:tcPr>
            <w:tcW w:type="dxa" w:w="4320"/>
          </w:tcPr>
          <w:p>
            <w:pPr>
              <w:spacing w:after="0"/>
            </w:pPr>
            <w:r/>
            <w:r>
              <w:rPr>
                <w:sz w:val="19"/>
              </w:rPr>
              <w:t>Section 2</w:t>
            </w:r>
          </w:p>
        </w:tc>
      </w:tr>
      <w:tr>
        <w:tc>
          <w:tcPr>
            <w:tcW w:type="dxa" w:w="4320"/>
            <w:shd w:val="clear" w:color="auto" w:fill="EDF1F5"/>
          </w:tcPr>
          <w:p>
            <w:pPr>
              <w:spacing w:after="0"/>
            </w:pPr>
            <w:r/>
            <w:r>
              <w:rPr>
                <w:sz w:val="19"/>
              </w:rPr>
              <w:t>Exhibit 3.1  Concentration metrics (computed by build_technical_report.py)</w:t>
            </w:r>
          </w:p>
        </w:tc>
        <w:tc>
          <w:tcPr>
            <w:tcW w:type="dxa" w:w="4320"/>
            <w:shd w:val="clear" w:color="auto" w:fill="EDF1F5"/>
          </w:tcPr>
          <w:p>
            <w:pPr>
              <w:spacing w:after="0"/>
            </w:pPr>
            <w:r/>
            <w:r>
              <w:rPr>
                <w:sz w:val="19"/>
              </w:rPr>
              <w:t>Section 3</w:t>
            </w:r>
          </w:p>
        </w:tc>
      </w:tr>
      <w:tr>
        <w:tc>
          <w:tcPr>
            <w:tcW w:type="dxa" w:w="4320"/>
          </w:tcPr>
          <w:p>
            <w:pPr>
              <w:spacing w:after="0"/>
            </w:pPr>
            <w:r/>
            <w:r>
              <w:rPr>
                <w:sz w:val="19"/>
              </w:rPr>
              <w:t>Exhibit 3.2  Market shares (computed by build_technical_report.py)</w:t>
            </w:r>
          </w:p>
        </w:tc>
        <w:tc>
          <w:tcPr>
            <w:tcW w:type="dxa" w:w="4320"/>
          </w:tcPr>
          <w:p>
            <w:pPr>
              <w:spacing w:after="0"/>
            </w:pPr>
            <w:r/>
            <w:r>
              <w:rPr>
                <w:sz w:val="19"/>
              </w:rPr>
              <w:t>Section 3</w:t>
            </w:r>
          </w:p>
        </w:tc>
      </w:tr>
      <w:tr>
        <w:tc>
          <w:tcPr>
            <w:tcW w:type="dxa" w:w="4320"/>
            <w:shd w:val="clear" w:color="auto" w:fill="EDF1F5"/>
          </w:tcPr>
          <w:p>
            <w:pPr>
              <w:spacing w:after="0"/>
            </w:pPr>
            <w:r/>
            <w:r>
              <w:rPr>
                <w:sz w:val="19"/>
              </w:rPr>
              <w:t>Exhibit 3.3  Market power (Lerner-based, computed by build_technical_report.py)</w:t>
            </w:r>
          </w:p>
        </w:tc>
        <w:tc>
          <w:tcPr>
            <w:tcW w:type="dxa" w:w="4320"/>
            <w:shd w:val="clear" w:color="auto" w:fill="EDF1F5"/>
          </w:tcPr>
          <w:p>
            <w:pPr>
              <w:spacing w:after="0"/>
            </w:pPr>
            <w:r/>
            <w:r>
              <w:rPr>
                <w:sz w:val="19"/>
              </w:rPr>
              <w:t>Section 3</w:t>
            </w:r>
          </w:p>
        </w:tc>
      </w:tr>
      <w:tr>
        <w:tc>
          <w:tcPr>
            <w:tcW w:type="dxa" w:w="4320"/>
          </w:tcPr>
          <w:p>
            <w:pPr>
              <w:spacing w:after="0"/>
            </w:pPr>
            <w:r/>
            <w:r>
              <w:rPr>
                <w:sz w:val="19"/>
              </w:rPr>
              <w:t>Table 7.17: Lerner Index &amp; Markup Summary with Uncertainty Bands</w:t>
            </w:r>
          </w:p>
        </w:tc>
        <w:tc>
          <w:tcPr>
            <w:tcW w:type="dxa" w:w="4320"/>
          </w:tcPr>
          <w:p>
            <w:pPr>
              <w:spacing w:after="0"/>
            </w:pPr>
            <w:r/>
            <w:r>
              <w:rPr>
                <w:sz w:val="19"/>
              </w:rPr>
              <w:t>Section 3</w:t>
            </w:r>
          </w:p>
        </w:tc>
      </w:tr>
      <w:tr>
        <w:tc>
          <w:tcPr>
            <w:tcW w:type="dxa" w:w="4320"/>
            <w:shd w:val="clear" w:color="auto" w:fill="EDF1F5"/>
          </w:tcPr>
          <w:p>
            <w:pPr>
              <w:spacing w:after="0"/>
            </w:pPr>
            <w:r/>
            <w:r>
              <w:rPr>
                <w:sz w:val="19"/>
              </w:rPr>
              <w:t>Exhibit 3.4  Gatekeeper index: who the ecosystem cannot route around (ai_ecosystem_model.py diagnostics)</w:t>
            </w:r>
          </w:p>
        </w:tc>
        <w:tc>
          <w:tcPr>
            <w:tcW w:type="dxa" w:w="4320"/>
            <w:shd w:val="clear" w:color="auto" w:fill="EDF1F5"/>
          </w:tcPr>
          <w:p>
            <w:pPr>
              <w:spacing w:after="0"/>
            </w:pPr>
            <w:r/>
            <w:r>
              <w:rPr>
                <w:sz w:val="19"/>
              </w:rPr>
              <w:t>Section 3</w:t>
            </w:r>
          </w:p>
        </w:tc>
      </w:tr>
      <w:tr>
        <w:tc>
          <w:tcPr>
            <w:tcW w:type="dxa" w:w="4320"/>
          </w:tcPr>
          <w:p>
            <w:pPr>
              <w:spacing w:after="0"/>
            </w:pPr>
            <w:r/>
            <w:r>
              <w:rPr>
                <w:sz w:val="19"/>
              </w:rPr>
              <w:t>Table 1.1: Market Structure Metrics</w:t>
            </w:r>
          </w:p>
        </w:tc>
        <w:tc>
          <w:tcPr>
            <w:tcW w:type="dxa" w:w="4320"/>
          </w:tcPr>
          <w:p>
            <w:pPr>
              <w:spacing w:after="0"/>
            </w:pPr>
            <w:r/>
            <w:r>
              <w:rPr>
                <w:sz w:val="19"/>
              </w:rPr>
              <w:t>Section 3</w:t>
            </w:r>
          </w:p>
        </w:tc>
      </w:tr>
      <w:tr>
        <w:tc>
          <w:tcPr>
            <w:tcW w:type="dxa" w:w="4320"/>
            <w:shd w:val="clear" w:color="auto" w:fill="EDF1F5"/>
          </w:tcPr>
          <w:p>
            <w:pPr>
              <w:spacing w:after="0"/>
            </w:pPr>
            <w:r/>
            <w:r>
              <w:rPr>
                <w:sz w:val="19"/>
              </w:rPr>
              <w:t>Table 1.3: Revenue Projections</w:t>
            </w:r>
          </w:p>
        </w:tc>
        <w:tc>
          <w:tcPr>
            <w:tcW w:type="dxa" w:w="4320"/>
            <w:shd w:val="clear" w:color="auto" w:fill="EDF1F5"/>
          </w:tcPr>
          <w:p>
            <w:pPr>
              <w:spacing w:after="0"/>
            </w:pPr>
            <w:r/>
            <w:r>
              <w:rPr>
                <w:sz w:val="19"/>
              </w:rPr>
              <w:t>Section 3</w:t>
            </w:r>
          </w:p>
        </w:tc>
      </w:tr>
      <w:tr>
        <w:tc>
          <w:tcPr>
            <w:tcW w:type="dxa" w:w="4320"/>
          </w:tcPr>
          <w:p>
            <w:pPr>
              <w:spacing w:after="0"/>
            </w:pPr>
            <w:r/>
            <w:r>
              <w:rPr>
                <w:sz w:val="19"/>
              </w:rPr>
              <w:t>Table 7.16: Market-Share Evolution 2025 vs 2030 (Revenue Projections)</w:t>
            </w:r>
          </w:p>
        </w:tc>
        <w:tc>
          <w:tcPr>
            <w:tcW w:type="dxa" w:w="4320"/>
          </w:tcPr>
          <w:p>
            <w:pPr>
              <w:spacing w:after="0"/>
            </w:pPr>
            <w:r/>
            <w:r>
              <w:rPr>
                <w:sz w:val="19"/>
              </w:rPr>
              <w:t>Section 3</w:t>
            </w:r>
          </w:p>
        </w:tc>
      </w:tr>
      <w:tr>
        <w:tc>
          <w:tcPr>
            <w:tcW w:type="dxa" w:w="4320"/>
            <w:shd w:val="clear" w:color="auto" w:fill="EDF1F5"/>
          </w:tcPr>
          <w:p>
            <w:pPr>
              <w:spacing w:after="0"/>
            </w:pPr>
            <w:r/>
            <w:r>
              <w:rPr>
                <w:sz w:val="19"/>
              </w:rPr>
              <w:t>Exhibit 4.1  Nash equilibria across all bilateral games (computed by build_technical_report.py)</w:t>
            </w:r>
          </w:p>
        </w:tc>
        <w:tc>
          <w:tcPr>
            <w:tcW w:type="dxa" w:w="4320"/>
            <w:shd w:val="clear" w:color="auto" w:fill="EDF1F5"/>
          </w:tcPr>
          <w:p>
            <w:pPr>
              <w:spacing w:after="0"/>
            </w:pPr>
            <w:r/>
            <w:r>
              <w:rPr>
                <w:sz w:val="19"/>
              </w:rPr>
              <w:t>Section 4</w:t>
            </w:r>
          </w:p>
        </w:tc>
      </w:tr>
      <w:tr>
        <w:tc>
          <w:tcPr>
            <w:tcW w:type="dxa" w:w="4320"/>
          </w:tcPr>
          <w:p>
            <w:pPr>
              <w:spacing w:after="0"/>
            </w:pPr>
            <w:r/>
            <w:r>
              <w:rPr>
                <w:sz w:val="19"/>
              </w:rPr>
              <w:t>Exhibit 4.2  Payoff matrix — Hardware-Cloud Providers ($B; row: Hardware, column: Cloud Providers)</w:t>
            </w:r>
          </w:p>
        </w:tc>
        <w:tc>
          <w:tcPr>
            <w:tcW w:type="dxa" w:w="4320"/>
          </w:tcPr>
          <w:p>
            <w:pPr>
              <w:spacing w:after="0"/>
            </w:pPr>
            <w:r/>
            <w:r>
              <w:rPr>
                <w:sz w:val="19"/>
              </w:rPr>
              <w:t>Section 4</w:t>
            </w:r>
          </w:p>
        </w:tc>
      </w:tr>
      <w:tr>
        <w:tc>
          <w:tcPr>
            <w:tcW w:type="dxa" w:w="4320"/>
            <w:shd w:val="clear" w:color="auto" w:fill="EDF1F5"/>
          </w:tcPr>
          <w:p>
            <w:pPr>
              <w:spacing w:after="0"/>
            </w:pPr>
            <w:r/>
            <w:r>
              <w:rPr>
                <w:sz w:val="19"/>
              </w:rPr>
              <w:t>Exhibit 4.3  Payoff matrix — Hardware-Foundation Models ($B; row: Hardware, column: Foundation Models)</w:t>
            </w:r>
          </w:p>
        </w:tc>
        <w:tc>
          <w:tcPr>
            <w:tcW w:type="dxa" w:w="4320"/>
            <w:shd w:val="clear" w:color="auto" w:fill="EDF1F5"/>
          </w:tcPr>
          <w:p>
            <w:pPr>
              <w:spacing w:after="0"/>
            </w:pPr>
            <w:r/>
            <w:r>
              <w:rPr>
                <w:sz w:val="19"/>
              </w:rPr>
              <w:t>Section 4</w:t>
            </w:r>
          </w:p>
        </w:tc>
      </w:tr>
      <w:tr>
        <w:tc>
          <w:tcPr>
            <w:tcW w:type="dxa" w:w="4320"/>
          </w:tcPr>
          <w:p>
            <w:pPr>
              <w:spacing w:after="0"/>
            </w:pPr>
            <w:r/>
            <w:r>
              <w:rPr>
                <w:sz w:val="19"/>
              </w:rPr>
              <w:t>Exhibit 4.4  Payoff matrix — Hardware-LLM Wrappers ($B; row: Hardware, column: LLM Wrappers)</w:t>
            </w:r>
          </w:p>
        </w:tc>
        <w:tc>
          <w:tcPr>
            <w:tcW w:type="dxa" w:w="4320"/>
          </w:tcPr>
          <w:p>
            <w:pPr>
              <w:spacing w:after="0"/>
            </w:pPr>
            <w:r/>
            <w:r>
              <w:rPr>
                <w:sz w:val="19"/>
              </w:rPr>
              <w:t>Section 4</w:t>
            </w:r>
          </w:p>
        </w:tc>
      </w:tr>
      <w:tr>
        <w:tc>
          <w:tcPr>
            <w:tcW w:type="dxa" w:w="4320"/>
            <w:shd w:val="clear" w:color="auto" w:fill="EDF1F5"/>
          </w:tcPr>
          <w:p>
            <w:pPr>
              <w:spacing w:after="0"/>
            </w:pPr>
            <w:r/>
            <w:r>
              <w:rPr>
                <w:sz w:val="19"/>
              </w:rPr>
              <w:t>Exhibit 4.5  Payoff matrix — Cloud Providers-Foundation Models ($B; row: Cloud Providers, column: Foundation Models)</w:t>
            </w:r>
          </w:p>
        </w:tc>
        <w:tc>
          <w:tcPr>
            <w:tcW w:type="dxa" w:w="4320"/>
            <w:shd w:val="clear" w:color="auto" w:fill="EDF1F5"/>
          </w:tcPr>
          <w:p>
            <w:pPr>
              <w:spacing w:after="0"/>
            </w:pPr>
            <w:r/>
            <w:r>
              <w:rPr>
                <w:sz w:val="19"/>
              </w:rPr>
              <w:t>Section 4</w:t>
            </w:r>
          </w:p>
        </w:tc>
      </w:tr>
      <w:tr>
        <w:tc>
          <w:tcPr>
            <w:tcW w:type="dxa" w:w="4320"/>
          </w:tcPr>
          <w:p>
            <w:pPr>
              <w:spacing w:after="0"/>
            </w:pPr>
            <w:r/>
            <w:r>
              <w:rPr>
                <w:sz w:val="19"/>
              </w:rPr>
              <w:t>Exhibit 4.6  Payoff matrix — Cloud Providers-LLM Wrappers ($B; row: Cloud Providers, column: LLM Wrappers)</w:t>
            </w:r>
          </w:p>
        </w:tc>
        <w:tc>
          <w:tcPr>
            <w:tcW w:type="dxa" w:w="4320"/>
          </w:tcPr>
          <w:p>
            <w:pPr>
              <w:spacing w:after="0"/>
            </w:pPr>
            <w:r/>
            <w:r>
              <w:rPr>
                <w:sz w:val="19"/>
              </w:rPr>
              <w:t>Section 4</w:t>
            </w:r>
          </w:p>
        </w:tc>
      </w:tr>
      <w:tr>
        <w:tc>
          <w:tcPr>
            <w:tcW w:type="dxa" w:w="4320"/>
            <w:shd w:val="clear" w:color="auto" w:fill="EDF1F5"/>
          </w:tcPr>
          <w:p>
            <w:pPr>
              <w:spacing w:after="0"/>
            </w:pPr>
            <w:r/>
            <w:r>
              <w:rPr>
                <w:sz w:val="19"/>
              </w:rPr>
              <w:t>Exhibit 4.7  Payoff matrix — Foundation Models-LLM Wrappers ($B; row: Foundation Models, column: LLM Wrappers)</w:t>
            </w:r>
          </w:p>
        </w:tc>
        <w:tc>
          <w:tcPr>
            <w:tcW w:type="dxa" w:w="4320"/>
            <w:shd w:val="clear" w:color="auto" w:fill="EDF1F5"/>
          </w:tcPr>
          <w:p>
            <w:pPr>
              <w:spacing w:after="0"/>
            </w:pPr>
            <w:r/>
            <w:r>
              <w:rPr>
                <w:sz w:val="19"/>
              </w:rPr>
              <w:t>Section 4</w:t>
            </w:r>
          </w:p>
        </w:tc>
      </w:tr>
      <w:tr>
        <w:tc>
          <w:tcPr>
            <w:tcW w:type="dxa" w:w="4320"/>
          </w:tcPr>
          <w:p>
            <w:pPr>
              <w:spacing w:after="0"/>
            </w:pPr>
            <w:r/>
            <w:r>
              <w:rPr>
                <w:sz w:val="19"/>
              </w:rPr>
              <w:t>Table 3.5 — Welfare-benchmark audit (Kaldor-Hicks transfers)</w:t>
            </w:r>
          </w:p>
        </w:tc>
        <w:tc>
          <w:tcPr>
            <w:tcW w:type="dxa" w:w="4320"/>
          </w:tcPr>
          <w:p>
            <w:pPr>
              <w:spacing w:after="0"/>
            </w:pPr>
            <w:r/>
            <w:r>
              <w:rPr>
                <w:sz w:val="19"/>
              </w:rPr>
              <w:t>Section 4</w:t>
            </w:r>
          </w:p>
        </w:tc>
      </w:tr>
      <w:tr>
        <w:tc>
          <w:tcPr>
            <w:tcW w:type="dxa" w:w="4320"/>
            <w:shd w:val="clear" w:color="auto" w:fill="EDF1F5"/>
          </w:tcPr>
          <w:p>
            <w:pPr>
              <w:spacing w:after="0"/>
            </w:pPr>
            <w:r/>
            <w:r>
              <w:rPr>
                <w:sz w:val="19"/>
              </w:rPr>
              <w:t>Table 3.6 — Equilibrium multiplicity and risk-dominance audit</w:t>
            </w:r>
          </w:p>
        </w:tc>
        <w:tc>
          <w:tcPr>
            <w:tcW w:type="dxa" w:w="4320"/>
            <w:shd w:val="clear" w:color="auto" w:fill="EDF1F5"/>
          </w:tcPr>
          <w:p>
            <w:pPr>
              <w:spacing w:after="0"/>
            </w:pPr>
            <w:r/>
            <w:r>
              <w:rPr>
                <w:sz w:val="19"/>
              </w:rPr>
              <w:t>Section 4</w:t>
            </w:r>
          </w:p>
        </w:tc>
      </w:tr>
      <w:tr>
        <w:tc>
          <w:tcPr>
            <w:tcW w:type="dxa" w:w="4320"/>
          </w:tcPr>
          <w:p>
            <w:pPr>
              <w:spacing w:after="0"/>
            </w:pPr>
            <w:r/>
            <w:r>
              <w:rPr>
                <w:sz w:val="19"/>
              </w:rPr>
              <w:t>Table 3.7 — Repeated-game sustainability (critical discount factors)</w:t>
            </w:r>
          </w:p>
        </w:tc>
        <w:tc>
          <w:tcPr>
            <w:tcW w:type="dxa" w:w="4320"/>
          </w:tcPr>
          <w:p>
            <w:pPr>
              <w:spacing w:after="0"/>
            </w:pPr>
            <w:r/>
            <w:r>
              <w:rPr>
                <w:sz w:val="19"/>
              </w:rPr>
              <w:t>Section 4</w:t>
            </w:r>
          </w:p>
        </w:tc>
      </w:tr>
      <w:tr>
        <w:tc>
          <w:tcPr>
            <w:tcW w:type="dxa" w:w="4320"/>
            <w:shd w:val="clear" w:color="auto" w:fill="EDF1F5"/>
          </w:tcPr>
          <w:p>
            <w:pPr>
              <w:spacing w:after="0"/>
            </w:pPr>
            <w:r/>
            <w:r>
              <w:rPr>
                <w:sz w:val="19"/>
              </w:rPr>
              <w:t>Table 3.1: Cloud vs Foundation Payoff Matrix</w:t>
            </w:r>
          </w:p>
        </w:tc>
        <w:tc>
          <w:tcPr>
            <w:tcW w:type="dxa" w:w="4320"/>
            <w:shd w:val="clear" w:color="auto" w:fill="EDF1F5"/>
          </w:tcPr>
          <w:p>
            <w:pPr>
              <w:spacing w:after="0"/>
            </w:pPr>
            <w:r/>
            <w:r>
              <w:rPr>
                <w:sz w:val="19"/>
              </w:rPr>
              <w:t>Section 4</w:t>
            </w:r>
          </w:p>
        </w:tc>
      </w:tr>
      <w:tr>
        <w:tc>
          <w:tcPr>
            <w:tcW w:type="dxa" w:w="4320"/>
          </w:tcPr>
          <w:p>
            <w:pPr>
              <w:spacing w:after="0"/>
            </w:pPr>
            <w:r/>
            <w:r>
              <w:rPr>
                <w:sz w:val="19"/>
              </w:rPr>
              <w:t>Table 3.2: Hardware vs Cloud Payoff Matrix</w:t>
            </w:r>
          </w:p>
        </w:tc>
        <w:tc>
          <w:tcPr>
            <w:tcW w:type="dxa" w:w="4320"/>
          </w:tcPr>
          <w:p>
            <w:pPr>
              <w:spacing w:after="0"/>
            </w:pPr>
            <w:r/>
            <w:r>
              <w:rPr>
                <w:sz w:val="19"/>
              </w:rPr>
              <w:t>Section 4</w:t>
            </w:r>
          </w:p>
        </w:tc>
      </w:tr>
      <w:tr>
        <w:tc>
          <w:tcPr>
            <w:tcW w:type="dxa" w:w="4320"/>
            <w:shd w:val="clear" w:color="auto" w:fill="EDF1F5"/>
          </w:tcPr>
          <w:p>
            <w:pPr>
              <w:spacing w:after="0"/>
            </w:pPr>
            <w:r/>
            <w:r>
              <w:rPr>
                <w:sz w:val="19"/>
              </w:rPr>
              <w:t>Table 3.4: Core-Game Equilibrium, Coordination &amp; DWL</w:t>
            </w:r>
          </w:p>
        </w:tc>
        <w:tc>
          <w:tcPr>
            <w:tcW w:type="dxa" w:w="4320"/>
            <w:shd w:val="clear" w:color="auto" w:fill="EDF1F5"/>
          </w:tcPr>
          <w:p>
            <w:pPr>
              <w:spacing w:after="0"/>
            </w:pPr>
            <w:r/>
            <w:r>
              <w:rPr>
                <w:sz w:val="19"/>
              </w:rPr>
              <w:t>Section 4</w:t>
            </w:r>
          </w:p>
        </w:tc>
      </w:tr>
      <w:tr>
        <w:tc>
          <w:tcPr>
            <w:tcW w:type="dxa" w:w="4320"/>
          </w:tcPr>
          <w:p>
            <w:pPr>
              <w:spacing w:after="0"/>
            </w:pPr>
            <w:r/>
            <w:r>
              <w:rPr>
                <w:sz w:val="19"/>
              </w:rPr>
              <w:t>Exhibit 5.1  Aggregate welfare (computed by build_technical_report.py)</w:t>
            </w:r>
          </w:p>
        </w:tc>
        <w:tc>
          <w:tcPr>
            <w:tcW w:type="dxa" w:w="4320"/>
          </w:tcPr>
          <w:p>
            <w:pPr>
              <w:spacing w:after="0"/>
            </w:pPr>
            <w:r/>
            <w:r>
              <w:rPr>
                <w:sz w:val="19"/>
              </w:rPr>
              <w:t>Section 5</w:t>
            </w:r>
          </w:p>
        </w:tc>
      </w:tr>
      <w:tr>
        <w:tc>
          <w:tcPr>
            <w:tcW w:type="dxa" w:w="4320"/>
            <w:shd w:val="clear" w:color="auto" w:fill="EDF1F5"/>
          </w:tcPr>
          <w:p>
            <w:pPr>
              <w:spacing w:after="0"/>
            </w:pPr>
            <w:r/>
            <w:r>
              <w:rPr>
                <w:sz w:val="19"/>
              </w:rPr>
              <w:t>Exhibit 5.2  Deadweight-loss decomposition (computed by build_technical_report.py)</w:t>
            </w:r>
          </w:p>
        </w:tc>
        <w:tc>
          <w:tcPr>
            <w:tcW w:type="dxa" w:w="4320"/>
            <w:shd w:val="clear" w:color="auto" w:fill="EDF1F5"/>
          </w:tcPr>
          <w:p>
            <w:pPr>
              <w:spacing w:after="0"/>
            </w:pPr>
            <w:r/>
            <w:r>
              <w:rPr>
                <w:sz w:val="19"/>
              </w:rPr>
              <w:t>Section 5</w:t>
            </w:r>
          </w:p>
        </w:tc>
      </w:tr>
      <w:tr>
        <w:tc>
          <w:tcPr>
            <w:tcW w:type="dxa" w:w="4320"/>
          </w:tcPr>
          <w:p>
            <w:pPr>
              <w:spacing w:after="0"/>
            </w:pPr>
            <w:r/>
            <w:r>
              <w:rPr>
                <w:sz w:val="19"/>
              </w:rPr>
              <w:t>Exhibit 5.2b  Policy interventions ranked by base-scenario net benefit (ai_ecosystem_model.py enhancement output)</w:t>
            </w:r>
          </w:p>
        </w:tc>
        <w:tc>
          <w:tcPr>
            <w:tcW w:type="dxa" w:w="4320"/>
          </w:tcPr>
          <w:p>
            <w:pPr>
              <w:spacing w:after="0"/>
            </w:pPr>
            <w:r/>
            <w:r>
              <w:rPr>
                <w:sz w:val="19"/>
              </w:rPr>
              <w:t>Section 5</w:t>
            </w:r>
          </w:p>
        </w:tc>
      </w:tr>
      <w:tr>
        <w:tc>
          <w:tcPr>
            <w:tcW w:type="dxa" w:w="4320"/>
            <w:shd w:val="clear" w:color="auto" w:fill="EDF1F5"/>
          </w:tcPr>
          <w:p>
            <w:pPr>
              <w:spacing w:after="0"/>
            </w:pPr>
            <w:r/>
            <w:r>
              <w:rPr>
                <w:sz w:val="19"/>
              </w:rPr>
              <w:t>Exhibit 5.3  Coordination-failure diagnostics (computed by build_technical_report.py)</w:t>
            </w:r>
          </w:p>
        </w:tc>
        <w:tc>
          <w:tcPr>
            <w:tcW w:type="dxa" w:w="4320"/>
            <w:shd w:val="clear" w:color="auto" w:fill="EDF1F5"/>
          </w:tcPr>
          <w:p>
            <w:pPr>
              <w:spacing w:after="0"/>
            </w:pPr>
            <w:r/>
            <w:r>
              <w:rPr>
                <w:sz w:val="19"/>
              </w:rPr>
              <w:t>Section 5</w:t>
            </w:r>
          </w:p>
        </w:tc>
      </w:tr>
      <w:tr>
        <w:tc>
          <w:tcPr>
            <w:tcW w:type="dxa" w:w="4320"/>
          </w:tcPr>
          <w:p>
            <w:pPr>
              <w:spacing w:after="0"/>
            </w:pPr>
            <w:r/>
            <w:r>
              <w:rPr>
                <w:sz w:val="19"/>
              </w:rPr>
              <w:t>Table 5.3: Welfare Decomposition</w:t>
            </w:r>
          </w:p>
        </w:tc>
        <w:tc>
          <w:tcPr>
            <w:tcW w:type="dxa" w:w="4320"/>
          </w:tcPr>
          <w:p>
            <w:pPr>
              <w:spacing w:after="0"/>
            </w:pPr>
            <w:r/>
            <w:r>
              <w:rPr>
                <w:sz w:val="19"/>
              </w:rPr>
              <w:t>Section 5</w:t>
            </w:r>
          </w:p>
        </w:tc>
      </w:tr>
      <w:tr>
        <w:tc>
          <w:tcPr>
            <w:tcW w:type="dxa" w:w="4320"/>
            <w:shd w:val="clear" w:color="auto" w:fill="EDF1F5"/>
          </w:tcPr>
          <w:p>
            <w:pPr>
              <w:spacing w:after="0"/>
            </w:pPr>
            <w:r/>
            <w:r>
              <w:rPr>
                <w:sz w:val="19"/>
              </w:rPr>
              <w:t>Table 5.4: Dynamic Game Analysis (Short vs Long-term)</w:t>
            </w:r>
          </w:p>
        </w:tc>
        <w:tc>
          <w:tcPr>
            <w:tcW w:type="dxa" w:w="4320"/>
            <w:shd w:val="clear" w:color="auto" w:fill="EDF1F5"/>
          </w:tcPr>
          <w:p>
            <w:pPr>
              <w:spacing w:after="0"/>
            </w:pPr>
            <w:r/>
            <w:r>
              <w:rPr>
                <w:sz w:val="19"/>
              </w:rPr>
              <w:t>Section 5</w:t>
            </w:r>
          </w:p>
        </w:tc>
      </w:tr>
      <w:tr>
        <w:tc>
          <w:tcPr>
            <w:tcW w:type="dxa" w:w="4320"/>
          </w:tcPr>
          <w:p>
            <w:pPr>
              <w:spacing w:after="0"/>
            </w:pPr>
            <w:r/>
            <w:r>
              <w:rPr>
                <w:sz w:val="19"/>
              </w:rPr>
              <w:t>Table 6.1–6.3: Policy Simulation Summary (v4.0)</w:t>
            </w:r>
          </w:p>
        </w:tc>
        <w:tc>
          <w:tcPr>
            <w:tcW w:type="dxa" w:w="4320"/>
          </w:tcPr>
          <w:p>
            <w:pPr>
              <w:spacing w:after="0"/>
            </w:pPr>
            <w:r/>
            <w:r>
              <w:rPr>
                <w:sz w:val="19"/>
              </w:rPr>
              <w:t>Section 5</w:t>
            </w:r>
          </w:p>
        </w:tc>
      </w:tr>
      <w:tr>
        <w:tc>
          <w:tcPr>
            <w:tcW w:type="dxa" w:w="4320"/>
            <w:shd w:val="clear" w:color="auto" w:fill="EDF1F5"/>
          </w:tcPr>
          <w:p>
            <w:pPr>
              <w:spacing w:after="0"/>
            </w:pPr>
            <w:r/>
            <w:r>
              <w:rPr>
                <w:sz w:val="19"/>
              </w:rPr>
              <w:t>Table 4.1: Monte Carlo &amp; Sensitivity Summary</w:t>
            </w:r>
          </w:p>
        </w:tc>
        <w:tc>
          <w:tcPr>
            <w:tcW w:type="dxa" w:w="4320"/>
            <w:shd w:val="clear" w:color="auto" w:fill="EDF1F5"/>
          </w:tcPr>
          <w:p>
            <w:pPr>
              <w:spacing w:after="0"/>
            </w:pPr>
            <w:r/>
            <w:r>
              <w:rPr>
                <w:sz w:val="19"/>
              </w:rPr>
              <w:t>Section 6</w:t>
            </w:r>
          </w:p>
        </w:tc>
      </w:tr>
      <w:tr>
        <w:tc>
          <w:tcPr>
            <w:tcW w:type="dxa" w:w="4320"/>
          </w:tcPr>
          <w:p>
            <w:pPr>
              <w:spacing w:after="0"/>
            </w:pPr>
            <w:r/>
            <w:r>
              <w:rPr>
                <w:sz w:val="19"/>
              </w:rPr>
              <w:t>Table 8.1: Stationarity Diagnostics (Geweke)</w:t>
            </w:r>
          </w:p>
        </w:tc>
        <w:tc>
          <w:tcPr>
            <w:tcW w:type="dxa" w:w="4320"/>
          </w:tcPr>
          <w:p>
            <w:pPr>
              <w:spacing w:after="0"/>
            </w:pPr>
            <w:r/>
            <w:r>
              <w:rPr>
                <w:sz w:val="19"/>
              </w:rPr>
              <w:t>Section 6</w:t>
            </w:r>
          </w:p>
        </w:tc>
      </w:tr>
      <w:tr>
        <w:tc>
          <w:tcPr>
            <w:tcW w:type="dxa" w:w="4320"/>
            <w:shd w:val="clear" w:color="auto" w:fill="EDF1F5"/>
          </w:tcPr>
          <w:p>
            <w:pPr>
              <w:spacing w:after="0"/>
            </w:pPr>
            <w:r/>
            <w:r>
              <w:rPr>
                <w:sz w:val="19"/>
              </w:rPr>
              <w:t>Table 8.2: Multi-Seed Replicability</w:t>
            </w:r>
          </w:p>
        </w:tc>
        <w:tc>
          <w:tcPr>
            <w:tcW w:type="dxa" w:w="4320"/>
            <w:shd w:val="clear" w:color="auto" w:fill="EDF1F5"/>
          </w:tcPr>
          <w:p>
            <w:pPr>
              <w:spacing w:after="0"/>
            </w:pPr>
            <w:r/>
            <w:r>
              <w:rPr>
                <w:sz w:val="19"/>
              </w:rPr>
              <w:t>Section 6</w:t>
            </w:r>
          </w:p>
        </w:tc>
      </w:tr>
      <w:tr>
        <w:tc>
          <w:tcPr>
            <w:tcW w:type="dxa" w:w="4320"/>
          </w:tcPr>
          <w:p>
            <w:pPr>
              <w:spacing w:after="0"/>
            </w:pPr>
            <w:r/>
            <w:r>
              <w:rPr>
                <w:sz w:val="19"/>
              </w:rPr>
              <w:t>Table 8.3: Noise-Level Robustness</w:t>
            </w:r>
          </w:p>
        </w:tc>
        <w:tc>
          <w:tcPr>
            <w:tcW w:type="dxa" w:w="4320"/>
          </w:tcPr>
          <w:p>
            <w:pPr>
              <w:spacing w:after="0"/>
            </w:pPr>
            <w:r/>
            <w:r>
              <w:rPr>
                <w:sz w:val="19"/>
              </w:rPr>
              <w:t>Section 6</w:t>
            </w:r>
          </w:p>
        </w:tc>
      </w:tr>
      <w:tr>
        <w:tc>
          <w:tcPr>
            <w:tcW w:type="dxa" w:w="4320"/>
            <w:shd w:val="clear" w:color="auto" w:fill="EDF1F5"/>
          </w:tcPr>
          <w:p>
            <w:pPr>
              <w:spacing w:after="0"/>
            </w:pPr>
            <w:r/>
            <w:r>
              <w:rPr>
                <w:sz w:val="19"/>
              </w:rPr>
              <w:t>Table 8.4: Saltelli Variance Decomposition</w:t>
            </w:r>
          </w:p>
        </w:tc>
        <w:tc>
          <w:tcPr>
            <w:tcW w:type="dxa" w:w="4320"/>
            <w:shd w:val="clear" w:color="auto" w:fill="EDF1F5"/>
          </w:tcPr>
          <w:p>
            <w:pPr>
              <w:spacing w:after="0"/>
            </w:pPr>
            <w:r/>
            <w:r>
              <w:rPr>
                <w:sz w:val="19"/>
              </w:rPr>
              <w:t>Section 6</w:t>
            </w:r>
          </w:p>
        </w:tc>
      </w:tr>
      <w:tr>
        <w:tc>
          <w:tcPr>
            <w:tcW w:type="dxa" w:w="4320"/>
          </w:tcPr>
          <w:p>
            <w:pPr>
              <w:spacing w:after="0"/>
            </w:pPr>
            <w:r/>
            <w:r>
              <w:rPr>
                <w:sz w:val="19"/>
              </w:rPr>
              <w:t>Exhibit 6.x  Breakdown-frontier calibration: identified intervals for A3 rate maps and A8 logit weights</w:t>
            </w:r>
          </w:p>
        </w:tc>
        <w:tc>
          <w:tcPr>
            <w:tcW w:type="dxa" w:w="4320"/>
          </w:tcPr>
          <w:p>
            <w:pPr>
              <w:spacing w:after="0"/>
            </w:pPr>
            <w:r/>
            <w:r>
              <w:rPr>
                <w:sz w:val="19"/>
              </w:rPr>
              <w:t>Section 6</w:t>
            </w:r>
          </w:p>
        </w:tc>
      </w:tr>
      <w:tr>
        <w:tc>
          <w:tcPr>
            <w:tcW w:type="dxa" w:w="4320"/>
            <w:shd w:val="clear" w:color="auto" w:fill="EDF1F5"/>
          </w:tcPr>
          <w:p>
            <w:pPr>
              <w:spacing w:after="0"/>
            </w:pPr>
            <w:r/>
            <w:r>
              <w:rPr>
                <w:sz w:val="19"/>
              </w:rPr>
              <w:t>Exhibit 7.1  Shapley value allocation (computed by build_technical_report.py)</w:t>
            </w:r>
          </w:p>
        </w:tc>
        <w:tc>
          <w:tcPr>
            <w:tcW w:type="dxa" w:w="4320"/>
            <w:shd w:val="clear" w:color="auto" w:fill="EDF1F5"/>
          </w:tcPr>
          <w:p>
            <w:pPr>
              <w:spacing w:after="0"/>
            </w:pPr>
            <w:r/>
            <w:r>
              <w:rPr>
                <w:sz w:val="19"/>
              </w:rPr>
              <w:t>Section 7</w:t>
            </w:r>
          </w:p>
        </w:tc>
      </w:tr>
      <w:tr>
        <w:tc>
          <w:tcPr>
            <w:tcW w:type="dxa" w:w="4320"/>
          </w:tcPr>
          <w:p>
            <w:pPr>
              <w:spacing w:after="0"/>
            </w:pPr>
            <w:r/>
            <w:r>
              <w:rPr>
                <w:sz w:val="19"/>
              </w:rPr>
              <w:t>Table 5.4b: Shapley Value Allocation (Cooperative Game)</w:t>
            </w:r>
          </w:p>
        </w:tc>
        <w:tc>
          <w:tcPr>
            <w:tcW w:type="dxa" w:w="4320"/>
          </w:tcPr>
          <w:p>
            <w:pPr>
              <w:spacing w:after="0"/>
            </w:pPr>
            <w:r/>
            <w:r>
              <w:rPr>
                <w:sz w:val="19"/>
              </w:rPr>
              <w:t>Section 7</w:t>
            </w:r>
          </w:p>
        </w:tc>
      </w:tr>
      <w:tr>
        <w:tc>
          <w:tcPr>
            <w:tcW w:type="dxa" w:w="4320"/>
            <w:shd w:val="clear" w:color="auto" w:fill="EDF1F5"/>
          </w:tcPr>
          <w:p>
            <w:pPr>
              <w:spacing w:after="0"/>
            </w:pPr>
            <w:r/>
            <w:r>
              <w:rPr>
                <w:sz w:val="19"/>
              </w:rPr>
              <w:t>Table 7.18: Shapley Share vs Revenue Share (Bargaining vs Size)</w:t>
            </w:r>
          </w:p>
        </w:tc>
        <w:tc>
          <w:tcPr>
            <w:tcW w:type="dxa" w:w="4320"/>
            <w:shd w:val="clear" w:color="auto" w:fill="EDF1F5"/>
          </w:tcPr>
          <w:p>
            <w:pPr>
              <w:spacing w:after="0"/>
            </w:pPr>
            <w:r/>
            <w:r>
              <w:rPr>
                <w:sz w:val="19"/>
              </w:rPr>
              <w:t>Section 7</w:t>
            </w:r>
          </w:p>
        </w:tc>
      </w:tr>
      <w:tr>
        <w:tc>
          <w:tcPr>
            <w:tcW w:type="dxa" w:w="4320"/>
          </w:tcPr>
          <w:p>
            <w:pPr>
              <w:spacing w:after="0"/>
            </w:pPr>
            <w:r/>
            <w:r>
              <w:rPr>
                <w:sz w:val="19"/>
              </w:rPr>
              <w:t>Exhibit 7.2  Circular-deals metrics (computed by build_technical_report.py)</w:t>
            </w:r>
          </w:p>
        </w:tc>
        <w:tc>
          <w:tcPr>
            <w:tcW w:type="dxa" w:w="4320"/>
          </w:tcPr>
          <w:p>
            <w:pPr>
              <w:spacing w:after="0"/>
            </w:pPr>
            <w:r/>
            <w:r>
              <w:rPr>
                <w:sz w:val="19"/>
              </w:rPr>
              <w:t>Section 7</w:t>
            </w:r>
          </w:p>
        </w:tc>
      </w:tr>
      <w:tr>
        <w:tc>
          <w:tcPr>
            <w:tcW w:type="dxa" w:w="4320"/>
            <w:shd w:val="clear" w:color="auto" w:fill="EDF1F5"/>
          </w:tcPr>
          <w:p>
            <w:pPr>
              <w:spacing w:after="0"/>
            </w:pPr>
            <w:r/>
            <w:r>
              <w:rPr>
                <w:sz w:val="19"/>
              </w:rPr>
              <w:t>Exhibit 7.3  Five-pillar segment screen (ai_ecosystem_model.py diagnostics; NaN = uninformative pillar)</w:t>
            </w:r>
          </w:p>
        </w:tc>
        <w:tc>
          <w:tcPr>
            <w:tcW w:type="dxa" w:w="4320"/>
            <w:shd w:val="clear" w:color="auto" w:fill="EDF1F5"/>
          </w:tcPr>
          <w:p>
            <w:pPr>
              <w:spacing w:after="0"/>
            </w:pPr>
            <w:r/>
            <w:r>
              <w:rPr>
                <w:sz w:val="19"/>
              </w:rPr>
              <w:t>Section 7</w:t>
            </w:r>
          </w:p>
        </w:tc>
      </w:tr>
      <w:tr>
        <w:tc>
          <w:tcPr>
            <w:tcW w:type="dxa" w:w="4320"/>
          </w:tcPr>
          <w:p>
            <w:pPr>
              <w:spacing w:after="0"/>
            </w:pPr>
            <w:r/>
            <w:r>
              <w:rPr>
                <w:sz w:val="19"/>
              </w:rPr>
              <w:t>Table A.0: Network Centrality (Appendix)</w:t>
            </w:r>
          </w:p>
        </w:tc>
        <w:tc>
          <w:tcPr>
            <w:tcW w:type="dxa" w:w="4320"/>
          </w:tcPr>
          <w:p>
            <w:pPr>
              <w:spacing w:after="0"/>
            </w:pPr>
            <w:r/>
            <w:r>
              <w:rPr>
                <w:sz w:val="19"/>
              </w:rPr>
              <w:t>Section 7</w:t>
            </w:r>
          </w:p>
        </w:tc>
      </w:tr>
      <w:tr>
        <w:tc>
          <w:tcPr>
            <w:tcW w:type="dxa" w:w="4320"/>
            <w:shd w:val="clear" w:color="auto" w:fill="EDF1F5"/>
          </w:tcPr>
          <w:p>
            <w:pPr>
              <w:spacing w:after="0"/>
            </w:pPr>
            <w:r/>
            <w:r>
              <w:rPr>
                <w:sz w:val="19"/>
              </w:rPr>
              <w:t>Table A.1: Network Risk Metrics</w:t>
            </w:r>
          </w:p>
        </w:tc>
        <w:tc>
          <w:tcPr>
            <w:tcW w:type="dxa" w:w="4320"/>
            <w:shd w:val="clear" w:color="auto" w:fill="EDF1F5"/>
          </w:tcPr>
          <w:p>
            <w:pPr>
              <w:spacing w:after="0"/>
            </w:pPr>
            <w:r/>
            <w:r>
              <w:rPr>
                <w:sz w:val="19"/>
              </w:rPr>
              <w:t>Section 7</w:t>
            </w:r>
          </w:p>
        </w:tc>
      </w:tr>
      <w:tr>
        <w:tc>
          <w:tcPr>
            <w:tcW w:type="dxa" w:w="4320"/>
          </w:tcPr>
          <w:p>
            <w:pPr>
              <w:spacing w:after="0"/>
            </w:pPr>
            <w:r/>
            <w:r>
              <w:rPr>
                <w:sz w:val="19"/>
              </w:rPr>
              <w:t>Table A.2: Portfolio Risk Metrics</w:t>
            </w:r>
          </w:p>
        </w:tc>
        <w:tc>
          <w:tcPr>
            <w:tcW w:type="dxa" w:w="4320"/>
          </w:tcPr>
          <w:p>
            <w:pPr>
              <w:spacing w:after="0"/>
            </w:pPr>
            <w:r/>
            <w:r>
              <w:rPr>
                <w:sz w:val="19"/>
              </w:rPr>
              <w:t>Section 7</w:t>
            </w:r>
          </w:p>
        </w:tc>
      </w:tr>
      <w:tr>
        <w:tc>
          <w:tcPr>
            <w:tcW w:type="dxa" w:w="4320"/>
            <w:shd w:val="clear" w:color="auto" w:fill="EDF1F5"/>
          </w:tcPr>
          <w:p>
            <w:pPr>
              <w:spacing w:after="0"/>
            </w:pPr>
            <w:r/>
            <w:r>
              <w:rPr>
                <w:sz w:val="19"/>
              </w:rPr>
              <w:t>Table A.3: Success Probability Scores</w:t>
            </w:r>
          </w:p>
        </w:tc>
        <w:tc>
          <w:tcPr>
            <w:tcW w:type="dxa" w:w="4320"/>
            <w:shd w:val="clear" w:color="auto" w:fill="EDF1F5"/>
          </w:tcPr>
          <w:p>
            <w:pPr>
              <w:spacing w:after="0"/>
            </w:pPr>
            <w:r/>
            <w:r>
              <w:rPr>
                <w:sz w:val="19"/>
              </w:rPr>
              <w:t>Section 7</w:t>
            </w:r>
          </w:p>
        </w:tc>
      </w:tr>
      <w:tr>
        <w:tc>
          <w:tcPr>
            <w:tcW w:type="dxa" w:w="4320"/>
          </w:tcPr>
          <w:p>
            <w:pPr>
              <w:spacing w:after="0"/>
            </w:pPr>
            <w:r/>
            <w:r>
              <w:rPr>
                <w:sz w:val="19"/>
              </w:rPr>
              <w:t>Exhibit 7.4  Bubble-conditions probability by archetype (scenario-calibrated logistic composite, not a forecast)</w:t>
            </w:r>
          </w:p>
        </w:tc>
        <w:tc>
          <w:tcPr>
            <w:tcW w:type="dxa" w:w="4320"/>
          </w:tcPr>
          <w:p>
            <w:pPr>
              <w:spacing w:after="0"/>
            </w:pPr>
            <w:r/>
            <w:r>
              <w:rPr>
                <w:sz w:val="19"/>
              </w:rPr>
              <w:t>Section 7</w:t>
            </w:r>
          </w:p>
        </w:tc>
      </w:tr>
      <w:tr>
        <w:tc>
          <w:tcPr>
            <w:tcW w:type="dxa" w:w="4320"/>
            <w:shd w:val="clear" w:color="auto" w:fill="EDF1F5"/>
          </w:tcPr>
          <w:p>
            <w:pPr>
              <w:spacing w:after="0"/>
            </w:pPr>
            <w:r/>
            <w:r>
              <w:rPr>
                <w:sz w:val="19"/>
              </w:rPr>
              <w:t>Exhibit 7.5  Burst impact ranking (descending severe loss; direct circular impairment + one network round)</w:t>
            </w:r>
          </w:p>
        </w:tc>
        <w:tc>
          <w:tcPr>
            <w:tcW w:type="dxa" w:w="4320"/>
            <w:shd w:val="clear" w:color="auto" w:fill="EDF1F5"/>
          </w:tcPr>
          <w:p>
            <w:pPr>
              <w:spacing w:after="0"/>
            </w:pPr>
            <w:r/>
            <w:r>
              <w:rPr>
                <w:sz w:val="19"/>
              </w:rPr>
              <w:t>Section 7</w:t>
            </w:r>
          </w:p>
        </w:tc>
      </w:tr>
      <w:tr>
        <w:tc>
          <w:tcPr>
            <w:tcW w:type="dxa" w:w="4320"/>
          </w:tcPr>
          <w:p>
            <w:pPr>
              <w:spacing w:after="0"/>
            </w:pPr>
            <w:r/>
            <w:r>
              <w:rPr>
                <w:sz w:val="19"/>
              </w:rPr>
              <w:t>Exhibit 7.6  US GDP-at-risk (AI-capex + wealth channels; BEA $30.8T baseline, no multiplier)</w:t>
            </w:r>
          </w:p>
        </w:tc>
        <w:tc>
          <w:tcPr>
            <w:tcW w:type="dxa" w:w="4320"/>
          </w:tcPr>
          <w:p>
            <w:pPr>
              <w:spacing w:after="0"/>
            </w:pPr>
            <w:r/>
            <w:r>
              <w:rPr>
                <w:sz w:val="19"/>
              </w:rPr>
              <w:t>Section 7</w:t>
            </w:r>
          </w:p>
        </w:tc>
      </w:tr>
      <w:tr>
        <w:tc>
          <w:tcPr>
            <w:tcW w:type="dxa" w:w="4320"/>
            <w:shd w:val="clear" w:color="auto" w:fill="EDF1F5"/>
          </w:tcPr>
          <w:p>
            <w:pPr>
              <w:spacing w:after="0"/>
            </w:pPr>
            <w:r/>
            <w:r>
              <w:rPr>
                <w:sz w:val="19"/>
              </w:rPr>
              <w:t>Exhibit 7.7  Burst-mitigation options (denominator = expected severe burst loss, NOT DWL -- rates are not comparable to §5)</w:t>
            </w:r>
          </w:p>
        </w:tc>
        <w:tc>
          <w:tcPr>
            <w:tcW w:type="dxa" w:w="4320"/>
            <w:shd w:val="clear" w:color="auto" w:fill="EDF1F5"/>
          </w:tcPr>
          <w:p>
            <w:pPr>
              <w:spacing w:after="0"/>
            </w:pPr>
            <w:r/>
            <w:r>
              <w:rPr>
                <w:sz w:val="19"/>
              </w:rPr>
              <w:t>Section 7</w:t>
            </w:r>
          </w:p>
        </w:tc>
      </w:tr>
      <w:tr>
        <w:tc>
          <w:tcPr>
            <w:tcW w:type="dxa" w:w="4320"/>
          </w:tcPr>
          <w:p>
            <w:pPr>
              <w:spacing w:after="0"/>
            </w:pPr>
            <w:r/>
            <w:r>
              <w:rPr>
                <w:sz w:val="19"/>
              </w:rPr>
              <w:t>Exhibit 7.8  DebtRank second-round contagion (Battiston et al. 2012; equity = validated market caps; shock = severe direct losses)</w:t>
            </w:r>
          </w:p>
        </w:tc>
        <w:tc>
          <w:tcPr>
            <w:tcW w:type="dxa" w:w="4320"/>
          </w:tcPr>
          <w:p>
            <w:pPr>
              <w:spacing w:after="0"/>
            </w:pPr>
            <w:r/>
            <w:r>
              <w:rPr>
                <w:sz w:val="19"/>
              </w:rPr>
              <w:t>Section 7</w:t>
            </w:r>
          </w:p>
        </w:tc>
      </w:tr>
      <w:tr>
        <w:tc>
          <w:tcPr>
            <w:tcW w:type="dxa" w:w="4320"/>
            <w:shd w:val="clear" w:color="auto" w:fill="EDF1F5"/>
          </w:tcPr>
          <w:p>
            <w:pPr>
              <w:spacing w:after="0"/>
            </w:pPr>
            <w:r/>
            <w:r>
              <w:rPr>
                <w:sz w:val="19"/>
              </w:rPr>
              <w:t>Exhibit 7.9  Credit monitor (sourced spreads and run_pipeline; computed hazard, ratios, haircuts and live watchlist)</w:t>
            </w:r>
          </w:p>
        </w:tc>
        <w:tc>
          <w:tcPr>
            <w:tcW w:type="dxa" w:w="4320"/>
            <w:shd w:val="clear" w:color="auto" w:fill="EDF1F5"/>
          </w:tcPr>
          <w:p>
            <w:pPr>
              <w:spacing w:after="0"/>
            </w:pPr>
            <w:r/>
            <w:r>
              <w:rPr>
                <w:sz w:val="19"/>
              </w:rPr>
              <w:t>Section 7</w:t>
            </w:r>
          </w:p>
        </w:tc>
      </w:tr>
      <w:tr>
        <w:tc>
          <w:tcPr>
            <w:tcW w:type="dxa" w:w="4320"/>
          </w:tcPr>
          <w:p>
            <w:pPr>
              <w:spacing w:after="0"/>
            </w:pPr>
            <w:r/>
            <w:r>
              <w:rPr>
                <w:sz w:val="19"/>
              </w:rPr>
              <w:t>Exhibit 8.1  Top companies by market cap with key valuation metrics (ai_ecosystem_model.py enhancement output)</w:t>
            </w:r>
          </w:p>
        </w:tc>
        <w:tc>
          <w:tcPr>
            <w:tcW w:type="dxa" w:w="4320"/>
          </w:tcPr>
          <w:p>
            <w:pPr>
              <w:spacing w:after="0"/>
            </w:pPr>
            <w:r/>
            <w:r>
              <w:rPr>
                <w:sz w:val="19"/>
              </w:rPr>
              <w:t>Section 8</w:t>
            </w:r>
          </w:p>
        </w:tc>
      </w:tr>
      <w:tr>
        <w:tc>
          <w:tcPr>
            <w:tcW w:type="dxa" w:w="4320"/>
            <w:shd w:val="clear" w:color="auto" w:fill="EDF1F5"/>
          </w:tcPr>
          <w:p>
            <w:pPr>
              <w:spacing w:after="0"/>
            </w:pPr>
            <w:r/>
            <w:r>
              <w:rPr>
                <w:sz w:val="19"/>
              </w:rPr>
              <w:t>Exhibit 10.1  Automated integrity checks (computed by build_technical_report.py)</w:t>
            </w:r>
          </w:p>
        </w:tc>
        <w:tc>
          <w:tcPr>
            <w:tcW w:type="dxa" w:w="4320"/>
            <w:shd w:val="clear" w:color="auto" w:fill="EDF1F5"/>
          </w:tcPr>
          <w:p>
            <w:pPr>
              <w:spacing w:after="0"/>
            </w:pPr>
            <w:r/>
            <w:r>
              <w:rPr>
                <w:sz w:val="19"/>
              </w:rPr>
              <w:t>Section 10</w:t>
            </w:r>
          </w:p>
        </w:tc>
      </w:tr>
      <w:tr>
        <w:tc>
          <w:tcPr>
            <w:tcW w:type="dxa" w:w="4320"/>
          </w:tcPr>
          <w:p>
            <w:pPr>
              <w:spacing w:after="0"/>
            </w:pPr>
            <w:r/>
            <w:r>
              <w:rPr>
                <w:sz w:val="19"/>
              </w:rPr>
              <w:t>Exhibit 10.2  Output inventory (computed by build_technical_report.py)</w:t>
            </w:r>
          </w:p>
        </w:tc>
        <w:tc>
          <w:tcPr>
            <w:tcW w:type="dxa" w:w="4320"/>
          </w:tcPr>
          <w:p>
            <w:pPr>
              <w:spacing w:after="0"/>
            </w:pPr>
            <w:r/>
            <w:r>
              <w:rPr>
                <w:sz w:val="19"/>
              </w:rPr>
              <w:t>Section 10</w:t>
            </w:r>
          </w:p>
        </w:tc>
      </w:tr>
      <w:tr>
        <w:tc>
          <w:tcPr>
            <w:tcW w:type="dxa" w:w="4320"/>
            <w:shd w:val="clear" w:color="auto" w:fill="EDF1F5"/>
          </w:tcPr>
          <w:p>
            <w:pPr>
              <w:spacing w:after="0"/>
            </w:pPr>
            <w:r/>
            <w:r>
              <w:rPr>
                <w:sz w:val="19"/>
              </w:rPr>
              <w:t>Exhibit 10.3  Placement of ai_ecosystem_model.py outputs in this report</w:t>
            </w:r>
          </w:p>
        </w:tc>
        <w:tc>
          <w:tcPr>
            <w:tcW w:type="dxa" w:w="4320"/>
            <w:shd w:val="clear" w:color="auto" w:fill="EDF1F5"/>
          </w:tcPr>
          <w:p>
            <w:pPr>
              <w:spacing w:after="0"/>
            </w:pPr>
            <w:r/>
            <w:r>
              <w:rPr>
                <w:sz w:val="19"/>
              </w:rPr>
              <w:t>Section 10</w:t>
            </w:r>
          </w:p>
        </w:tc>
      </w:tr>
    </w:tbl>
    <w:p>
      <w:pPr>
        <w:spacing w:after="80"/>
      </w:pPr>
      <w:r>
        <w:rPr>
          <w:sz w:val="4"/>
        </w:rPr>
      </w:r>
    </w:p>
    <w:p>
      <w:pPr>
        <w:pStyle w:val="Heading1"/>
      </w:pPr>
      <w:r>
        <w:t>List of Figures</w:t>
      </w:r>
    </w:p>
    <w:tbl>
      <w:tblPr>
        <w:tblStyle w:val="TableGrid"/>
        <w:tblW w:type="auto" w:w="0"/>
        <w:jc w:val="center"/>
        <w:tblLook w:firstColumn="1" w:firstRow="1" w:lastColumn="0" w:lastRow="0" w:noHBand="0" w:noVBand="1" w:val="04A0"/>
      </w:tblPr>
      <w:tblGrid>
        <w:gridCol w:w="4320"/>
        <w:gridCol w:w="4320"/>
      </w:tblGrid>
      <w:tr>
        <w:tc>
          <w:tcPr>
            <w:tcW w:type="dxa" w:w="4320"/>
            <w:tblHeader w:val="true"/>
            <w:shd w:val="clear" w:color="auto" w:fill="2C3E50"/>
          </w:tcPr>
          <w:p>
            <w:pPr>
              <w:jc w:val="center"/>
            </w:pPr>
            <w:r/>
            <w:r>
              <w:rPr>
                <w:b/>
                <w:color w:val="FFFFFF"/>
                <w:sz w:val="20"/>
              </w:rPr>
              <w:t>Figure</w:t>
            </w:r>
          </w:p>
        </w:tc>
        <w:tc>
          <w:tcPr>
            <w:tcW w:type="dxa" w:w="4320"/>
            <w:tblHeader w:val="true"/>
            <w:shd w:val="clear" w:color="auto" w:fill="2C3E50"/>
          </w:tcPr>
          <w:p>
            <w:pPr>
              <w:jc w:val="center"/>
            </w:pPr>
            <w:r/>
            <w:r>
              <w:rPr>
                <w:b/>
                <w:color w:val="FFFFFF"/>
                <w:sz w:val="20"/>
              </w:rPr>
              <w:t>Section</w:t>
            </w:r>
          </w:p>
        </w:tc>
      </w:tr>
      <w:tr>
        <w:tc>
          <w:tcPr>
            <w:tcW w:type="dxa" w:w="4320"/>
          </w:tcPr>
          <w:p>
            <w:pPr>
              <w:spacing w:after="0"/>
            </w:pPr>
            <w:r/>
            <w:r>
              <w:rPr>
                <w:sz w:val="19"/>
              </w:rPr>
              <w:t>Figure 1: Framework &amp; Literature Map (schematic)</w:t>
            </w:r>
          </w:p>
        </w:tc>
        <w:tc>
          <w:tcPr>
            <w:tcW w:type="dxa" w:w="4320"/>
          </w:tcPr>
          <w:p>
            <w:pPr>
              <w:spacing w:after="0"/>
            </w:pPr>
            <w:r/>
            <w:r>
              <w:rPr>
                <w:sz w:val="19"/>
              </w:rPr>
              <w:t>Section 2</w:t>
            </w:r>
          </w:p>
        </w:tc>
      </w:tr>
      <w:tr>
        <w:tc>
          <w:tcPr>
            <w:tcW w:type="dxa" w:w="4320"/>
            <w:shd w:val="clear" w:color="auto" w:fill="EDF1F5"/>
          </w:tcPr>
          <w:p>
            <w:pPr>
              <w:spacing w:after="0"/>
            </w:pPr>
            <w:r/>
            <w:r>
              <w:rPr>
                <w:sz w:val="19"/>
              </w:rPr>
              <w:t>Figure 2: Research Design &amp; Stages (schematic)</w:t>
            </w:r>
          </w:p>
        </w:tc>
        <w:tc>
          <w:tcPr>
            <w:tcW w:type="dxa" w:w="4320"/>
            <w:shd w:val="clear" w:color="auto" w:fill="EDF1F5"/>
          </w:tcPr>
          <w:p>
            <w:pPr>
              <w:spacing w:after="0"/>
            </w:pPr>
            <w:r/>
            <w:r>
              <w:rPr>
                <w:sz w:val="19"/>
              </w:rPr>
              <w:t>Section 2</w:t>
            </w:r>
          </w:p>
        </w:tc>
      </w:tr>
      <w:tr>
        <w:tc>
          <w:tcPr>
            <w:tcW w:type="dxa" w:w="4320"/>
          </w:tcPr>
          <w:p>
            <w:pPr>
              <w:spacing w:after="0"/>
            </w:pPr>
            <w:r/>
            <w:r>
              <w:rPr>
                <w:sz w:val="19"/>
              </w:rPr>
              <w:t>Figure 4: Value Chain (schematic)</w:t>
            </w:r>
          </w:p>
        </w:tc>
        <w:tc>
          <w:tcPr>
            <w:tcW w:type="dxa" w:w="4320"/>
          </w:tcPr>
          <w:p>
            <w:pPr>
              <w:spacing w:after="0"/>
            </w:pPr>
            <w:r/>
            <w:r>
              <w:rPr>
                <w:sz w:val="19"/>
              </w:rPr>
              <w:t>Section 2</w:t>
            </w:r>
          </w:p>
        </w:tc>
      </w:tr>
      <w:tr>
        <w:tc>
          <w:tcPr>
            <w:tcW w:type="dxa" w:w="4320"/>
            <w:shd w:val="clear" w:color="auto" w:fill="EDF1F5"/>
          </w:tcPr>
          <w:p>
            <w:pPr>
              <w:spacing w:after="0"/>
            </w:pPr>
            <w:r/>
            <w:r>
              <w:rPr>
                <w:sz w:val="19"/>
              </w:rPr>
              <w:t>Supplemental S2 — Lerner Index with Uncertainty Bands</w:t>
            </w:r>
          </w:p>
        </w:tc>
        <w:tc>
          <w:tcPr>
            <w:tcW w:type="dxa" w:w="4320"/>
            <w:shd w:val="clear" w:color="auto" w:fill="EDF1F5"/>
          </w:tcPr>
          <w:p>
            <w:pPr>
              <w:spacing w:after="0"/>
            </w:pPr>
            <w:r/>
            <w:r>
              <w:rPr>
                <w:sz w:val="19"/>
              </w:rPr>
              <w:t>Section 3</w:t>
            </w:r>
          </w:p>
        </w:tc>
      </w:tr>
      <w:tr>
        <w:tc>
          <w:tcPr>
            <w:tcW w:type="dxa" w:w="4320"/>
          </w:tcPr>
          <w:p>
            <w:pPr>
              <w:spacing w:after="0"/>
            </w:pPr>
            <w:r/>
            <w:r>
              <w:rPr>
                <w:sz w:val="19"/>
              </w:rPr>
              <w:t>Supplemental S1 — Revenue Levels 2025 vs 2030</w:t>
            </w:r>
          </w:p>
        </w:tc>
        <w:tc>
          <w:tcPr>
            <w:tcW w:type="dxa" w:w="4320"/>
          </w:tcPr>
          <w:p>
            <w:pPr>
              <w:spacing w:after="0"/>
            </w:pPr>
            <w:r/>
            <w:r>
              <w:rPr>
                <w:sz w:val="19"/>
              </w:rPr>
              <w:t>Section 3</w:t>
            </w:r>
          </w:p>
        </w:tc>
      </w:tr>
      <w:tr>
        <w:tc>
          <w:tcPr>
            <w:tcW w:type="dxa" w:w="4320"/>
            <w:shd w:val="clear" w:color="auto" w:fill="EDF1F5"/>
          </w:tcPr>
          <w:p>
            <w:pPr>
              <w:spacing w:after="0"/>
            </w:pPr>
            <w:r/>
            <w:r>
              <w:rPr>
                <w:sz w:val="19"/>
              </w:rPr>
              <w:t>Figure 3: Market Size, Concentration &amp; Shares [Panels: (a), (b), (c)]</w:t>
            </w:r>
          </w:p>
        </w:tc>
        <w:tc>
          <w:tcPr>
            <w:tcW w:type="dxa" w:w="4320"/>
            <w:shd w:val="clear" w:color="auto" w:fill="EDF1F5"/>
          </w:tcPr>
          <w:p>
            <w:pPr>
              <w:spacing w:after="0"/>
            </w:pPr>
            <w:r/>
            <w:r>
              <w:rPr>
                <w:sz w:val="19"/>
              </w:rPr>
              <w:t>Section 3</w:t>
            </w:r>
          </w:p>
        </w:tc>
      </w:tr>
      <w:tr>
        <w:tc>
          <w:tcPr>
            <w:tcW w:type="dxa" w:w="4320"/>
          </w:tcPr>
          <w:p>
            <w:pPr>
              <w:spacing w:after="0"/>
            </w:pPr>
            <w:r/>
            <w:r>
              <w:rPr>
                <w:sz w:val="19"/>
              </w:rPr>
              <w:t>Figure 13: Revenue Projections (schematic)</w:t>
            </w:r>
          </w:p>
        </w:tc>
        <w:tc>
          <w:tcPr>
            <w:tcW w:type="dxa" w:w="4320"/>
          </w:tcPr>
          <w:p>
            <w:pPr>
              <w:spacing w:after="0"/>
            </w:pPr>
            <w:r/>
            <w:r>
              <w:rPr>
                <w:sz w:val="19"/>
              </w:rPr>
              <w:t>Section 3</w:t>
            </w:r>
          </w:p>
        </w:tc>
      </w:tr>
      <w:tr>
        <w:tc>
          <w:tcPr>
            <w:tcW w:type="dxa" w:w="4320"/>
            <w:shd w:val="clear" w:color="auto" w:fill="EDF1F5"/>
          </w:tcPr>
          <w:p>
            <w:pPr>
              <w:spacing w:after="0"/>
            </w:pPr>
            <w:r/>
            <w:r>
              <w:rPr>
                <w:sz w:val="19"/>
              </w:rPr>
              <w:t>Supplemental S5 — Joint Gains and Minimum Transfers by Game</w:t>
            </w:r>
          </w:p>
        </w:tc>
        <w:tc>
          <w:tcPr>
            <w:tcW w:type="dxa" w:w="4320"/>
            <w:shd w:val="clear" w:color="auto" w:fill="EDF1F5"/>
          </w:tcPr>
          <w:p>
            <w:pPr>
              <w:spacing w:after="0"/>
            </w:pPr>
            <w:r/>
            <w:r>
              <w:rPr>
                <w:sz w:val="19"/>
              </w:rPr>
              <w:t>Section 4</w:t>
            </w:r>
          </w:p>
        </w:tc>
      </w:tr>
      <w:tr>
        <w:tc>
          <w:tcPr>
            <w:tcW w:type="dxa" w:w="4320"/>
          </w:tcPr>
          <w:p>
            <w:pPr>
              <w:spacing w:after="0"/>
            </w:pPr>
            <w:r/>
            <w:r>
              <w:rPr>
                <w:sz w:val="19"/>
              </w:rPr>
              <w:t>Figure 5: Complete Matrices (schematic)</w:t>
            </w:r>
          </w:p>
        </w:tc>
        <w:tc>
          <w:tcPr>
            <w:tcW w:type="dxa" w:w="4320"/>
          </w:tcPr>
          <w:p>
            <w:pPr>
              <w:spacing w:after="0"/>
            </w:pPr>
            <w:r/>
            <w:r>
              <w:rPr>
                <w:sz w:val="19"/>
              </w:rPr>
              <w:t>Section 4</w:t>
            </w:r>
          </w:p>
        </w:tc>
      </w:tr>
      <w:tr>
        <w:tc>
          <w:tcPr>
            <w:tcW w:type="dxa" w:w="4320"/>
            <w:shd w:val="clear" w:color="auto" w:fill="EDF1F5"/>
          </w:tcPr>
          <w:p>
            <w:pPr>
              <w:spacing w:after="0"/>
            </w:pPr>
            <w:r/>
            <w:r>
              <w:rPr>
                <w:sz w:val="19"/>
              </w:rPr>
              <w:t>Figure 6: Core Game: Equilibrium &amp; Payoffs (schematic)</w:t>
            </w:r>
          </w:p>
        </w:tc>
        <w:tc>
          <w:tcPr>
            <w:tcW w:type="dxa" w:w="4320"/>
            <w:shd w:val="clear" w:color="auto" w:fill="EDF1F5"/>
          </w:tcPr>
          <w:p>
            <w:pPr>
              <w:spacing w:after="0"/>
            </w:pPr>
            <w:r/>
            <w:r>
              <w:rPr>
                <w:sz w:val="19"/>
              </w:rPr>
              <w:t>Section 4</w:t>
            </w:r>
          </w:p>
        </w:tc>
      </w:tr>
      <w:tr>
        <w:tc>
          <w:tcPr>
            <w:tcW w:type="dxa" w:w="4320"/>
          </w:tcPr>
          <w:p>
            <w:pPr>
              <w:spacing w:after="0"/>
            </w:pPr>
            <w:r/>
            <w:r>
              <w:rPr>
                <w:sz w:val="19"/>
              </w:rPr>
              <w:t>Figure 11: Dynamics &amp; Stability [Panels: (a), (b)]</w:t>
            </w:r>
          </w:p>
        </w:tc>
        <w:tc>
          <w:tcPr>
            <w:tcW w:type="dxa" w:w="4320"/>
          </w:tcPr>
          <w:p>
            <w:pPr>
              <w:spacing w:after="0"/>
            </w:pPr>
            <w:r/>
            <w:r>
              <w:rPr>
                <w:sz w:val="19"/>
              </w:rPr>
              <w:t>Section 4</w:t>
            </w:r>
          </w:p>
        </w:tc>
      </w:tr>
      <w:tr>
        <w:tc>
          <w:tcPr>
            <w:tcW w:type="dxa" w:w="4320"/>
            <w:shd w:val="clear" w:color="auto" w:fill="EDF1F5"/>
          </w:tcPr>
          <w:p>
            <w:pPr>
              <w:spacing w:after="0"/>
            </w:pPr>
            <w:r/>
            <w:r>
              <w:rPr>
                <w:sz w:val="19"/>
              </w:rPr>
              <w:t>Figure 7: Welfare Composite [Panels: (a), (b), (c), (d)]</w:t>
            </w:r>
          </w:p>
        </w:tc>
        <w:tc>
          <w:tcPr>
            <w:tcW w:type="dxa" w:w="4320"/>
            <w:shd w:val="clear" w:color="auto" w:fill="EDF1F5"/>
          </w:tcPr>
          <w:p>
            <w:pPr>
              <w:spacing w:after="0"/>
            </w:pPr>
            <w:r/>
            <w:r>
              <w:rPr>
                <w:sz w:val="19"/>
              </w:rPr>
              <w:t>Section 5</w:t>
            </w:r>
          </w:p>
        </w:tc>
      </w:tr>
      <w:tr>
        <w:tc>
          <w:tcPr>
            <w:tcW w:type="dxa" w:w="4320"/>
          </w:tcPr>
          <w:p>
            <w:pPr>
              <w:spacing w:after="0"/>
            </w:pPr>
            <w:r/>
            <w:r>
              <w:rPr>
                <w:sz w:val="19"/>
              </w:rPr>
              <w:t>Figure 12: Policy Simulation (schematic)</w:t>
            </w:r>
          </w:p>
        </w:tc>
        <w:tc>
          <w:tcPr>
            <w:tcW w:type="dxa" w:w="4320"/>
          </w:tcPr>
          <w:p>
            <w:pPr>
              <w:spacing w:after="0"/>
            </w:pPr>
            <w:r/>
            <w:r>
              <w:rPr>
                <w:sz w:val="19"/>
              </w:rPr>
              <w:t>Section 5</w:t>
            </w:r>
          </w:p>
        </w:tc>
      </w:tr>
      <w:tr>
        <w:tc>
          <w:tcPr>
            <w:tcW w:type="dxa" w:w="4320"/>
            <w:shd w:val="clear" w:color="auto" w:fill="EDF1F5"/>
          </w:tcPr>
          <w:p>
            <w:pPr>
              <w:spacing w:after="0"/>
            </w:pPr>
            <w:r/>
            <w:r>
              <w:rPr>
                <w:sz w:val="19"/>
              </w:rPr>
              <w:t>Figure 8: Monte Carlo Convergence [Panels: (a), (b)]</w:t>
            </w:r>
          </w:p>
        </w:tc>
        <w:tc>
          <w:tcPr>
            <w:tcW w:type="dxa" w:w="4320"/>
            <w:shd w:val="clear" w:color="auto" w:fill="EDF1F5"/>
          </w:tcPr>
          <w:p>
            <w:pPr>
              <w:spacing w:after="0"/>
            </w:pPr>
            <w:r/>
            <w:r>
              <w:rPr>
                <w:sz w:val="19"/>
              </w:rPr>
              <w:t>Section 6</w:t>
            </w:r>
          </w:p>
        </w:tc>
      </w:tr>
      <w:tr>
        <w:tc>
          <w:tcPr>
            <w:tcW w:type="dxa" w:w="4320"/>
          </w:tcPr>
          <w:p>
            <w:pPr>
              <w:spacing w:after="0"/>
            </w:pPr>
            <w:r/>
            <w:r>
              <w:rPr>
                <w:sz w:val="19"/>
              </w:rPr>
              <w:t>Figure 9: Sensitivity Response (schematic)</w:t>
            </w:r>
          </w:p>
        </w:tc>
        <w:tc>
          <w:tcPr>
            <w:tcW w:type="dxa" w:w="4320"/>
          </w:tcPr>
          <w:p>
            <w:pPr>
              <w:spacing w:after="0"/>
            </w:pPr>
            <w:r/>
            <w:r>
              <w:rPr>
                <w:sz w:val="19"/>
              </w:rPr>
              <w:t>Section 6</w:t>
            </w:r>
          </w:p>
        </w:tc>
      </w:tr>
      <w:tr>
        <w:tc>
          <w:tcPr>
            <w:tcW w:type="dxa" w:w="4320"/>
            <w:shd w:val="clear" w:color="auto" w:fill="EDF1F5"/>
          </w:tcPr>
          <w:p>
            <w:pPr>
              <w:spacing w:after="0"/>
            </w:pPr>
            <w:r/>
            <w:r>
              <w:rPr>
                <w:sz w:val="19"/>
              </w:rPr>
              <w:t>Figure 10: Sobol Indices (schematic)</w:t>
            </w:r>
          </w:p>
        </w:tc>
        <w:tc>
          <w:tcPr>
            <w:tcW w:type="dxa" w:w="4320"/>
            <w:shd w:val="clear" w:color="auto" w:fill="EDF1F5"/>
          </w:tcPr>
          <w:p>
            <w:pPr>
              <w:spacing w:after="0"/>
            </w:pPr>
            <w:r/>
            <w:r>
              <w:rPr>
                <w:sz w:val="19"/>
              </w:rPr>
              <w:t>Section 6</w:t>
            </w:r>
          </w:p>
        </w:tc>
      </w:tr>
      <w:tr>
        <w:tc>
          <w:tcPr>
            <w:tcW w:type="dxa" w:w="4320"/>
          </w:tcPr>
          <w:p>
            <w:pPr>
              <w:spacing w:after="0"/>
            </w:pPr>
            <w:r/>
            <w:r>
              <w:rPr>
                <w:sz w:val="19"/>
              </w:rPr>
              <w:t>Supplemental S3 — Shapley Share vs Revenue Share</w:t>
            </w:r>
          </w:p>
        </w:tc>
        <w:tc>
          <w:tcPr>
            <w:tcW w:type="dxa" w:w="4320"/>
          </w:tcPr>
          <w:p>
            <w:pPr>
              <w:spacing w:after="0"/>
            </w:pPr>
            <w:r/>
            <w:r>
              <w:rPr>
                <w:sz w:val="19"/>
              </w:rPr>
              <w:t>Section 7</w:t>
            </w:r>
          </w:p>
        </w:tc>
      </w:tr>
      <w:tr>
        <w:tc>
          <w:tcPr>
            <w:tcW w:type="dxa" w:w="4320"/>
            <w:shd w:val="clear" w:color="auto" w:fill="EDF1F5"/>
          </w:tcPr>
          <w:p>
            <w:pPr>
              <w:spacing w:after="0"/>
            </w:pPr>
            <w:r/>
            <w:r>
              <w:rPr>
                <w:sz w:val="19"/>
              </w:rPr>
              <w:t>Figure 14: Network Risk (schematic)</w:t>
            </w:r>
          </w:p>
        </w:tc>
        <w:tc>
          <w:tcPr>
            <w:tcW w:type="dxa" w:w="4320"/>
            <w:shd w:val="clear" w:color="auto" w:fill="EDF1F5"/>
          </w:tcPr>
          <w:p>
            <w:pPr>
              <w:spacing w:after="0"/>
            </w:pPr>
            <w:r/>
            <w:r>
              <w:rPr>
                <w:sz w:val="19"/>
              </w:rPr>
              <w:t>Section 7</w:t>
            </w:r>
          </w:p>
        </w:tc>
      </w:tr>
      <w:tr>
        <w:tc>
          <w:tcPr>
            <w:tcW w:type="dxa" w:w="4320"/>
          </w:tcPr>
          <w:p>
            <w:pPr>
              <w:spacing w:after="0"/>
            </w:pPr>
            <w:r/>
            <w:r>
              <w:rPr>
                <w:sz w:val="19"/>
              </w:rPr>
              <w:t>Figure 15: Portfolio Risk (schematic)</w:t>
            </w:r>
          </w:p>
        </w:tc>
        <w:tc>
          <w:tcPr>
            <w:tcW w:type="dxa" w:w="4320"/>
          </w:tcPr>
          <w:p>
            <w:pPr>
              <w:spacing w:after="0"/>
            </w:pPr>
            <w:r/>
            <w:r>
              <w:rPr>
                <w:sz w:val="19"/>
              </w:rPr>
              <w:t>Section 7</w:t>
            </w:r>
          </w:p>
        </w:tc>
      </w:tr>
      <w:tr>
        <w:tc>
          <w:tcPr>
            <w:tcW w:type="dxa" w:w="4320"/>
            <w:shd w:val="clear" w:color="auto" w:fill="EDF1F5"/>
          </w:tcPr>
          <w:p>
            <w:pPr>
              <w:spacing w:after="0"/>
            </w:pPr>
            <w:r/>
            <w:r>
              <w:rPr>
                <w:sz w:val="19"/>
              </w:rPr>
              <w:t>Figure 16: Shapley Values (schematic)</w:t>
            </w:r>
          </w:p>
        </w:tc>
        <w:tc>
          <w:tcPr>
            <w:tcW w:type="dxa" w:w="4320"/>
            <w:shd w:val="clear" w:color="auto" w:fill="EDF1F5"/>
          </w:tcPr>
          <w:p>
            <w:pPr>
              <w:spacing w:after="0"/>
            </w:pPr>
            <w:r/>
            <w:r>
              <w:rPr>
                <w:sz w:val="19"/>
              </w:rPr>
              <w:t>Section 7</w:t>
            </w:r>
          </w:p>
        </w:tc>
      </w:tr>
      <w:tr>
        <w:tc>
          <w:tcPr>
            <w:tcW w:type="dxa" w:w="4320"/>
          </w:tcPr>
          <w:p>
            <w:pPr>
              <w:spacing w:after="0"/>
            </w:pPr>
            <w:r/>
            <w:r>
              <w:rPr>
                <w:sz w:val="19"/>
              </w:rPr>
              <w:t>Supplemental S4 — Direct vs Second-Round Losses (DebtRank)</w:t>
            </w:r>
          </w:p>
        </w:tc>
        <w:tc>
          <w:tcPr>
            <w:tcW w:type="dxa" w:w="4320"/>
          </w:tcPr>
          <w:p>
            <w:pPr>
              <w:spacing w:after="0"/>
            </w:pPr>
            <w:r/>
            <w:r>
              <w:rPr>
                <w:sz w:val="19"/>
              </w:rPr>
              <w:t>Section 7</w:t>
            </w:r>
          </w:p>
        </w:tc>
      </w:tr>
      <w:tr>
        <w:tc>
          <w:tcPr>
            <w:tcW w:type="dxa" w:w="4320"/>
            <w:shd w:val="clear" w:color="auto" w:fill="EDF1F5"/>
          </w:tcPr>
          <w:p>
            <w:pPr>
              <w:spacing w:after="0"/>
            </w:pPr>
            <w:r/>
            <w:r>
              <w:rPr>
                <w:sz w:val="19"/>
              </w:rPr>
              <w:t>Figure 17: Company Valuation Dashboard (schematic)</w:t>
            </w:r>
          </w:p>
        </w:tc>
        <w:tc>
          <w:tcPr>
            <w:tcW w:type="dxa" w:w="4320"/>
            <w:shd w:val="clear" w:color="auto" w:fill="EDF1F5"/>
          </w:tcPr>
          <w:p>
            <w:pPr>
              <w:spacing w:after="0"/>
            </w:pPr>
            <w:r/>
            <w:r>
              <w:rPr>
                <w:sz w:val="19"/>
              </w:rPr>
              <w:t>Section 8</w:t>
            </w:r>
          </w:p>
        </w:tc>
      </w:tr>
      <w:tr>
        <w:tc>
          <w:tcPr>
            <w:tcW w:type="dxa" w:w="4320"/>
          </w:tcPr>
          <w:p>
            <w:pPr>
              <w:spacing w:after="0"/>
            </w:pPr>
            <w:r/>
            <w:r>
              <w:rPr>
                <w:sz w:val="19"/>
              </w:rPr>
              <w:t>Figure 18: Company Valuation Metrics Table (schematic)</w:t>
            </w:r>
          </w:p>
        </w:tc>
        <w:tc>
          <w:tcPr>
            <w:tcW w:type="dxa" w:w="4320"/>
          </w:tcPr>
          <w:p>
            <w:pPr>
              <w:spacing w:after="0"/>
            </w:pPr>
            <w:r/>
            <w:r>
              <w:rPr>
                <w:sz w:val="19"/>
              </w:rPr>
              <w:t>Section 8</w:t>
            </w:r>
          </w:p>
        </w:tc>
      </w:tr>
    </w:tbl>
    <w:p>
      <w:pPr>
        <w:spacing w:after="80"/>
      </w:pPr>
      <w:r>
        <w:rPr>
          <w:sz w:val="4"/>
        </w:rPr>
      </w:r>
    </w:p>
    <w:p>
      <w:pPr>
        <w:pStyle w:val="Heading1"/>
      </w:pPr>
      <w:r>
        <w:t>List of Abbreviations</w:t>
      </w:r>
    </w:p>
    <w:tbl>
      <w:tblPr>
        <w:tblStyle w:val="TableGrid"/>
        <w:tblW w:type="auto" w:w="0"/>
        <w:jc w:val="center"/>
        <w:tblLook w:firstColumn="1" w:firstRow="1" w:lastColumn="0" w:lastRow="0" w:noHBand="0" w:noVBand="1" w:val="04A0"/>
      </w:tblPr>
      <w:tblGrid>
        <w:gridCol w:w="4320"/>
        <w:gridCol w:w="4320"/>
      </w:tblGrid>
      <w:tr>
        <w:tc>
          <w:tcPr>
            <w:tcW w:type="dxa" w:w="4320"/>
            <w:tblHeader w:val="true"/>
            <w:shd w:val="clear" w:color="auto" w:fill="2C3E50"/>
          </w:tcPr>
          <w:p>
            <w:pPr>
              <w:jc w:val="center"/>
            </w:pPr>
            <w:r/>
            <w:r>
              <w:rPr>
                <w:b/>
                <w:color w:val="FFFFFF"/>
                <w:sz w:val="20"/>
              </w:rPr>
              <w:t>Abbreviation</w:t>
            </w:r>
          </w:p>
        </w:tc>
        <w:tc>
          <w:tcPr>
            <w:tcW w:type="dxa" w:w="4320"/>
            <w:tblHeader w:val="true"/>
            <w:shd w:val="clear" w:color="auto" w:fill="2C3E50"/>
          </w:tcPr>
          <w:p>
            <w:pPr>
              <w:jc w:val="center"/>
            </w:pPr>
            <w:r/>
            <w:r>
              <w:rPr>
                <w:b/>
                <w:color w:val="FFFFFF"/>
                <w:sz w:val="20"/>
              </w:rPr>
              <w:t>Definition</w:t>
            </w:r>
          </w:p>
        </w:tc>
      </w:tr>
      <w:tr>
        <w:tc>
          <w:tcPr>
            <w:tcW w:type="dxa" w:w="4320"/>
          </w:tcPr>
          <w:p>
            <w:pPr>
              <w:spacing w:after="0"/>
            </w:pPr>
            <w:r/>
            <w:r>
              <w:rPr>
                <w:sz w:val="19"/>
              </w:rPr>
              <w:t>AI</w:t>
            </w:r>
          </w:p>
        </w:tc>
        <w:tc>
          <w:tcPr>
            <w:tcW w:type="dxa" w:w="4320"/>
          </w:tcPr>
          <w:p>
            <w:pPr>
              <w:spacing w:after="0"/>
            </w:pPr>
            <w:r/>
            <w:r>
              <w:rPr>
                <w:sz w:val="19"/>
              </w:rPr>
              <w:t>Artificial Intelligence</w:t>
            </w:r>
          </w:p>
        </w:tc>
      </w:tr>
      <w:tr>
        <w:tc>
          <w:tcPr>
            <w:tcW w:type="dxa" w:w="4320"/>
            <w:shd w:val="clear" w:color="auto" w:fill="EDF1F5"/>
          </w:tcPr>
          <w:p>
            <w:pPr>
              <w:spacing w:after="0"/>
            </w:pPr>
            <w:r/>
            <w:r>
              <w:rPr>
                <w:sz w:val="19"/>
              </w:rPr>
              <w:t>BCR</w:t>
            </w:r>
          </w:p>
        </w:tc>
        <w:tc>
          <w:tcPr>
            <w:tcW w:type="dxa" w:w="4320"/>
            <w:shd w:val="clear" w:color="auto" w:fill="EDF1F5"/>
          </w:tcPr>
          <w:p>
            <w:pPr>
              <w:spacing w:after="0"/>
            </w:pPr>
            <w:r/>
            <w:r>
              <w:rPr>
                <w:sz w:val="19"/>
              </w:rPr>
              <w:t>Benefit–Cost Ratio</w:t>
            </w:r>
          </w:p>
        </w:tc>
      </w:tr>
      <w:tr>
        <w:tc>
          <w:tcPr>
            <w:tcW w:type="dxa" w:w="4320"/>
          </w:tcPr>
          <w:p>
            <w:pPr>
              <w:spacing w:after="0"/>
            </w:pPr>
            <w:r/>
            <w:r>
              <w:rPr>
                <w:sz w:val="19"/>
              </w:rPr>
              <w:t>CI</w:t>
            </w:r>
          </w:p>
        </w:tc>
        <w:tc>
          <w:tcPr>
            <w:tcW w:type="dxa" w:w="4320"/>
          </w:tcPr>
          <w:p>
            <w:pPr>
              <w:spacing w:after="0"/>
            </w:pPr>
            <w:r/>
            <w:r>
              <w:rPr>
                <w:sz w:val="19"/>
              </w:rPr>
              <w:t>Confidence Interval</w:t>
            </w:r>
          </w:p>
        </w:tc>
      </w:tr>
      <w:tr>
        <w:tc>
          <w:tcPr>
            <w:tcW w:type="dxa" w:w="4320"/>
            <w:shd w:val="clear" w:color="auto" w:fill="EDF1F5"/>
          </w:tcPr>
          <w:p>
            <w:pPr>
              <w:spacing w:after="0"/>
            </w:pPr>
            <w:r/>
            <w:r>
              <w:rPr>
                <w:sz w:val="19"/>
              </w:rPr>
              <w:t>CR4</w:t>
            </w:r>
          </w:p>
        </w:tc>
        <w:tc>
          <w:tcPr>
            <w:tcW w:type="dxa" w:w="4320"/>
            <w:shd w:val="clear" w:color="auto" w:fill="EDF1F5"/>
          </w:tcPr>
          <w:p>
            <w:pPr>
              <w:spacing w:after="0"/>
            </w:pPr>
            <w:r/>
            <w:r>
              <w:rPr>
                <w:sz w:val="19"/>
              </w:rPr>
              <w:t>Concentration Ratio (top 4 archetypes)</w:t>
            </w:r>
          </w:p>
        </w:tc>
      </w:tr>
      <w:tr>
        <w:tc>
          <w:tcPr>
            <w:tcW w:type="dxa" w:w="4320"/>
          </w:tcPr>
          <w:p>
            <w:pPr>
              <w:spacing w:after="0"/>
            </w:pPr>
            <w:r/>
            <w:r>
              <w:rPr>
                <w:sz w:val="19"/>
              </w:rPr>
              <w:t>DWL</w:t>
            </w:r>
          </w:p>
        </w:tc>
        <w:tc>
          <w:tcPr>
            <w:tcW w:type="dxa" w:w="4320"/>
          </w:tcPr>
          <w:p>
            <w:pPr>
              <w:spacing w:after="0"/>
            </w:pPr>
            <w:r/>
            <w:r>
              <w:rPr>
                <w:sz w:val="19"/>
              </w:rPr>
              <w:t>Deadweight Loss</w:t>
            </w:r>
          </w:p>
        </w:tc>
      </w:tr>
      <w:tr>
        <w:tc>
          <w:tcPr>
            <w:tcW w:type="dxa" w:w="4320"/>
            <w:shd w:val="clear" w:color="auto" w:fill="EDF1F5"/>
          </w:tcPr>
          <w:p>
            <w:pPr>
              <w:spacing w:after="0"/>
            </w:pPr>
            <w:r/>
            <w:r>
              <w:rPr>
                <w:sz w:val="19"/>
              </w:rPr>
              <w:t>HHI</w:t>
            </w:r>
          </w:p>
        </w:tc>
        <w:tc>
          <w:tcPr>
            <w:tcW w:type="dxa" w:w="4320"/>
            <w:shd w:val="clear" w:color="auto" w:fill="EDF1F5"/>
          </w:tcPr>
          <w:p>
            <w:pPr>
              <w:spacing w:after="0"/>
            </w:pPr>
            <w:r/>
            <w:r>
              <w:rPr>
                <w:sz w:val="19"/>
              </w:rPr>
              <w:t>Herfindahl–Hirschman Index</w:t>
            </w:r>
          </w:p>
        </w:tc>
      </w:tr>
      <w:tr>
        <w:tc>
          <w:tcPr>
            <w:tcW w:type="dxa" w:w="4320"/>
          </w:tcPr>
          <w:p>
            <w:pPr>
              <w:spacing w:after="0"/>
            </w:pPr>
            <w:r/>
            <w:r>
              <w:rPr>
                <w:sz w:val="19"/>
              </w:rPr>
              <w:t>K-H</w:t>
            </w:r>
          </w:p>
        </w:tc>
        <w:tc>
          <w:tcPr>
            <w:tcW w:type="dxa" w:w="4320"/>
          </w:tcPr>
          <w:p>
            <w:pPr>
              <w:spacing w:after="0"/>
            </w:pPr>
            <w:r/>
            <w:r>
              <w:rPr>
                <w:sz w:val="19"/>
              </w:rPr>
              <w:t>Kaldor–Hicks (joint-surplus benchmark requiring transfers)</w:t>
            </w:r>
          </w:p>
        </w:tc>
      </w:tr>
      <w:tr>
        <w:tc>
          <w:tcPr>
            <w:tcW w:type="dxa" w:w="4320"/>
            <w:shd w:val="clear" w:color="auto" w:fill="EDF1F5"/>
          </w:tcPr>
          <w:p>
            <w:pPr>
              <w:spacing w:after="0"/>
            </w:pPr>
            <w:r/>
            <w:r>
              <w:rPr>
                <w:sz w:val="19"/>
              </w:rPr>
              <w:t>LLM</w:t>
            </w:r>
          </w:p>
        </w:tc>
        <w:tc>
          <w:tcPr>
            <w:tcW w:type="dxa" w:w="4320"/>
            <w:shd w:val="clear" w:color="auto" w:fill="EDF1F5"/>
          </w:tcPr>
          <w:p>
            <w:pPr>
              <w:spacing w:after="0"/>
            </w:pPr>
            <w:r/>
            <w:r>
              <w:rPr>
                <w:sz w:val="19"/>
              </w:rPr>
              <w:t>Large Language Model</w:t>
            </w:r>
          </w:p>
        </w:tc>
      </w:tr>
      <w:tr>
        <w:tc>
          <w:tcPr>
            <w:tcW w:type="dxa" w:w="4320"/>
          </w:tcPr>
          <w:p>
            <w:pPr>
              <w:spacing w:after="0"/>
            </w:pPr>
            <w:r/>
            <w:r>
              <w:rPr>
                <w:sz w:val="19"/>
              </w:rPr>
              <w:t>MC</w:t>
            </w:r>
          </w:p>
        </w:tc>
        <w:tc>
          <w:tcPr>
            <w:tcW w:type="dxa" w:w="4320"/>
          </w:tcPr>
          <w:p>
            <w:pPr>
              <w:spacing w:after="0"/>
            </w:pPr>
            <w:r/>
            <w:r>
              <w:rPr>
                <w:sz w:val="19"/>
              </w:rPr>
              <w:t>Monte Carlo (simulation)</w:t>
            </w:r>
          </w:p>
        </w:tc>
      </w:tr>
      <w:tr>
        <w:tc>
          <w:tcPr>
            <w:tcW w:type="dxa" w:w="4320"/>
            <w:shd w:val="clear" w:color="auto" w:fill="EDF1F5"/>
          </w:tcPr>
          <w:p>
            <w:pPr>
              <w:spacing w:after="0"/>
            </w:pPr>
            <w:r/>
            <w:r>
              <w:rPr>
                <w:sz w:val="19"/>
              </w:rPr>
              <w:t>NE</w:t>
            </w:r>
          </w:p>
        </w:tc>
        <w:tc>
          <w:tcPr>
            <w:tcW w:type="dxa" w:w="4320"/>
            <w:shd w:val="clear" w:color="auto" w:fill="EDF1F5"/>
          </w:tcPr>
          <w:p>
            <w:pPr>
              <w:spacing w:after="0"/>
            </w:pPr>
            <w:r/>
            <w:r>
              <w:rPr>
                <w:sz w:val="19"/>
              </w:rPr>
              <w:t>Nash Equilibrium</w:t>
            </w:r>
          </w:p>
        </w:tc>
      </w:tr>
      <w:tr>
        <w:tc>
          <w:tcPr>
            <w:tcW w:type="dxa" w:w="4320"/>
          </w:tcPr>
          <w:p>
            <w:pPr>
              <w:spacing w:after="0"/>
            </w:pPr>
            <w:r/>
            <w:r>
              <w:rPr>
                <w:sz w:val="19"/>
              </w:rPr>
              <w:t>TTM</w:t>
            </w:r>
          </w:p>
        </w:tc>
        <w:tc>
          <w:tcPr>
            <w:tcW w:type="dxa" w:w="4320"/>
          </w:tcPr>
          <w:p>
            <w:pPr>
              <w:spacing w:after="0"/>
            </w:pPr>
            <w:r/>
            <w:r>
              <w:rPr>
                <w:sz w:val="19"/>
              </w:rPr>
              <w:t>Trailing Twelve Months (valuation inputs)</w:t>
            </w:r>
          </w:p>
        </w:tc>
      </w:tr>
      <w:tr>
        <w:tc>
          <w:tcPr>
            <w:tcW w:type="dxa" w:w="4320"/>
            <w:shd w:val="clear" w:color="auto" w:fill="EDF1F5"/>
          </w:tcPr>
          <w:p>
            <w:pPr>
              <w:spacing w:after="0"/>
            </w:pPr>
            <w:r/>
            <w:r>
              <w:rPr>
                <w:sz w:val="19"/>
              </w:rPr>
              <w:t>JM</w:t>
            </w:r>
          </w:p>
        </w:tc>
        <w:tc>
          <w:tcPr>
            <w:tcW w:type="dxa" w:w="4320"/>
            <w:shd w:val="clear" w:color="auto" w:fill="EDF1F5"/>
          </w:tcPr>
          <w:p>
            <w:pPr>
              <w:spacing w:after="0"/>
            </w:pPr>
            <w:r/>
            <w:r>
              <w:rPr>
                <w:sz w:val="19"/>
              </w:rPr>
              <w:t>Joint-Surplus Maximum (Kaldor–Hicks Benchmark)</w:t>
            </w:r>
          </w:p>
        </w:tc>
      </w:tr>
    </w:tbl>
    <w:p>
      <w:pPr>
        <w:spacing w:after="80"/>
      </w:pPr>
      <w:r>
        <w:rPr>
          <w:sz w:val="4"/>
        </w:rPr>
      </w:r>
    </w:p>
    <w:p>
      <w:pPr>
        <w:spacing w:after="0"/>
      </w:pPr>
    </w:p>
    <w:p>
      <w:pPr>
        <w:pStyle w:val="Heading1"/>
      </w:pPr>
      <w:r>
        <w:t>1.  Executive Summary</w:t>
      </w:r>
    </w:p>
    <w:p>
      <w:pPr>
        <w:spacing w:after="120"/>
      </w:pPr>
      <w:r>
        <w:rPr>
          <w:b w:val="0"/>
          <w:i w:val="0"/>
          <w:sz w:val="22"/>
        </w:rPr>
        <w:t>This report documents the AI-ecosystem game-theory analysis produced by ai_ecosystem_model.py. It synthesizes an estimated aggregate market revenue of $1,034.5B across four player archetypes (Hardware, Cloud Providers, Foundation Models, and LLM Wrappers) whose strategic interaction is modeled as six bilateral 2×2 games, with equilibrium outcomes, welfare losses, circular-dependency risk, and policy implications evaluated quantitatively.</w:t>
      </w:r>
    </w:p>
    <w:p>
      <w:pPr>
        <w:pStyle w:val="ListBullet"/>
        <w:spacing w:after="80"/>
      </w:pPr>
      <w:r>
        <w:rPr>
          <w:b/>
          <w:sz w:val="21"/>
        </w:rPr>
        <w:t xml:space="preserve">Market structure: </w:t>
      </w:r>
      <w:r>
        <w:rPr>
          <w:sz w:val="21"/>
        </w:rPr>
        <w:t>Total revenue $1,034.5B; HHI 3,851 (highly concentrated); CR4 100.0%; Gini 0.393. Cloud Providers (40.3%) and Hardware (45.9%) dominate.</w:t>
      </w:r>
    </w:p>
    <w:p>
      <w:pPr>
        <w:pStyle w:val="ListBullet"/>
        <w:spacing w:after="80"/>
      </w:pPr>
      <w:r>
        <w:rPr>
          <w:b/>
          <w:sz w:val="21"/>
        </w:rPr>
        <w:t xml:space="preserve">Strategic games: </w:t>
      </w:r>
      <w:r>
        <w:rPr>
          <w:sz w:val="21"/>
        </w:rPr>
        <w:t>6 bilateral games analyzed. The core Hardware–Cloud Providers game is a coordination failure: the Nash equilibrium (Open Access, Proprietary Stack) is not a joint-surplus maximum (Kaldor–Hicks benchmark), with a game-level deadweight loss of $58.6B.</w:t>
      </w:r>
    </w:p>
    <w:p>
      <w:pPr>
        <w:pStyle w:val="ListBullet"/>
        <w:spacing w:after="80"/>
      </w:pPr>
      <w:r>
        <w:rPr>
          <w:b/>
          <w:sz w:val="21"/>
        </w:rPr>
        <w:t xml:space="preserve">Welfare: </w:t>
      </w:r>
      <w:r>
        <w:rPr>
          <w:sz w:val="21"/>
        </w:rPr>
        <w:t>Aggregate welfare at the Nash outcome is $1,034.5B vs. a potential (Pareto) $1,451.3B, implying a deadweight loss of $416.8B (28.7% of potential) and aggregate efficiency of 71.3%.</w:t>
      </w:r>
    </w:p>
    <w:p>
      <w:pPr>
        <w:pStyle w:val="ListBullet"/>
        <w:spacing w:after="80"/>
      </w:pPr>
      <w:r>
        <w:rPr>
          <w:b/>
          <w:sz w:val="21"/>
        </w:rPr>
        <w:t xml:space="preserve">Circular dependency: </w:t>
      </w:r>
      <w:r>
        <w:rPr>
          <w:sz w:val="21"/>
        </w:rPr>
        <w:t>19 circular deals totaling $1,188.3B; systemic criticality score 0.632.</w:t>
      </w:r>
    </w:p>
    <w:p>
      <w:pPr>
        <w:pStyle w:val="ListBullet"/>
        <w:spacing w:after="80"/>
      </w:pPr>
      <w:r>
        <w:rPr>
          <w:b/>
          <w:sz w:val="21"/>
        </w:rPr>
        <w:t xml:space="preserve">Cooperation: </w:t>
      </w:r>
      <w:r>
        <w:rPr>
          <w:sz w:val="21"/>
        </w:rPr>
        <w:t>Shapley allocation across the four players; cooperative surplus of the grand coalition ≈ $310.4B.</w:t>
      </w:r>
    </w:p>
    <w:p>
      <w:pPr>
        <w:pStyle w:val="ListBullet"/>
        <w:spacing w:after="80"/>
      </w:pPr>
      <w:r>
        <w:rPr>
          <w:b/>
          <w:sz w:val="21"/>
        </w:rPr>
        <w:t xml:space="preserve">Best policy (base scenario): </w:t>
      </w:r>
      <w:r>
        <w:rPr>
          <w:sz w:val="21"/>
        </w:rPr>
        <w:t>Combined Intervention — net benefit $214.2B.</w:t>
      </w:r>
    </w:p>
    <w:p>
      <w:pPr>
        <w:pStyle w:val="Heading2"/>
      </w:pPr>
      <w:r>
        <w:t>1.1  Headline metrics</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Aggregate market revenue</w:t>
            </w:r>
          </w:p>
        </w:tc>
        <w:tc>
          <w:tcPr>
            <w:tcW w:type="dxa" w:w="4680"/>
          </w:tcPr>
          <w:p>
            <w:pPr>
              <w:spacing w:after="0"/>
            </w:pPr>
            <w:r/>
            <w:r>
              <w:rPr>
                <w:sz w:val="19"/>
              </w:rPr>
              <w:t>$1,034.5B</w:t>
            </w:r>
          </w:p>
        </w:tc>
      </w:tr>
      <w:tr>
        <w:tc>
          <w:tcPr>
            <w:tcW w:type="dxa" w:w="4680"/>
            <w:shd w:val="clear" w:color="auto" w:fill="EDF1F5"/>
          </w:tcPr>
          <w:p>
            <w:pPr>
              <w:spacing w:after="0"/>
            </w:pPr>
            <w:r/>
            <w:r>
              <w:rPr>
                <w:sz w:val="19"/>
              </w:rPr>
              <w:t>HHI / CR4 / Gini</w:t>
            </w:r>
          </w:p>
        </w:tc>
        <w:tc>
          <w:tcPr>
            <w:tcW w:type="dxa" w:w="4680"/>
            <w:shd w:val="clear" w:color="auto" w:fill="EDF1F5"/>
          </w:tcPr>
          <w:p>
            <w:pPr>
              <w:spacing w:after="0"/>
            </w:pPr>
            <w:r/>
            <w:r>
              <w:rPr>
                <w:sz w:val="19"/>
              </w:rPr>
              <w:t>3,851 / 100.0% / 0.393</w:t>
            </w:r>
          </w:p>
        </w:tc>
      </w:tr>
      <w:tr>
        <w:tc>
          <w:tcPr>
            <w:tcW w:type="dxa" w:w="4680"/>
          </w:tcPr>
          <w:p>
            <w:pPr>
              <w:spacing w:after="0"/>
            </w:pPr>
            <w:r/>
            <w:r>
              <w:rPr>
                <w:sz w:val="19"/>
              </w:rPr>
              <w:t>Market-implied DWL</w:t>
            </w:r>
          </w:p>
        </w:tc>
        <w:tc>
          <w:tcPr>
            <w:tcW w:type="dxa" w:w="4680"/>
          </w:tcPr>
          <w:p>
            <w:pPr>
              <w:spacing w:after="0"/>
            </w:pPr>
            <w:r/>
            <w:r>
              <w:rPr>
                <w:sz w:val="19"/>
              </w:rPr>
              <w:t>28.72%  ($416.8B)</w:t>
            </w:r>
          </w:p>
        </w:tc>
      </w:tr>
      <w:tr>
        <w:tc>
          <w:tcPr>
            <w:tcW w:type="dxa" w:w="4680"/>
            <w:shd w:val="clear" w:color="auto" w:fill="EDF1F5"/>
          </w:tcPr>
          <w:p>
            <w:pPr>
              <w:spacing w:after="0"/>
            </w:pPr>
            <w:r/>
            <w:r>
              <w:rPr>
                <w:sz w:val="19"/>
              </w:rPr>
              <w:t>Aggregate welfare (Nash)</w:t>
            </w:r>
          </w:p>
        </w:tc>
        <w:tc>
          <w:tcPr>
            <w:tcW w:type="dxa" w:w="4680"/>
            <w:shd w:val="clear" w:color="auto" w:fill="EDF1F5"/>
          </w:tcPr>
          <w:p>
            <w:pPr>
              <w:spacing w:after="0"/>
            </w:pPr>
            <w:r/>
            <w:r>
              <w:rPr>
                <w:sz w:val="19"/>
              </w:rPr>
              <w:t>$1,034.5B</w:t>
            </w:r>
          </w:p>
        </w:tc>
      </w:tr>
      <w:tr>
        <w:tc>
          <w:tcPr>
            <w:tcW w:type="dxa" w:w="4680"/>
          </w:tcPr>
          <w:p>
            <w:pPr>
              <w:spacing w:after="0"/>
            </w:pPr>
            <w:r/>
            <w:r>
              <w:rPr>
                <w:sz w:val="19"/>
              </w:rPr>
              <w:t>Aggregate efficiency</w:t>
            </w:r>
          </w:p>
        </w:tc>
        <w:tc>
          <w:tcPr>
            <w:tcW w:type="dxa" w:w="4680"/>
          </w:tcPr>
          <w:p>
            <w:pPr>
              <w:spacing w:after="0"/>
            </w:pPr>
            <w:r/>
            <w:r>
              <w:rPr>
                <w:sz w:val="19"/>
              </w:rPr>
              <w:t>71.28%</w:t>
            </w:r>
          </w:p>
        </w:tc>
      </w:tr>
      <w:tr>
        <w:tc>
          <w:tcPr>
            <w:tcW w:type="dxa" w:w="4680"/>
            <w:shd w:val="clear" w:color="auto" w:fill="EDF1F5"/>
          </w:tcPr>
          <w:p>
            <w:pPr>
              <w:spacing w:after="0"/>
            </w:pPr>
            <w:r/>
            <w:r>
              <w:rPr>
                <w:sz w:val="19"/>
              </w:rPr>
              <w:t>Coordination-failure DWL</w:t>
            </w:r>
          </w:p>
        </w:tc>
        <w:tc>
          <w:tcPr>
            <w:tcW w:type="dxa" w:w="4680"/>
            <w:shd w:val="clear" w:color="auto" w:fill="EDF1F5"/>
          </w:tcPr>
          <w:p>
            <w:pPr>
              <w:spacing w:after="0"/>
            </w:pPr>
            <w:r/>
            <w:r>
              <w:rPr>
                <w:sz w:val="19"/>
              </w:rPr>
              <w:t>$867.77B</w:t>
            </w:r>
          </w:p>
        </w:tc>
      </w:tr>
      <w:tr>
        <w:tc>
          <w:tcPr>
            <w:tcW w:type="dxa" w:w="4680"/>
          </w:tcPr>
          <w:p>
            <w:pPr>
              <w:spacing w:after="0"/>
            </w:pPr>
            <w:r/>
            <w:r>
              <w:rPr>
                <w:sz w:val="19"/>
              </w:rPr>
              <w:t>Circular exposure</w:t>
            </w:r>
          </w:p>
        </w:tc>
        <w:tc>
          <w:tcPr>
            <w:tcW w:type="dxa" w:w="4680"/>
          </w:tcPr>
          <w:p>
            <w:pPr>
              <w:spacing w:after="0"/>
            </w:pPr>
            <w:r/>
            <w:r>
              <w:rPr>
                <w:sz w:val="19"/>
              </w:rPr>
              <w:t>$1,188.3B</w:t>
            </w:r>
          </w:p>
        </w:tc>
      </w:tr>
      <w:tr>
        <w:tc>
          <w:tcPr>
            <w:tcW w:type="dxa" w:w="4680"/>
            <w:shd w:val="clear" w:color="auto" w:fill="EDF1F5"/>
          </w:tcPr>
          <w:p>
            <w:pPr>
              <w:spacing w:after="0"/>
            </w:pPr>
            <w:r/>
            <w:r>
              <w:rPr>
                <w:sz w:val="19"/>
              </w:rPr>
              <w:t>Core game NE</w:t>
            </w:r>
          </w:p>
        </w:tc>
        <w:tc>
          <w:tcPr>
            <w:tcW w:type="dxa" w:w="4680"/>
            <w:shd w:val="clear" w:color="auto" w:fill="EDF1F5"/>
          </w:tcPr>
          <w:p>
            <w:pPr>
              <w:spacing w:after="0"/>
            </w:pPr>
            <w:r/>
            <w:r>
              <w:rPr>
                <w:sz w:val="19"/>
              </w:rPr>
              <w:t>Hardware: Open Access; Cloud: Proprietary Stack</w:t>
            </w:r>
          </w:p>
        </w:tc>
      </w:tr>
    </w:tbl>
    <w:p>
      <w:pPr>
        <w:spacing w:after="80"/>
      </w:pPr>
      <w:r>
        <w:rPr>
          <w:sz w:val="4"/>
        </w:rPr>
      </w:r>
    </w:p>
    <w:p>
      <w:pPr>
        <w:pStyle w:val="Heading2"/>
      </w:pPr>
      <w:r>
        <w:t>1.2  Research questions</w:t>
      </w:r>
    </w:p>
    <w:p>
      <w:pPr>
        <w:spacing w:after="80"/>
      </w:pPr>
      <w:r>
        <w:rPr>
          <w:b/>
          <w:sz w:val="21"/>
        </w:rPr>
        <w:t xml:space="preserve">RQ1 — Market concentration and power.  </w:t>
      </w:r>
      <w:r>
        <w:rPr>
          <w:sz w:val="21"/>
        </w:rPr>
        <w:t>How concentrated is the AI ecosystem and how much pricing power follows? Measured: HHI 3,851 against both the 2010 (2,500) and 2023 (1,800) highly-concentrated thresholds, with Lerner-implied markups per archetype (Exhibit 3.3).</w:t>
      </w:r>
    </w:p>
    <w:p>
      <w:pPr>
        <w:spacing w:after="80"/>
      </w:pPr>
      <w:r>
        <w:rPr>
          <w:b/>
          <w:sz w:val="21"/>
        </w:rPr>
        <w:t xml:space="preserve">RQ2 — Nash equilibria and strategic behavior.  </w:t>
      </w:r>
      <w:r>
        <w:rPr>
          <w:sz w:val="21"/>
        </w:rPr>
        <w:t>What are the equilibria of the six bilateral games, and do they coincide with Pareto optima? The core Hardware–Cloud game is a coordination failure (Nash versus joint-surplus maximum, DWL $58.6B); Section 4 reports all six (Exhibits 4.1–4.7).</w:t>
      </w:r>
    </w:p>
    <w:p>
      <w:pPr>
        <w:spacing w:after="80"/>
      </w:pPr>
      <w:r>
        <w:rPr>
          <w:b/>
          <w:sz w:val="21"/>
        </w:rPr>
        <w:t xml:space="preserve">RQ3 — Structural inefficiency sources.  </w:t>
      </w:r>
      <w:r>
        <w:rPr>
          <w:sz w:val="21"/>
        </w:rPr>
        <w:t>How is the $416.8B aggregate deadweight loss attributed across switching costs, monopoly pricing, innovation distortion, quality degradation, and coordination failures (Exhibit 5.2)?</w:t>
      </w:r>
    </w:p>
    <w:p>
      <w:pPr>
        <w:spacing w:after="80"/>
      </w:pPr>
      <w:r>
        <w:rPr>
          <w:b/>
          <w:sz w:val="21"/>
        </w:rPr>
        <w:t xml:space="preserve">RQ4 — Policy effectiveness.  </w:t>
      </w:r>
      <w:r>
        <w:rPr>
          <w:sz w:val="21"/>
        </w:rPr>
        <w:t>Which interventions — interoperability mandates, antitrust enforcement, innovation subsidies, data-sharing mandates, or combinations — deliver the highest net benefit under conservative, base, and optimistic scenarios (Exhibit 5.2b and Section 5 deep dives)?</w:t>
      </w:r>
    </w:p>
    <w:p>
      <w:pPr>
        <w:pStyle w:val="Heading2"/>
      </w:pPr>
      <w:r>
        <w:t>1.3  Research objectives</w:t>
      </w:r>
    </w:p>
    <w:p>
      <w:pPr>
        <w:pStyle w:val="ListBullet"/>
        <w:spacing w:after="40"/>
      </w:pPr>
      <w:r>
        <w:rPr>
          <w:sz w:val="21"/>
        </w:rPr>
        <w:t>Model the four-layer AI ecosystem as six bilateral 2×2 games with market-derived payoffs.</w:t>
      </w:r>
    </w:p>
    <w:p>
      <w:pPr>
        <w:pStyle w:val="ListBullet"/>
        <w:spacing w:after="40"/>
      </w:pPr>
      <w:r>
        <w:rPr>
          <w:sz w:val="21"/>
        </w:rPr>
        <w:t>Quantify concentration (HHI, CR4, Gini) and market power (elasticity-based Lerner indices).</w:t>
      </w:r>
    </w:p>
    <w:p>
      <w:pPr>
        <w:pStyle w:val="ListBullet"/>
        <w:spacing w:after="40"/>
      </w:pPr>
      <w:r>
        <w:rPr>
          <w:sz w:val="21"/>
        </w:rPr>
        <w:t>Decompose aggregate deadweight loss by structural source with quantitative attribution.</w:t>
      </w:r>
    </w:p>
    <w:p>
      <w:pPr>
        <w:pStyle w:val="ListBullet"/>
        <w:spacing w:after="40"/>
      </w:pPr>
      <w:r>
        <w:rPr>
          <w:sz w:val="21"/>
        </w:rPr>
        <w:t>Validate robustness with 100,000 Monte-Carlo draws and sensitivity sweeps around the DWL assumption.</w:t>
      </w:r>
    </w:p>
    <w:p>
      <w:pPr>
        <w:pStyle w:val="ListBullet"/>
        <w:spacing w:after="40"/>
      </w:pPr>
      <w:r>
        <w:rPr>
          <w:sz w:val="21"/>
        </w:rPr>
        <w:t>Rank costed policy interventions across scenarios and state the evidence basis for each recommendation.</w:t>
      </w:r>
    </w:p>
    <w:p>
      <w:r>
        <w:br w:type="page"/>
      </w:r>
    </w:p>
    <w:p>
      <w:pPr>
        <w:pStyle w:val="Heading1"/>
      </w:pPr>
      <w:r>
        <w:t>2.  Data, Sources and Methodology</w:t>
      </w:r>
    </w:p>
    <w:p>
      <w:pPr>
        <w:pStyle w:val="Heading2"/>
      </w:pPr>
      <w:r>
        <w:t>2.1  Embedded data and vintage</w:t>
      </w:r>
    </w:p>
    <w:p>
      <w:pPr>
        <w:spacing w:after="120"/>
      </w:pPr>
      <w:r>
        <w:rPr>
          <w:b w:val="0"/>
          <w:i w:val="0"/>
          <w:sz w:val="22"/>
        </w:rPr>
        <w:t>The analysis uses ai_ecosystem_model.py's embedded dataset (data module v10.0, validation status: Deep Research Verified (Multi-Source); last updated 2026-09-06). All monetary figures are in billions of U.S. dollars and reflect the Q2/Q3 2026 reporting cycle.</w:t>
      </w:r>
    </w:p>
    <w:p>
      <w:pPr>
        <w:keepNext/>
        <w:spacing w:before="200" w:after="40"/>
      </w:pPr>
      <w:r>
        <w:rPr>
          <w:b/>
          <w:color w:val="2C3E50"/>
          <w:sz w:val="20"/>
        </w:rPr>
        <w:t>Exhibit 2.1  Player archetypes and market data (computed by build_technical_report.py)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Category</w:t>
            </w:r>
          </w:p>
        </w:tc>
        <w:tc>
          <w:tcPr>
            <w:tcW w:type="dxa" w:w="1560"/>
            <w:tblHeader w:val="true"/>
            <w:shd w:val="clear" w:color="auto" w:fill="2C3E50"/>
          </w:tcPr>
          <w:p>
            <w:pPr>
              <w:jc w:val="center"/>
            </w:pPr>
            <w:r/>
            <w:r>
              <w:rPr>
                <w:b/>
                <w:color w:val="FFFFFF"/>
                <w:sz w:val="18"/>
              </w:rPr>
              <w:t>Representative players</w:t>
            </w:r>
          </w:p>
        </w:tc>
        <w:tc>
          <w:tcPr>
            <w:tcW w:type="dxa" w:w="1560"/>
            <w:tblHeader w:val="true"/>
            <w:shd w:val="clear" w:color="auto" w:fill="2C3E50"/>
          </w:tcPr>
          <w:p>
            <w:pPr>
              <w:jc w:val="center"/>
            </w:pPr>
            <w:r/>
            <w:r>
              <w:rPr>
                <w:b/>
                <w:color w:val="FFFFFF"/>
                <w:sz w:val="18"/>
              </w:rPr>
              <w:t>Revenue ($B)</w:t>
            </w:r>
          </w:p>
        </w:tc>
        <w:tc>
          <w:tcPr>
            <w:tcW w:type="dxa" w:w="1560"/>
            <w:tblHeader w:val="true"/>
            <w:shd w:val="clear" w:color="auto" w:fill="2C3E50"/>
          </w:tcPr>
          <w:p>
            <w:pPr>
              <w:jc w:val="center"/>
            </w:pPr>
            <w:r/>
            <w:r>
              <w:rPr>
                <w:b/>
                <w:color w:val="FFFFFF"/>
                <w:sz w:val="18"/>
              </w:rPr>
              <w:t>Market value ($B)</w:t>
            </w:r>
          </w:p>
        </w:tc>
        <w:tc>
          <w:tcPr>
            <w:tcW w:type="dxa" w:w="1560"/>
            <w:tblHeader w:val="true"/>
            <w:shd w:val="clear" w:color="auto" w:fill="2C3E50"/>
          </w:tcPr>
          <w:p>
            <w:pPr>
              <w:jc w:val="center"/>
            </w:pPr>
            <w:r/>
            <w:r>
              <w:rPr>
                <w:b/>
                <w:color w:val="FFFFFF"/>
                <w:sz w:val="18"/>
              </w:rPr>
              <w:t>Op. margin</w:t>
            </w:r>
          </w:p>
        </w:tc>
        <w:tc>
          <w:tcPr>
            <w:tcW w:type="dxa" w:w="1560"/>
            <w:tblHeader w:val="true"/>
            <w:shd w:val="clear" w:color="auto" w:fill="2C3E50"/>
          </w:tcPr>
          <w:p>
            <w:pPr>
              <w:jc w:val="center"/>
            </w:pPr>
            <w:r/>
            <w:r>
              <w:rPr>
                <w:b/>
                <w:color w:val="FFFFFF"/>
                <w:sz w:val="18"/>
              </w:rPr>
              <w:t>Circ. index</w:t>
            </w:r>
          </w:p>
        </w:tc>
      </w:tr>
      <w:tr>
        <w:tc>
          <w:tcPr>
            <w:tcW w:type="dxa" w:w="1560"/>
          </w:tcPr>
          <w:p>
            <w:pPr>
              <w:spacing w:after="0"/>
            </w:pPr>
            <w:r/>
            <w:r>
              <w:rPr>
                <w:sz w:val="17"/>
              </w:rPr>
              <w:t>Hardware</w:t>
            </w:r>
          </w:p>
        </w:tc>
        <w:tc>
          <w:tcPr>
            <w:tcW w:type="dxa" w:w="1560"/>
          </w:tcPr>
          <w:p>
            <w:pPr>
              <w:spacing w:after="0"/>
            </w:pPr>
            <w:r/>
            <w:r>
              <w:rPr>
                <w:sz w:val="17"/>
              </w:rPr>
              <w:t>NVIDIA, AMD, Intel, Broadcom, Marvell, Google (TPU)</w:t>
            </w:r>
          </w:p>
        </w:tc>
        <w:tc>
          <w:tcPr>
            <w:tcW w:type="dxa" w:w="1560"/>
          </w:tcPr>
          <w:p>
            <w:pPr>
              <w:spacing w:after="0"/>
            </w:pPr>
            <w:r/>
            <w:r>
              <w:rPr>
                <w:sz w:val="17"/>
              </w:rPr>
              <w:t>475</w:t>
            </w:r>
          </w:p>
        </w:tc>
        <w:tc>
          <w:tcPr>
            <w:tcW w:type="dxa" w:w="1560"/>
          </w:tcPr>
          <w:p>
            <w:pPr>
              <w:spacing w:after="0"/>
            </w:pPr>
            <w:r/>
            <w:r>
              <w:rPr>
                <w:sz w:val="17"/>
              </w:rPr>
              <w:t>7,916</w:t>
            </w:r>
          </w:p>
        </w:tc>
        <w:tc>
          <w:tcPr>
            <w:tcW w:type="dxa" w:w="1560"/>
          </w:tcPr>
          <w:p>
            <w:pPr>
              <w:spacing w:after="0"/>
            </w:pPr>
            <w:r/>
            <w:r>
              <w:rPr>
                <w:sz w:val="17"/>
              </w:rPr>
              <w:t>48.0%</w:t>
            </w:r>
          </w:p>
        </w:tc>
        <w:tc>
          <w:tcPr>
            <w:tcW w:type="dxa" w:w="1560"/>
          </w:tcPr>
          <w:p>
            <w:pPr>
              <w:spacing w:after="0"/>
            </w:pPr>
            <w:r/>
            <w:r>
              <w:rPr>
                <w:sz w:val="17"/>
              </w:rPr>
              <w:t>0.31</w:t>
            </w:r>
          </w:p>
        </w:tc>
      </w:tr>
      <w:tr>
        <w:tc>
          <w:tcPr>
            <w:tcW w:type="dxa" w:w="1560"/>
            <w:shd w:val="clear" w:color="auto" w:fill="EDF1F5"/>
          </w:tcPr>
          <w:p>
            <w:pPr>
              <w:spacing w:after="0"/>
            </w:pPr>
            <w:r/>
            <w:r>
              <w:rPr>
                <w:sz w:val="17"/>
              </w:rPr>
              <w:t>Cloud Providers</w:t>
            </w:r>
          </w:p>
        </w:tc>
        <w:tc>
          <w:tcPr>
            <w:tcW w:type="dxa" w:w="1560"/>
            <w:shd w:val="clear" w:color="auto" w:fill="EDF1F5"/>
          </w:tcPr>
          <w:p>
            <w:pPr>
              <w:spacing w:after="0"/>
            </w:pPr>
            <w:r/>
            <w:r>
              <w:rPr>
                <w:sz w:val="17"/>
              </w:rPr>
              <w:t>Microsoft Azure, AWS, Google Cloud, Oracle, CoreWeave, Nebius, Lambda Labs</w:t>
            </w:r>
          </w:p>
        </w:tc>
        <w:tc>
          <w:tcPr>
            <w:tcW w:type="dxa" w:w="1560"/>
            <w:shd w:val="clear" w:color="auto" w:fill="EDF1F5"/>
          </w:tcPr>
          <w:p>
            <w:pPr>
              <w:spacing w:after="0"/>
            </w:pPr>
            <w:r/>
            <w:r>
              <w:rPr>
                <w:sz w:val="17"/>
              </w:rPr>
              <w:t>417</w:t>
            </w:r>
          </w:p>
        </w:tc>
        <w:tc>
          <w:tcPr>
            <w:tcW w:type="dxa" w:w="1560"/>
            <w:shd w:val="clear" w:color="auto" w:fill="EDF1F5"/>
          </w:tcPr>
          <w:p>
            <w:pPr>
              <w:spacing w:after="0"/>
            </w:pPr>
            <w:r/>
            <w:r>
              <w:rPr>
                <w:sz w:val="17"/>
              </w:rPr>
              <w:t>11,910</w:t>
            </w:r>
          </w:p>
        </w:tc>
        <w:tc>
          <w:tcPr>
            <w:tcW w:type="dxa" w:w="1560"/>
            <w:shd w:val="clear" w:color="auto" w:fill="EDF1F5"/>
          </w:tcPr>
          <w:p>
            <w:pPr>
              <w:spacing w:after="0"/>
            </w:pPr>
            <w:r/>
            <w:r>
              <w:rPr>
                <w:sz w:val="17"/>
              </w:rPr>
              <w:t>34.0%</w:t>
            </w:r>
          </w:p>
        </w:tc>
        <w:tc>
          <w:tcPr>
            <w:tcW w:type="dxa" w:w="1560"/>
            <w:shd w:val="clear" w:color="auto" w:fill="EDF1F5"/>
          </w:tcPr>
          <w:p>
            <w:pPr>
              <w:spacing w:after="0"/>
            </w:pPr>
            <w:r/>
            <w:r>
              <w:rPr>
                <w:sz w:val="17"/>
              </w:rPr>
              <w:t>0.29</w:t>
            </w:r>
          </w:p>
        </w:tc>
      </w:tr>
      <w:tr>
        <w:tc>
          <w:tcPr>
            <w:tcW w:type="dxa" w:w="1560"/>
          </w:tcPr>
          <w:p>
            <w:pPr>
              <w:spacing w:after="0"/>
            </w:pPr>
            <w:r/>
            <w:r>
              <w:rPr>
                <w:sz w:val="17"/>
              </w:rPr>
              <w:t>Foundation Models</w:t>
            </w:r>
          </w:p>
        </w:tc>
        <w:tc>
          <w:tcPr>
            <w:tcW w:type="dxa" w:w="1560"/>
          </w:tcPr>
          <w:p>
            <w:pPr>
              <w:spacing w:after="0"/>
            </w:pPr>
            <w:r/>
            <w:r>
              <w:rPr>
                <w:sz w:val="17"/>
              </w:rPr>
              <w:t>OpenAI, Anthropic, Meta (Llama), Mistral, xAI</w:t>
            </w:r>
          </w:p>
        </w:tc>
        <w:tc>
          <w:tcPr>
            <w:tcW w:type="dxa" w:w="1560"/>
          </w:tcPr>
          <w:p>
            <w:pPr>
              <w:spacing w:after="0"/>
            </w:pPr>
            <w:r/>
            <w:r>
              <w:rPr>
                <w:sz w:val="17"/>
              </w:rPr>
              <w:t>106.50</w:t>
            </w:r>
          </w:p>
        </w:tc>
        <w:tc>
          <w:tcPr>
            <w:tcW w:type="dxa" w:w="1560"/>
          </w:tcPr>
          <w:p>
            <w:pPr>
              <w:spacing w:after="0"/>
            </w:pPr>
            <w:r/>
            <w:r>
              <w:rPr>
                <w:sz w:val="17"/>
              </w:rPr>
              <w:t>2,432</w:t>
            </w:r>
          </w:p>
        </w:tc>
        <w:tc>
          <w:tcPr>
            <w:tcW w:type="dxa" w:w="1560"/>
          </w:tcPr>
          <w:p>
            <w:pPr>
              <w:spacing w:after="0"/>
            </w:pPr>
            <w:r/>
            <w:r>
              <w:rPr>
                <w:sz w:val="17"/>
              </w:rPr>
              <w:t>-3.4%</w:t>
            </w:r>
          </w:p>
        </w:tc>
        <w:tc>
          <w:tcPr>
            <w:tcW w:type="dxa" w:w="1560"/>
          </w:tcPr>
          <w:p>
            <w:pPr>
              <w:spacing w:after="0"/>
            </w:pPr>
            <w:r/>
            <w:r>
              <w:rPr>
                <w:sz w:val="17"/>
              </w:rPr>
              <w:t>0.84</w:t>
            </w:r>
          </w:p>
        </w:tc>
      </w:tr>
      <w:tr>
        <w:tc>
          <w:tcPr>
            <w:tcW w:type="dxa" w:w="1560"/>
            <w:shd w:val="clear" w:color="auto" w:fill="EDF1F5"/>
          </w:tcPr>
          <w:p>
            <w:pPr>
              <w:spacing w:after="0"/>
            </w:pPr>
            <w:r/>
            <w:r>
              <w:rPr>
                <w:sz w:val="17"/>
              </w:rPr>
              <w:t>LLM Wrappers</w:t>
            </w:r>
          </w:p>
        </w:tc>
        <w:tc>
          <w:tcPr>
            <w:tcW w:type="dxa" w:w="1560"/>
            <w:shd w:val="clear" w:color="auto" w:fill="EDF1F5"/>
          </w:tcPr>
          <w:p>
            <w:pPr>
              <w:spacing w:after="0"/>
            </w:pPr>
            <w:r/>
            <w:r>
              <w:rPr>
                <w:sz w:val="17"/>
              </w:rPr>
              <w:t>Palantir, ServiceNow, Databricks, Perplexity, Cursor</w:t>
            </w:r>
          </w:p>
        </w:tc>
        <w:tc>
          <w:tcPr>
            <w:tcW w:type="dxa" w:w="1560"/>
            <w:shd w:val="clear" w:color="auto" w:fill="EDF1F5"/>
          </w:tcPr>
          <w:p>
            <w:pPr>
              <w:spacing w:after="0"/>
            </w:pPr>
            <w:r/>
            <w:r>
              <w:rPr>
                <w:sz w:val="17"/>
              </w:rPr>
              <w:t>36</w:t>
            </w:r>
          </w:p>
        </w:tc>
        <w:tc>
          <w:tcPr>
            <w:tcW w:type="dxa" w:w="1560"/>
            <w:shd w:val="clear" w:color="auto" w:fill="EDF1F5"/>
          </w:tcPr>
          <w:p>
            <w:pPr>
              <w:spacing w:after="0"/>
            </w:pPr>
            <w:r/>
            <w:r>
              <w:rPr>
                <w:sz w:val="17"/>
              </w:rPr>
              <w:t>923</w:t>
            </w:r>
          </w:p>
        </w:tc>
        <w:tc>
          <w:tcPr>
            <w:tcW w:type="dxa" w:w="1560"/>
            <w:shd w:val="clear" w:color="auto" w:fill="EDF1F5"/>
          </w:tcPr>
          <w:p>
            <w:pPr>
              <w:spacing w:after="0"/>
            </w:pPr>
            <w:r/>
            <w:r>
              <w:rPr>
                <w:sz w:val="17"/>
              </w:rPr>
              <w:t>19.0%</w:t>
            </w:r>
          </w:p>
        </w:tc>
        <w:tc>
          <w:tcPr>
            <w:tcW w:type="dxa" w:w="1560"/>
            <w:shd w:val="clear" w:color="auto" w:fill="EDF1F5"/>
          </w:tcPr>
          <w:p>
            <w:pPr>
              <w:spacing w:after="0"/>
            </w:pPr>
            <w:r/>
            <w:r>
              <w:rPr>
                <w:sz w:val="17"/>
              </w:rPr>
              <w:t>0.65</w:t>
            </w:r>
          </w:p>
        </w:tc>
      </w:tr>
    </w:tbl>
    <w:p>
      <w:pPr>
        <w:spacing w:after="80"/>
      </w:pPr>
      <w:r>
        <w:rPr>
          <w:sz w:val="4"/>
        </w:rPr>
      </w:r>
    </w:p>
    <w:p>
      <w:pPr>
        <w:keepNext/>
        <w:spacing w:before="200" w:after="40"/>
      </w:pPr>
      <w:r>
        <w:rPr>
          <w:b/>
          <w:color w:val="2C3E50"/>
          <w:sz w:val="20"/>
        </w:rPr>
        <w:t>Exhibit 2.2  Data sources and macro parameters</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Parameter</w:t>
            </w:r>
          </w:p>
        </w:tc>
        <w:tc>
          <w:tcPr>
            <w:tcW w:type="dxa" w:w="4680"/>
            <w:tblHeader w:val="true"/>
            <w:shd w:val="clear" w:color="auto" w:fill="2C3E50"/>
          </w:tcPr>
          <w:p>
            <w:pPr>
              <w:jc w:val="center"/>
            </w:pPr>
            <w:r/>
            <w:r>
              <w:rPr>
                <w:b/>
                <w:color w:val="FFFFFF"/>
                <w:sz w:val="20"/>
              </w:rPr>
              <w:t>Source</w:t>
            </w:r>
          </w:p>
        </w:tc>
      </w:tr>
      <w:tr>
        <w:tc>
          <w:tcPr>
            <w:tcW w:type="dxa" w:w="4680"/>
          </w:tcPr>
          <w:p>
            <w:pPr>
              <w:spacing w:after="0"/>
            </w:pPr>
            <w:r/>
            <w:r>
              <w:rPr>
                <w:sz w:val="19"/>
              </w:rPr>
              <w:t>market_size</w:t>
            </w:r>
          </w:p>
        </w:tc>
        <w:tc>
          <w:tcPr>
            <w:tcW w:type="dxa" w:w="4680"/>
          </w:tcPr>
          <w:p>
            <w:pPr>
              <w:spacing w:after="0"/>
            </w:pPr>
            <w:r/>
            <w:r>
              <w:rPr>
                <w:sz w:val="19"/>
              </w:rPr>
              <w:t>Aggregate of verified company revenues</w:t>
            </w:r>
          </w:p>
        </w:tc>
      </w:tr>
      <w:tr>
        <w:tc>
          <w:tcPr>
            <w:tcW w:type="dxa" w:w="4680"/>
            <w:shd w:val="clear" w:color="auto" w:fill="EDF1F5"/>
          </w:tcPr>
          <w:p>
            <w:pPr>
              <w:spacing w:after="0"/>
            </w:pPr>
            <w:r/>
            <w:r>
              <w:rPr>
                <w:sz w:val="19"/>
              </w:rPr>
              <w:t>tam</w:t>
            </w:r>
          </w:p>
        </w:tc>
        <w:tc>
          <w:tcPr>
            <w:tcW w:type="dxa" w:w="4680"/>
            <w:shd w:val="clear" w:color="auto" w:fill="EDF1F5"/>
          </w:tcPr>
          <w:p>
            <w:pPr>
              <w:spacing w:after="0"/>
            </w:pPr>
            <w:r/>
            <w:r>
              <w:rPr>
                <w:sz w:val="19"/>
              </w:rPr>
              <w:t>PwC Global Data Center Outlook 2026-50 (Oxford Economics modeling): $31.6T central cumulative, $800B in 2026 to $1.1T 2030 to $1.8T 2050, US $15.1T (Bloomberg Sep 2, 2026)</w:t>
            </w:r>
          </w:p>
        </w:tc>
      </w:tr>
      <w:tr>
        <w:tc>
          <w:tcPr>
            <w:tcW w:type="dxa" w:w="4680"/>
          </w:tcPr>
          <w:p>
            <w:pPr>
              <w:spacing w:after="0"/>
            </w:pPr>
            <w:r/>
            <w:r>
              <w:rPr>
                <w:sz w:val="19"/>
              </w:rPr>
              <w:t>growth</w:t>
            </w:r>
          </w:p>
        </w:tc>
        <w:tc>
          <w:tcPr>
            <w:tcW w:type="dxa" w:w="4680"/>
          </w:tcPr>
          <w:p>
            <w:pPr>
              <w:spacing w:after="0"/>
            </w:pPr>
            <w:r/>
            <w:r>
              <w:rPr>
                <w:sz w:val="19"/>
              </w:rPr>
              <w:t>IDC Spending Guide 29% CAGR 2024-2028; IDC FutureScape 2026: 32% 5-yr AI IT spending CAGR; UBS AI capex 25% CAGR to $1.3T 2030 (30% central)</w:t>
            </w:r>
          </w:p>
        </w:tc>
      </w:tr>
      <w:tr>
        <w:tc>
          <w:tcPr>
            <w:tcW w:type="dxa" w:w="4680"/>
            <w:shd w:val="clear" w:color="auto" w:fill="EDF1F5"/>
          </w:tcPr>
          <w:p>
            <w:pPr>
              <w:spacing w:after="0"/>
            </w:pPr>
            <w:r/>
            <w:r>
              <w:rPr>
                <w:sz w:val="19"/>
              </w:rPr>
              <w:t>risk_free_rate</w:t>
            </w:r>
          </w:p>
        </w:tc>
        <w:tc>
          <w:tcPr>
            <w:tcW w:type="dxa" w:w="4680"/>
            <w:shd w:val="clear" w:color="auto" w:fill="EDF1F5"/>
          </w:tcPr>
          <w:p>
            <w:pPr>
              <w:spacing w:after="0"/>
            </w:pPr>
            <w:r/>
            <w:r>
              <w:rPr>
                <w:sz w:val="19"/>
              </w:rPr>
              <w:t>U.S. Treasury 10-year yield, Sep 1, 2026 (Bloomberg)</w:t>
            </w:r>
          </w:p>
        </w:tc>
      </w:tr>
      <w:tr>
        <w:tc>
          <w:tcPr>
            <w:tcW w:type="dxa" w:w="4680"/>
          </w:tcPr>
          <w:p>
            <w:pPr>
              <w:spacing w:after="0"/>
            </w:pPr>
            <w:r/>
            <w:r>
              <w:rPr>
                <w:sz w:val="19"/>
              </w:rPr>
              <w:t>market_return</w:t>
            </w:r>
          </w:p>
        </w:tc>
        <w:tc>
          <w:tcPr>
            <w:tcW w:type="dxa" w:w="4680"/>
          </w:tcPr>
          <w:p>
            <w:pPr>
              <w:spacing w:after="0"/>
            </w:pPr>
            <w:r/>
            <w:r>
              <w:rPr>
                <w:sz w:val="19"/>
              </w:rPr>
              <w:t>Damodaran (NYU Stern) implied ERP 4.18% end-2025, mature-market base 4.17% mid-2026 update</w:t>
            </w:r>
          </w:p>
        </w:tc>
      </w:tr>
      <w:tr>
        <w:tc>
          <w:tcPr>
            <w:tcW w:type="dxa" w:w="4680"/>
            <w:shd w:val="clear" w:color="auto" w:fill="EDF1F5"/>
          </w:tcPr>
          <w:p>
            <w:pPr>
              <w:spacing w:after="0"/>
            </w:pPr>
            <w:r/>
            <w:r>
              <w:rPr>
                <w:sz w:val="19"/>
              </w:rPr>
              <w:t>circular_deals</w:t>
            </w:r>
          </w:p>
        </w:tc>
        <w:tc>
          <w:tcPr>
            <w:tcW w:type="dxa" w:w="4680"/>
            <w:shd w:val="clear" w:color="auto" w:fill="EDF1F5"/>
          </w:tcPr>
          <w:p>
            <w:pPr>
              <w:spacing w:after="0"/>
            </w:pPr>
            <w:r/>
            <w:r>
              <w:rPr>
                <w:sz w:val="19"/>
              </w:rPr>
              <w:t>CNBC, Reuters, Bloomberg, FT (multi-source Sep 2026)</w:t>
            </w:r>
          </w:p>
        </w:tc>
      </w:tr>
      <w:tr>
        <w:tc>
          <w:tcPr>
            <w:tcW w:type="dxa" w:w="4680"/>
          </w:tcPr>
          <w:p>
            <w:pPr>
              <w:spacing w:after="0"/>
            </w:pPr>
            <w:r/>
            <w:r>
              <w:rPr>
                <w:sz w:val="19"/>
              </w:rPr>
              <w:t>valuation_data</w:t>
            </w:r>
          </w:p>
        </w:tc>
        <w:tc>
          <w:tcPr>
            <w:tcW w:type="dxa" w:w="4680"/>
          </w:tcPr>
          <w:p>
            <w:pPr>
              <w:spacing w:after="0"/>
            </w:pPr>
            <w:r/>
            <w:r>
              <w:rPr>
                <w:sz w:val="19"/>
              </w:rPr>
              <w:t>Company IR pages + NPM secondary market data</w:t>
            </w:r>
          </w:p>
        </w:tc>
      </w:tr>
    </w:tbl>
    <w:p>
      <w:pPr>
        <w:spacing w:after="80"/>
      </w:pPr>
      <w:r>
        <w:rPr>
          <w:sz w:val="4"/>
        </w:rPr>
      </w:r>
    </w:p>
    <w:p>
      <w:pPr>
        <w:spacing w:after="120"/>
      </w:pPr>
      <w:r>
        <w:rPr>
          <w:b w:val="0"/>
          <w:i/>
          <w:sz w:val="20"/>
        </w:rPr>
        <w:t>Macro context: MAJOR ECOSYSTEM SHIFT: The "circular AI economy" concern intensified in Q3 2026 with NVIDIA extending $605B+ in direct + indirect financing ($105B OpenAI credit guarantee + $500B six-platform MOU facility). Anthropic ARR growth from $9B (Dec 2025) to $65B (Jul 2026) is unprecedented but comes with $80B compute commitments extending to 2030-32. Fed hike pricing swung 48-75% through summer 2026 (CME FedWatch 48.4% early Sep after Waller remarks; WSJ Aug 12 "hike not looking likely"); policy rate 3.50-3.75% adds macro pressure. SEP 6 2026 RE-VERIFICATION vs primary/near-primary sources: NVIDIA TTM rev $302.9B + net ~$192B (company IR Aug 26 2026); NVDA equity portfolio ~$99B (10-Q Jul 26 2026); Hugging Face $12.93B (Sep 3 2026); AWS $169B run-rate, GCP $99B, Azure FY26 $101.9B; Palantir FY guide $7.7B (SEC 8-K); ServiceNow FY guide $16.2B; Cursor ~$4B ARR (SpaceX-owned since Jun 2026); OpenAI-AWS $38B (Nov 2025, multi-source); US 2025 GDP $30,767.1B (BEA NIPA); 10Y 4.795% Sep 1 (WSJ); 2Y 4.392% and 30Y 5.27% Sep 1 (FRED/Morningstar); ERP 4.2% (Damodaran end-2025/mid-2026); IDC AI CAGR 29-32% (Spending Guide/FutureScape 2026); Big Four 2025 capex ~$400B actuals; PwC $31.6T DC buildout confirmed (Oxford Economics central scenario); S&amp;P 500 P/S record 3.83 Aug 2026 (2x hist avg). Stale inputs corrected: archetype revenues, GPU-supply row ($356B-&gt;$249B), late-Aug compute legs added (Fluidstack/SpaceX/Volta); MACRO/MICRO round: Cloud valuation $9.6T-&gt;$11.91T (GOOGL $4.6T, AMZN $3.1T, ORCL &lt;$500B, NBIS ~$55B), Wrappers $550B-&gt;$733B (PLTR $432B, NOW $151B), HW resplit (AMD $746B, NVDA $5.0T), Cloud op margin 29.3%-&gt;34.0% (AWS ~37-39%, GCP 35.6% Q2 2026), NVDA op margin 60%-&gt;66.3% (Q2 FY27 GAAP), ERP 5.5%-&gt;4.2%, Hardware tax 21%-&gt;17% (NVDA FY27 guide 16-18%), Fed note repriced to 48-75% pricing swing. MSFT-NVDA-Anthropic Nov 2025 package added (MSFT $5B + Azure $30B purchase; NVDA "up to $10B" disclosed). PLAYER-COVERAGE AUDIT Sep 6 2026: added missing circular edges Amazon-Anthropic +$5B (now $13B committed) and Google-Anthropic $10B (new row); added Databricks ($190B val, ~$7B run-rate) to Wrappers. Deliberate exclusions: pure-play foundry/equipment/memory suppliers (TSMC, ASML, HBM makers) transact at arms-length outside the financing round-trip; consumer-edge names (Apple, Tesla) carry no circular exposure; China labs (DeepSeek) sit outside the US-scope model and enter only as downside-risk factor; sub-scale neoclouds (Crusoe, IREN) are immaterial next to CRWV/NBIS/Lambda coverage.</w:t>
      </w:r>
    </w:p>
    <w:p>
      <w:pPr>
        <w:pStyle w:val="Heading2"/>
      </w:pPr>
      <w:r>
        <w:t>2.2  Methodological choices</w:t>
      </w:r>
    </w:p>
    <w:p>
      <w:pPr>
        <w:pStyle w:val="ListBullet"/>
        <w:spacing w:after="40"/>
      </w:pPr>
      <w:r>
        <w:rPr>
          <w:sz w:val="21"/>
        </w:rPr>
        <w:t>Players are the four archetypes Hardware, Cloud Providers, Foundation Models and LLM Wrappers; each bilateral interaction is a 2×2 game with strategies defined per player.</w:t>
      </w:r>
    </w:p>
    <w:p>
      <w:pPr>
        <w:pStyle w:val="ListBullet"/>
        <w:spacing w:after="40"/>
      </w:pPr>
      <w:r>
        <w:rPr>
          <w:sz w:val="21"/>
        </w:rPr>
        <w:t>Payoffs are derived from market data: the Defect–Defect cell equals observed revenue; cooperation expands the total to an efficient benchmark; temptation and sucker payoffs are calibrated from margins and dependency exposure.</w:t>
      </w:r>
    </w:p>
    <w:p>
      <w:pPr>
        <w:pStyle w:val="ListBullet"/>
        <w:spacing w:after="40"/>
      </w:pPr>
      <w:r>
        <w:rPr>
          <w:sz w:val="21"/>
        </w:rPr>
        <w:t>Deadweight loss is market-implied: DWL% ≈ min(40%, max(5%, circular-exposure ÷ revenue × 25%)) = 28.72%, i.e. $416.8B on potential (Pareto) welfare.</w:t>
      </w:r>
    </w:p>
    <w:p>
      <w:pPr>
        <w:pStyle w:val="ListBullet"/>
        <w:spacing w:after="40"/>
      </w:pPr>
      <w:r>
        <w:rPr>
          <w:sz w:val="21"/>
        </w:rPr>
        <w:t>Nash equilibria are found by best-response analysis; welfare is measured as the distance from the maximum-total joint-surplus outcome (Kaldor–Hicks benchmark); coordination failures are Nash outcomes that miss the Pareto optimum.</w:t>
      </w:r>
    </w:p>
    <w:p>
      <w:pPr>
        <w:pStyle w:val="ListBullet"/>
        <w:spacing w:after="40"/>
      </w:pPr>
      <w:r>
        <w:rPr>
          <w:sz w:val="21"/>
        </w:rPr>
        <w:t>Robustness is assessed with 100,000 Monte-Carlo draws at 5% log-normal payoff noise and a 98% confidence interval, plus sensitivity analysis around the DWL assumption.</w:t>
      </w:r>
    </w:p>
    <w:p>
      <w:pPr>
        <w:pStyle w:val="Heading2"/>
      </w:pPr>
      <w:r>
        <w:t>2.3  Equilibrium concepts used in this report</w:t>
      </w:r>
    </w:p>
    <w:p>
      <w:pPr>
        <w:pStyle w:val="ListBullet"/>
        <w:spacing w:after="40"/>
      </w:pPr>
      <w:r>
        <w:rPr>
          <w:sz w:val="21"/>
        </w:rPr>
        <w:t>Nash equilibrium (Nash, 1950): a strategy profile from which no player can profitably deviate unilaterally. All six games are solved by exhaustive best-response checks over the four cells — no equilibrium is assumed.</w:t>
      </w:r>
    </w:p>
    <w:p>
      <w:pPr>
        <w:pStyle w:val="ListBullet"/>
        <w:spacing w:after="40"/>
      </w:pPr>
      <w:r>
        <w:rPr>
          <w:sz w:val="21"/>
        </w:rPr>
        <w:t>Prisoner's Dilemma: temptation &gt; cooperation &gt; defection &gt; sucker payoffs, so mutual defection is the equilibrium although mutual cooperation pays more. The core Hardware–Cloud game is classified 'Coordination Failure'; Section 4 classifies all six.</w:t>
      </w:r>
    </w:p>
    <w:p>
      <w:pPr>
        <w:pStyle w:val="ListBullet"/>
        <w:spacing w:after="40"/>
      </w:pPr>
      <w:r>
        <w:rPr>
          <w:sz w:val="21"/>
        </w:rPr>
        <w:t>Joint-surplus maximum and distributive obstruction: a true Pareto improvement leaves no player can gain without another losing; a coordination failure is Nash ≠ party worse off; a Kaldor–Hicks benchmark requires compensation. Positive Nash–joint-max gaps measure forgone joint surplus.</w:t>
      </w:r>
    </w:p>
    <w:p>
      <w:pPr>
        <w:pStyle w:val="ListBullet"/>
        <w:spacing w:after="40"/>
      </w:pPr>
      <w:r>
        <w:rPr>
          <w:sz w:val="21"/>
        </w:rPr>
        <w:t>Second-best (Lipsey &amp; Lancaster, 1956): with several simultaneous distortions, fixing one in isolation need not improve welfare — the rationale for ranking combined as well as standalone interventions in Section 5.</w:t>
      </w:r>
    </w:p>
    <w:p>
      <w:pPr>
        <w:pStyle w:val="Heading2"/>
      </w:pPr>
      <w:r>
        <w:t>2.4  Market-power and welfare measurement</w:t>
      </w:r>
    </w:p>
    <w:p>
      <w:pPr>
        <w:pStyle w:val="ListBullet"/>
        <w:spacing w:after="40"/>
      </w:pPr>
      <w:r>
        <w:rPr>
          <w:sz w:val="21"/>
        </w:rPr>
        <w:t>Concentration: HHI is the sum of squared percentage market shares (0–10,000). Both DOJ/FTC vintages are used throughout — 2010: 1,500/2,500; current 2023: 1,000/1,800 (highly concentrated, +100pts presumption). This market exceeds both high cutoffs, so the verdict does not depend on vintage.</w:t>
      </w:r>
    </w:p>
    <w:p>
      <w:pPr>
        <w:pStyle w:val="ListBullet"/>
        <w:spacing w:after="40"/>
      </w:pPr>
      <w:r>
        <w:rPr>
          <w:sz w:val="21"/>
        </w:rPr>
        <w:t>Market power: the Lerner index L = (P − MC)/P = 1/|elasticity| measures pricing power on a 0–1 scale (0 perfect competition, 1 monopoly). The highest implied Lerner index in this run is 0.623 (Hardware).</w:t>
      </w:r>
    </w:p>
    <w:p>
      <w:pPr>
        <w:pStyle w:val="ListBullet"/>
        <w:spacing w:after="40"/>
      </w:pPr>
      <w:r>
        <w:rPr>
          <w:sz w:val="21"/>
        </w:rPr>
        <w:t>Deadweight loss (Harberger, 1954): the surplus triangle lost when price exceeds marginal cost, growing with the square of the markup — which is why the high-markup archetypes dominate the loss. In this run the aggregate loss splits as switching costs 34%, innovation distortion 26%, quality degradation 17%, coordination failures 14%, monopoly pricing 9%.</w:t>
      </w:r>
    </w:p>
    <w:p>
      <w:pPr>
        <w:pStyle w:val="ListBullet"/>
        <w:spacing w:after="40"/>
      </w:pPr>
      <w:r>
        <w:rPr>
          <w:sz w:val="21"/>
        </w:rPr>
        <w:t>Switching costs and lock-in (Katz &amp; Shapiro, 1985; Farrell &amp; Klemperer, 2007): platform incompatibilities and data gravity sustain pricing power even in equilibrium, so part of the loss persists under any conduct remedy — the structural interpretation developed in Sections 5–6.</w:t>
      </w:r>
    </w:p>
    <w:p>
      <w:pPr>
        <w:pStyle w:val="Heading2"/>
      </w:pPr>
      <w:r>
        <w:t>2.5  Computation, reproducibility and figure provenance</w:t>
      </w:r>
    </w:p>
    <w:p>
      <w:pPr>
        <w:pStyle w:val="ListBullet"/>
        <w:spacing w:after="40"/>
      </w:pPr>
      <w:r>
        <w:rPr>
          <w:sz w:val="21"/>
        </w:rPr>
        <w:t>Two distinct deadweight-loss rates are used (ai_ecosystem_model.py DWL naming conventions). The top-down rate DWL_PCT_TOPDOWN = 28.72% (dependency-value ratio) feeds aggregate welfare, policy and sensitivity analysis. The game-level rate 15.20% (concentration/dependency geometric mean) is a recorded diagnostic only — payoff levels derive from pair efficiency, margins and dependencies. They answer different questions and must not be conflated.</w:t>
      </w:r>
    </w:p>
    <w:p>
      <w:pPr>
        <w:pStyle w:val="ListBullet"/>
        <w:spacing w:after="40"/>
      </w:pPr>
      <w:r>
        <w:rPr>
          <w:sz w:val="21"/>
        </w:rPr>
        <w:t>Monte Carlo is vectorized (batched log-normal draws, numpy best-response masks; statistically identical to the per-draw loop) with run-scoped generators seeded 42 — each game gets an independent noise stream and repeated runs reproduce exactly.</w:t>
      </w:r>
    </w:p>
    <w:p>
      <w:pPr>
        <w:pStyle w:val="ListBullet"/>
        <w:spacing w:after="40"/>
      </w:pPr>
      <w:r>
        <w:rPr>
          <w:sz w:val="21"/>
        </w:rPr>
        <w:t>Figures render headless-safe (Agg backend), use the Okabe–Ito colorblind-safe palette in DejaVu Sans, carry journal-style (a)/(b) panel tags on data panels, and are saved as 300-DPI PNG plus vector PDF; panel inventories come from ai_ecosystem_model.py's figure_captions.md when present.</w:t>
      </w:r>
    </w:p>
    <w:p>
      <w:pPr>
        <w:pStyle w:val="ListBullet"/>
        <w:spacing w:after="40"/>
      </w:pPr>
      <w:r>
        <w:rPr>
          <w:sz w:val="21"/>
        </w:rPr>
        <w:t>Convergence is assessed with Monte-Carlo standard errors and split-half consistency from stored draws (table_7.9); R-hat is not reported because it is uninformative for IID Monte Carlo. Equilibria are cross-validated by an independent brute-force enumeration (table_7.8).</w:t>
      </w:r>
    </w:p>
    <w:p>
      <w:pPr>
        <w:pStyle w:val="ListBullet"/>
        <w:spacing w:after="40"/>
      </w:pPr>
      <w:r>
        <w:rPr>
          <w:sz w:val="21"/>
        </w:rPr>
        <w:t>A five-part robustness battery (ai_ecosystem_model.py RobustnessBattery, Tables 8.1–8.5) backs every headline: (R1) Geweke mean-stability screens with Holm correction across games; (R2) full-sample reruns at two independent seeds with drift measured in pooled standard errors; (R3) perturbation-scale robustness at 2.5/5/10% noise with Spearman rank preservation; (R4) Saltelli variance decomposition (N=2048, 500 bootstraps) of game DWL over calibrated primitives; (R5) an explicit assumption register mapping each modeling choice to the check that disciplines it. All stochastic steps derive from seeded generators, so the battery reproduces exactly.</w:t>
      </w:r>
    </w:p>
    <w:p>
      <w:pPr>
        <w:pStyle w:val="Heading2"/>
      </w:pPr>
      <w:r>
        <w:t>2.6  Literature review</w:t>
      </w:r>
    </w:p>
    <w:p>
      <w:pPr>
        <w:spacing w:after="120"/>
      </w:pPr>
      <w:r>
        <w:rPr>
          <w:b w:val="0"/>
          <w:i w:val="0"/>
          <w:sz w:val="22"/>
        </w:rPr>
        <w:t>Recent (2025–2026) work on AI markets falls into five streams that jointly motivate this report's design. Each stream is summarized below with its direct bearing on the research questions; full citations are in References. Where the literature disagrees, the disagreement is stated explicitly and carried forward as a robustness check or limitation.</w:t>
      </w:r>
    </w:p>
    <w:p>
      <w:pPr>
        <w:pStyle w:val="Heading3"/>
      </w:pPr>
      <w:r>
        <w:t>Scaling, concentration, and market structure</w:t>
      </w:r>
    </w:p>
    <w:p>
      <w:pPr>
        <w:spacing w:after="120"/>
      </w:pPr>
      <w:r>
        <w:rPr>
          <w:b w:val="0"/>
          <w:i w:val="0"/>
          <w:sz w:val="22"/>
        </w:rPr>
        <w:t>Korinek and Vipra (2025) argue that AI markets concentrate even without anticompetitive conduct, through three jointly-operating features: very large fixed training costs, cost advantages that grow with size, and high customer switching costs — with concentration threatening an unprecedented accumulation of economic power. Their framework is the direct antecedent of this report's measurement strategy: the HHI/CR4/Gini battery (Section 3, RQ1) and the Lerner-based market-power assessment (Exhibit 3.3) operationalize exactly those three channels.</w:t>
      </w:r>
    </w:p>
    <w:p>
      <w:pPr>
        <w:spacing w:after="120"/>
      </w:pPr>
      <w:r>
        <w:rPr>
          <w:b w:val="0"/>
          <w:i w:val="0"/>
          <w:sz w:val="22"/>
        </w:rPr>
        <w:t>Hagiu and Wright (2025) analyze the vertical AI technology stack and data feedback loops around three questions — concentration in core AI services, AI's impact on existing market structures, and emerging policy challenges — identifying risks of new gatekeeper types alongside disruption of old platforms. Their layered view matches this report's four-archetype model, and their gatekeeper analysis anticipates the bottleneck finding of Section 4. Korinek and Vipra (2025) trace how scaling concentrates the AI stack and how upstream power moves downstream prices, industry structure, and welfare — the theoretical counterpart of the deadweight-loss decomposition in Section 5 (RQ3), with frontier scale economies as the limiting case.</w:t>
      </w:r>
    </w:p>
    <w:p>
      <w:pPr>
        <w:spacing w:after="120"/>
      </w:pPr>
      <w:r>
        <w:rPr>
          <w:b w:val="0"/>
          <w:i w:val="0"/>
          <w:sz w:val="22"/>
        </w:rPr>
        <w:t>The contestability counterpoint matters for RQ1: if power-law capability scaling plus fast-follower dynamics keep training costs contestable, concentration findings weaken. This report does not adjudicate that debate; instead the sensitivity analysis (Section 6) and the DWL-elasticity reading test how much the conclusions move if contestability is stronger than the base case assumes.</w:t>
      </w:r>
    </w:p>
    <w:p>
      <w:pPr>
        <w:pStyle w:val="Heading3"/>
      </w:pPr>
      <w:r>
        <w:t>Competition policy and antitrust</w:t>
      </w:r>
    </w:p>
    <w:p>
      <w:pPr>
        <w:spacing w:after="120"/>
      </w:pPr>
      <w:r>
        <w:rPr>
          <w:b w:val="0"/>
          <w:i w:val="0"/>
          <w:sz w:val="22"/>
        </w:rPr>
        <w:t>A restraint counter-argument runs the other way: preemptive regulatory approaches to platform–laboratory partnerships and investments in the generative-AI ecosystem risk false positives, counselling doctrinal humility. That sets the evidentiary bar Section 5 must clear — ranked, costed, scenario-bound interventions rather than precautionary ones. Institutional reviews pull the other way: the OECD (2025) documents multifaceted, evolving concentration risks across stack layers including tying and algorithmic collusion, while the World Bank (2026) finds end-user outcomes largely predetermined by control of critical upstream infrastructure — consistent with this report's infrastructure-bottleneck diagnosis. The operative legal regime for the interoperability remedy is the EU Digital Markets Act (European Commission, 2022), cited as precedent in the policy deep dives.</w:t>
      </w:r>
    </w:p>
    <w:p>
      <w:pPr>
        <w:pStyle w:val="Heading3"/>
      </w:pPr>
      <w:r>
        <w:t>Game theory and algorithmic collusion</w:t>
      </w:r>
    </w:p>
    <w:p>
      <w:pPr>
        <w:spacing w:after="120"/>
      </w:pPr>
      <w:r>
        <w:rPr>
          <w:b w:val="0"/>
          <w:i w:val="0"/>
          <w:sz w:val="22"/>
        </w:rPr>
        <w:t>Bichler et al. (2025) survey when pricing algorithms converge to Nash equilibria (notably in potential games) versus collusive outcomes, and which algorithm properties tilt the balance. Their convergence conditions inform this report's stability reading in Section 6: high Monte-Carlo stability is interpreted as structural lock-in rather than coincidence. This report's one-shot bilateral design is a static-game analysis, and the repeated-game gap it leaves is recorded as future work (Section 9.3).</w:t>
      </w:r>
    </w:p>
    <w:p>
      <w:pPr>
        <w:pStyle w:val="Heading3"/>
      </w:pPr>
      <w:r>
        <w:t>Circular investment and systemic fragility</w:t>
      </w:r>
    </w:p>
    <w:p>
      <w:pPr>
        <w:spacing w:after="120"/>
      </w:pPr>
      <w:r>
        <w:rPr>
          <w:b w:val="0"/>
          <w:i w:val="0"/>
          <w:sz w:val="22"/>
        </w:rPr>
        <w:t>Realized revenue and adoption support part of AI valuations, while capex outruns monetization in some layers and private valuations concentrate in few firms — the dot-com precedent for transformative technology alongside overvaluation (Ofek, 2003; Greenwood et al., 2019). That 'localized fragility' framing disciplines Section 7: the bubble score is presented as a fragility index, not a crash prediction. The financing channel provides the transmission mechanism behind the single-point-of-failure reading of the NVIDIA-centered deal fabric: the dependency frame and credit monitor in Section 7 trace how a repricing travels from circular claims to equity and GDP.</w:t>
      </w:r>
    </w:p>
    <w:p>
      <w:pPr>
        <w:pStyle w:val="Heading3"/>
      </w:pPr>
      <w:r>
        <w:t>Circular-dealing measurement and vendor-financing contracts</w:t>
      </w:r>
    </w:p>
    <w:p>
      <w:pPr>
        <w:spacing w:after="120"/>
      </w:pPr>
      <w:r>
        <w:rPr>
          <w:b w:val="0"/>
          <w:i w:val="0"/>
          <w:sz w:val="22"/>
        </w:rPr>
        <w:t>Round-trip chains run through multiple stack layers, which supports this report's archetype-stack design over pairwise analysis; the committed-value exposure frame books contracted circularity deal by deal, with conditional tranches parked outside it. Two contract patterns organize the channel: an integration-plus-circular-investment pattern (vertical integration plus circular investment; apparent sales that reverse on a demand shock) and a GPU-collateralised leverage pattern (supplier resale guarantees, herd entry, and chain-reaction fire sales of homogeneous collateral). The fire-sale cascade is the statically-modeled second round of this report's DebtRank reverberation (Section 7, Exhibit 7.8); dynamic clearing with endogenous leverage remains open. The run_pipeline documents the leverage stack it would detonate — $675.40B in committed exposure across 17 edges ($1,188.33B tracked over 19 rows), the 2026 debt run_pipeline, Oracle's single-day bond sale and off-balance-sheet vehicle, and the record CDS print with downgrade to BBB- — all recorded in the September 2026 market-data vintage; the Oracle repricing corroborates the burst ranking. The ex-post agenda is priced as the complement rather than the rival of prevention: prosecute proximate-cause financial engineering, convert stranded data centres to a public cloud, protect workers, and structurally separate via a Glass-Steagall for AI and utility-style regulation — the ex-post complement to this report's ex-ante BCR-ranked tools.</w:t>
      </w:r>
    </w:p>
    <w:p>
      <w:pPr>
        <w:pStyle w:val="Heading3"/>
      </w:pPr>
      <w:r>
        <w:t>Interoperability and policy mechanisms</w:t>
      </w:r>
    </w:p>
    <w:p>
      <w:pPr>
        <w:spacing w:after="120"/>
      </w:pPr>
      <w:r>
        <w:rPr>
          <w:b w:val="0"/>
          <w:i w:val="0"/>
          <w:sz w:val="22"/>
        </w:rPr>
        <w:t>The interoperability remedy rests on cross-sector precedent: mandated infrastructure unbundling (telecoms) and open-banking standardisation show mandates can unlock downstream entry, while the payments experience shows mandates without standardisation fragment into competing API standards (Ofcom, discussion paper on mandated interoperability in digital markets). That caveat is priced into Section 5: the API-mandate deep dive carries implementation cost and scenario bounds rather than assuming frictionless adoption. Data-portability and shared-access arguments (cf. OECD, 2025) motivate the data-sharing mandate alternative ranked alongside it.</w:t>
      </w:r>
    </w:p>
    <w:p>
      <w:pPr>
        <w:spacing w:after="120"/>
      </w:pPr>
      <w:r>
        <w:rPr>
          <w:b w:val="0"/>
          <w:i/>
          <w:sz w:val="20"/>
        </w:rPr>
        <w:t>Taken together, the literature supports measuring concentration before asserting power (Korinek and Vipra; Hagiu and Wright), tracing upstream power to downstream welfare (Korinek and Vipra), testing stability rather than assuming it (Bichler et al.), treating circularity as fragility rather than growth, and costing remedies against scenarios rather than asserting them. The mapping below records where each stream binds on this report.</w:t>
      </w:r>
    </w:p>
    <w:p>
      <w:pPr>
        <w:keepNext/>
        <w:spacing w:before="200" w:after="40"/>
      </w:pPr>
      <w:r>
        <w:rPr>
          <w:b/>
          <w:color w:val="2C3E50"/>
          <w:sz w:val="20"/>
        </w:rPr>
        <w:t>Exhibit 2.6  Literature-to-report mapping (compiled by build_technical_report.py)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Literature stream</w:t>
            </w:r>
          </w:p>
        </w:tc>
        <w:tc>
          <w:tcPr>
            <w:tcW w:type="dxa" w:w="2340"/>
            <w:tblHeader w:val="true"/>
            <w:shd w:val="clear" w:color="auto" w:fill="2C3E50"/>
          </w:tcPr>
          <w:p>
            <w:pPr>
              <w:jc w:val="center"/>
            </w:pPr>
            <w:r/>
            <w:r>
              <w:rPr>
                <w:b/>
                <w:color w:val="FFFFFF"/>
                <w:sz w:val="20"/>
              </w:rPr>
              <w:t>Key sources</w:t>
            </w:r>
          </w:p>
        </w:tc>
        <w:tc>
          <w:tcPr>
            <w:tcW w:type="dxa" w:w="2340"/>
            <w:tblHeader w:val="true"/>
            <w:shd w:val="clear" w:color="auto" w:fill="2C3E50"/>
          </w:tcPr>
          <w:p>
            <w:pPr>
              <w:jc w:val="center"/>
            </w:pPr>
            <w:r/>
            <w:r>
              <w:rPr>
                <w:b/>
                <w:color w:val="FFFFFF"/>
                <w:sz w:val="20"/>
              </w:rPr>
              <w:t>Report locus</w:t>
            </w:r>
          </w:p>
        </w:tc>
        <w:tc>
          <w:tcPr>
            <w:tcW w:type="dxa" w:w="2340"/>
            <w:tblHeader w:val="true"/>
            <w:shd w:val="clear" w:color="auto" w:fill="2C3E50"/>
          </w:tcPr>
          <w:p>
            <w:pPr>
              <w:jc w:val="center"/>
            </w:pPr>
            <w:r/>
            <w:r>
              <w:rPr>
                <w:b/>
                <w:color w:val="FFFFFF"/>
                <w:sz w:val="20"/>
              </w:rPr>
              <w:t>What this report adds</w:t>
            </w:r>
          </w:p>
        </w:tc>
      </w:tr>
      <w:tr>
        <w:tc>
          <w:tcPr>
            <w:tcW w:type="dxa" w:w="2340"/>
          </w:tcPr>
          <w:p>
            <w:pPr>
              <w:spacing w:after="0"/>
            </w:pPr>
            <w:r/>
            <w:r>
              <w:rPr>
                <w:sz w:val="19"/>
              </w:rPr>
              <w:t>Scaling → concentration</w:t>
            </w:r>
          </w:p>
        </w:tc>
        <w:tc>
          <w:tcPr>
            <w:tcW w:type="dxa" w:w="2340"/>
          </w:tcPr>
          <w:p>
            <w:pPr>
              <w:spacing w:after="0"/>
            </w:pPr>
            <w:r/>
            <w:r>
              <w:rPr>
                <w:sz w:val="19"/>
              </w:rPr>
              <w:t>Korinek &amp; Vipra (2025)</w:t>
            </w:r>
          </w:p>
        </w:tc>
        <w:tc>
          <w:tcPr>
            <w:tcW w:type="dxa" w:w="2340"/>
          </w:tcPr>
          <w:p>
            <w:pPr>
              <w:spacing w:after="0"/>
            </w:pPr>
            <w:r/>
            <w:r>
              <w:rPr>
                <w:sz w:val="19"/>
              </w:rPr>
              <w:t>§3, RQ1</w:t>
            </w:r>
          </w:p>
        </w:tc>
        <w:tc>
          <w:tcPr>
            <w:tcW w:type="dxa" w:w="2340"/>
          </w:tcPr>
          <w:p>
            <w:pPr>
              <w:spacing w:after="0"/>
            </w:pPr>
            <w:r/>
            <w:r>
              <w:rPr>
                <w:sz w:val="19"/>
              </w:rPr>
              <w:t>HHI/CR4/Gini plus Lerner-implied markups on Q2/Q3 2026 data</w:t>
            </w:r>
          </w:p>
        </w:tc>
      </w:tr>
      <w:tr>
        <w:tc>
          <w:tcPr>
            <w:tcW w:type="dxa" w:w="2340"/>
            <w:shd w:val="clear" w:color="auto" w:fill="EDF1F5"/>
          </w:tcPr>
          <w:p>
            <w:pPr>
              <w:spacing w:after="0"/>
            </w:pPr>
            <w:r/>
            <w:r>
              <w:rPr>
                <w:sz w:val="19"/>
              </w:rPr>
              <w:t>Vertical stack &amp; gatekeepers</w:t>
            </w:r>
          </w:p>
        </w:tc>
        <w:tc>
          <w:tcPr>
            <w:tcW w:type="dxa" w:w="2340"/>
            <w:shd w:val="clear" w:color="auto" w:fill="EDF1F5"/>
          </w:tcPr>
          <w:p>
            <w:pPr>
              <w:spacing w:after="0"/>
            </w:pPr>
            <w:r/>
            <w:r>
              <w:rPr>
                <w:sz w:val="19"/>
              </w:rPr>
              <w:t>Hagiu &amp; Wright (2025); World Bank (2026); OECD (2025)</w:t>
            </w:r>
          </w:p>
        </w:tc>
        <w:tc>
          <w:tcPr>
            <w:tcW w:type="dxa" w:w="2340"/>
            <w:shd w:val="clear" w:color="auto" w:fill="EDF1F5"/>
          </w:tcPr>
          <w:p>
            <w:pPr>
              <w:spacing w:after="0"/>
            </w:pPr>
            <w:r/>
            <w:r>
              <w:rPr>
                <w:sz w:val="19"/>
              </w:rPr>
              <w:t>§4, RQ2</w:t>
            </w:r>
          </w:p>
        </w:tc>
        <w:tc>
          <w:tcPr>
            <w:tcW w:type="dxa" w:w="2340"/>
            <w:shd w:val="clear" w:color="auto" w:fill="EDF1F5"/>
          </w:tcPr>
          <w:p>
            <w:pPr>
              <w:spacing w:after="0"/>
            </w:pPr>
            <w:r/>
            <w:r>
              <w:rPr>
                <w:sz w:val="19"/>
              </w:rPr>
              <w:t>Six solved bilateral games; bottleneck located, not assumed</w:t>
            </w:r>
          </w:p>
        </w:tc>
      </w:tr>
      <w:tr>
        <w:tc>
          <w:tcPr>
            <w:tcW w:type="dxa" w:w="2340"/>
          </w:tcPr>
          <w:p>
            <w:pPr>
              <w:spacing w:after="0"/>
            </w:pPr>
            <w:r/>
            <w:r>
              <w:rPr>
                <w:sz w:val="19"/>
              </w:rPr>
              <w:t>Upstream power → welfare</w:t>
            </w:r>
          </w:p>
        </w:tc>
        <w:tc>
          <w:tcPr>
            <w:tcW w:type="dxa" w:w="2340"/>
          </w:tcPr>
          <w:p>
            <w:pPr>
              <w:spacing w:after="0"/>
            </w:pPr>
            <w:r/>
            <w:r>
              <w:rPr>
                <w:sz w:val="19"/>
              </w:rPr>
              <w:t>Korinek &amp; Vipra (2025)</w:t>
            </w:r>
          </w:p>
        </w:tc>
        <w:tc>
          <w:tcPr>
            <w:tcW w:type="dxa" w:w="2340"/>
          </w:tcPr>
          <w:p>
            <w:pPr>
              <w:spacing w:after="0"/>
            </w:pPr>
            <w:r/>
            <w:r>
              <w:rPr>
                <w:sz w:val="19"/>
              </w:rPr>
              <w:t>§5, RQ3</w:t>
            </w:r>
          </w:p>
        </w:tc>
        <w:tc>
          <w:tcPr>
            <w:tcW w:type="dxa" w:w="2340"/>
          </w:tcPr>
          <w:p>
            <w:pPr>
              <w:spacing w:after="0"/>
            </w:pPr>
            <w:r/>
            <w:r>
              <w:rPr>
                <w:sz w:val="19"/>
              </w:rPr>
              <w:t>$-level DWL decomposition by source</w:t>
            </w:r>
          </w:p>
        </w:tc>
      </w:tr>
      <w:tr>
        <w:tc>
          <w:tcPr>
            <w:tcW w:type="dxa" w:w="2340"/>
            <w:shd w:val="clear" w:color="auto" w:fill="EDF1F5"/>
          </w:tcPr>
          <w:p>
            <w:pPr>
              <w:spacing w:after="0"/>
            </w:pPr>
            <w:r/>
            <w:r>
              <w:rPr>
                <w:sz w:val="19"/>
              </w:rPr>
              <w:t>Equilibrium convergence/stability</w:t>
            </w:r>
          </w:p>
        </w:tc>
        <w:tc>
          <w:tcPr>
            <w:tcW w:type="dxa" w:w="2340"/>
            <w:shd w:val="clear" w:color="auto" w:fill="EDF1F5"/>
          </w:tcPr>
          <w:p>
            <w:pPr>
              <w:spacing w:after="0"/>
            </w:pPr>
            <w:r/>
            <w:r>
              <w:rPr>
                <w:sz w:val="19"/>
              </w:rPr>
              <w:t>Bichler et al. (2025)</w:t>
            </w:r>
          </w:p>
        </w:tc>
        <w:tc>
          <w:tcPr>
            <w:tcW w:type="dxa" w:w="2340"/>
            <w:shd w:val="clear" w:color="auto" w:fill="EDF1F5"/>
          </w:tcPr>
          <w:p>
            <w:pPr>
              <w:spacing w:after="0"/>
            </w:pPr>
            <w:r/>
            <w:r>
              <w:rPr>
                <w:sz w:val="19"/>
              </w:rPr>
              <w:t>§6</w:t>
            </w:r>
          </w:p>
        </w:tc>
        <w:tc>
          <w:tcPr>
            <w:tcW w:type="dxa" w:w="2340"/>
            <w:shd w:val="clear" w:color="auto" w:fill="EDF1F5"/>
          </w:tcPr>
          <w:p>
            <w:pPr>
              <w:spacing w:after="0"/>
            </w:pPr>
            <w:r/>
            <w:r>
              <w:rPr>
                <w:sz w:val="19"/>
              </w:rPr>
              <w:t>Monte-Carlo stability of each game's NE</w:t>
            </w:r>
          </w:p>
        </w:tc>
      </w:tr>
      <w:tr>
        <w:tc>
          <w:tcPr>
            <w:tcW w:type="dxa" w:w="2340"/>
          </w:tcPr>
          <w:p>
            <w:pPr>
              <w:spacing w:after="0"/>
            </w:pPr>
            <w:r/>
            <w:r>
              <w:rPr>
                <w:sz w:val="19"/>
              </w:rPr>
              <w:t>Bubble precedent &amp; fragility</w:t>
            </w:r>
          </w:p>
        </w:tc>
        <w:tc>
          <w:tcPr>
            <w:tcW w:type="dxa" w:w="2340"/>
          </w:tcPr>
          <w:p>
            <w:pPr>
              <w:spacing w:after="0"/>
            </w:pPr>
            <w:r/>
            <w:r>
              <w:rPr>
                <w:sz w:val="19"/>
              </w:rPr>
              <w:t>Ofek (2003); Greenwood et al. (2019)</w:t>
            </w:r>
          </w:p>
        </w:tc>
        <w:tc>
          <w:tcPr>
            <w:tcW w:type="dxa" w:w="2340"/>
          </w:tcPr>
          <w:p>
            <w:pPr>
              <w:spacing w:after="0"/>
            </w:pPr>
            <w:r/>
            <w:r>
              <w:rPr>
                <w:sz w:val="19"/>
              </w:rPr>
              <w:t>§7</w:t>
            </w:r>
          </w:p>
        </w:tc>
        <w:tc>
          <w:tcPr>
            <w:tcW w:type="dxa" w:w="2340"/>
          </w:tcPr>
          <w:p>
            <w:pPr>
              <w:spacing w:after="0"/>
            </w:pPr>
            <w:r/>
            <w:r>
              <w:rPr>
                <w:sz w:val="19"/>
              </w:rPr>
              <w:t>Bubble score as fragility index; NVIDIA-share of deal value</w:t>
            </w:r>
          </w:p>
        </w:tc>
      </w:tr>
      <w:tr>
        <w:tc>
          <w:tcPr>
            <w:tcW w:type="dxa" w:w="2340"/>
            <w:shd w:val="clear" w:color="auto" w:fill="EDF1F5"/>
          </w:tcPr>
          <w:p>
            <w:pPr>
              <w:spacing w:after="0"/>
            </w:pPr>
            <w:r/>
            <w:r>
              <w:rPr>
                <w:sz w:val="19"/>
              </w:rPr>
              <w:t>Circularity measurement</w:t>
            </w:r>
          </w:p>
        </w:tc>
        <w:tc>
          <w:tcPr>
            <w:tcW w:type="dxa" w:w="2340"/>
            <w:shd w:val="clear" w:color="auto" w:fill="EDF1F5"/>
          </w:tcPr>
          <w:p>
            <w:pPr>
              <w:spacing w:after="0"/>
            </w:pPr>
            <w:r/>
            <w:r>
              <w:rPr>
                <w:sz w:val="19"/>
              </w:rPr>
              <w:t>FTC (2025); BIS (2026)</w:t>
            </w:r>
          </w:p>
        </w:tc>
        <w:tc>
          <w:tcPr>
            <w:tcW w:type="dxa" w:w="2340"/>
            <w:shd w:val="clear" w:color="auto" w:fill="EDF1F5"/>
          </w:tcPr>
          <w:p>
            <w:pPr>
              <w:spacing w:after="0"/>
            </w:pPr>
            <w:r/>
            <w:r>
              <w:rPr>
                <w:sz w:val="19"/>
              </w:rPr>
              <w:t>§7</w:t>
            </w:r>
          </w:p>
        </w:tc>
        <w:tc>
          <w:tcPr>
            <w:tcW w:type="dxa" w:w="2340"/>
            <w:shd w:val="clear" w:color="auto" w:fill="EDF1F5"/>
          </w:tcPr>
          <w:p>
            <w:pPr>
              <w:spacing w:after="0"/>
            </w:pPr>
            <w:r/>
            <w:r>
              <w:rPr>
                <w:sz w:val="19"/>
              </w:rPr>
              <w:t>Committed-value exposure frame; fire-sale round noted as unmodeled</w:t>
            </w:r>
          </w:p>
        </w:tc>
      </w:tr>
      <w:tr>
        <w:tc>
          <w:tcPr>
            <w:tcW w:type="dxa" w:w="2340"/>
          </w:tcPr>
          <w:p>
            <w:pPr>
              <w:spacing w:after="0"/>
            </w:pPr>
            <w:r/>
            <w:r>
              <w:rPr>
                <w:sz w:val="19"/>
              </w:rPr>
              <w:t>Remedies &amp; restraint</w:t>
            </w:r>
          </w:p>
        </w:tc>
        <w:tc>
          <w:tcPr>
            <w:tcW w:type="dxa" w:w="2340"/>
          </w:tcPr>
          <w:p>
            <w:pPr>
              <w:spacing w:after="0"/>
            </w:pPr>
            <w:r/>
            <w:r>
              <w:rPr>
                <w:sz w:val="19"/>
              </w:rPr>
              <w:t>DMA (2022); Ofcom</w:t>
            </w:r>
          </w:p>
        </w:tc>
        <w:tc>
          <w:tcPr>
            <w:tcW w:type="dxa" w:w="2340"/>
          </w:tcPr>
          <w:p>
            <w:pPr>
              <w:spacing w:after="0"/>
            </w:pPr>
            <w:r/>
            <w:r>
              <w:rPr>
                <w:sz w:val="19"/>
              </w:rPr>
              <w:t>§5.1, RQ4</w:t>
            </w:r>
          </w:p>
        </w:tc>
        <w:tc>
          <w:tcPr>
            <w:tcW w:type="dxa" w:w="2340"/>
          </w:tcPr>
          <w:p>
            <w:pPr>
              <w:spacing w:after="0"/>
            </w:pPr>
            <w:r/>
            <w:r>
              <w:rPr>
                <w:sz w:val="19"/>
              </w:rPr>
              <w:t>Costed, scenario-bound ranking with BCRs</w:t>
            </w:r>
          </w:p>
        </w:tc>
      </w:tr>
    </w:tbl>
    <w:p>
      <w:pPr>
        <w:spacing w:after="80"/>
      </w:pPr>
      <w:r>
        <w:rPr>
          <w:sz w:val="4"/>
        </w:rPr>
      </w:r>
    </w:p>
    <w:p>
      <w:pPr>
        <w:pStyle w:val="Heading2"/>
      </w:pPr>
      <w:r>
        <w:t>2.7  Assumptions register</w:t>
      </w:r>
    </w:p>
    <w:p>
      <w:pPr>
        <w:spacing w:after="120"/>
      </w:pPr>
      <w:r>
        <w:rPr>
          <w:b w:val="0"/>
          <w:i w:val="0"/>
          <w:sz w:val="22"/>
        </w:rPr>
        <w:t>Table 8.5 records every material modeling assumption, where it is used, what justifies it, which robustness check disciplines it, and what breaks if it is violated. Assumptions marked “not directly tested” are carried forward as Limitations in §9.2 rather than asserted as findings.</w:t>
      </w:r>
    </w:p>
    <w:p>
      <w:pPr>
        <w:keepNext/>
        <w:spacing w:before="200" w:after="40"/>
      </w:pPr>
      <w:r>
        <w:rPr>
          <w:b/>
          <w:color w:val="2C3E50"/>
          <w:sz w:val="20"/>
        </w:rPr>
        <w:t>Table 8.5: Assumption Register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w:t>
            </w:r>
          </w:p>
        </w:tc>
        <w:tc>
          <w:tcPr>
            <w:tcW w:type="dxa" w:w="1560"/>
            <w:tblHeader w:val="true"/>
            <w:shd w:val="clear" w:color="auto" w:fill="2C3E50"/>
          </w:tcPr>
          <w:p>
            <w:pPr>
              <w:jc w:val="center"/>
            </w:pPr>
            <w:r/>
            <w:r>
              <w:rPr>
                <w:b/>
                <w:color w:val="FFFFFF"/>
                <w:sz w:val="18"/>
              </w:rPr>
              <w:t>Assumption</w:t>
            </w:r>
          </w:p>
        </w:tc>
        <w:tc>
          <w:tcPr>
            <w:tcW w:type="dxa" w:w="1560"/>
            <w:tblHeader w:val="true"/>
            <w:shd w:val="clear" w:color="auto" w:fill="2C3E50"/>
          </w:tcPr>
          <w:p>
            <w:pPr>
              <w:jc w:val="center"/>
            </w:pPr>
            <w:r/>
            <w:r>
              <w:rPr>
                <w:b/>
                <w:color w:val="FFFFFF"/>
                <w:sz w:val="18"/>
              </w:rPr>
              <w:t>Used in</w:t>
            </w:r>
          </w:p>
        </w:tc>
        <w:tc>
          <w:tcPr>
            <w:tcW w:type="dxa" w:w="1560"/>
            <w:tblHeader w:val="true"/>
            <w:shd w:val="clear" w:color="auto" w:fill="2C3E50"/>
          </w:tcPr>
          <w:p>
            <w:pPr>
              <w:jc w:val="center"/>
            </w:pPr>
            <w:r/>
            <w:r>
              <w:rPr>
                <w:b/>
                <w:color w:val="FFFFFF"/>
                <w:sz w:val="18"/>
              </w:rPr>
              <w:t>Justification</w:t>
            </w:r>
          </w:p>
        </w:tc>
        <w:tc>
          <w:tcPr>
            <w:tcW w:type="dxa" w:w="1560"/>
            <w:tblHeader w:val="true"/>
            <w:shd w:val="clear" w:color="auto" w:fill="2C3E50"/>
          </w:tcPr>
          <w:p>
            <w:pPr>
              <w:jc w:val="center"/>
            </w:pPr>
            <w:r/>
            <w:r>
              <w:rPr>
                <w:b/>
                <w:color w:val="FFFFFF"/>
                <w:sz w:val="18"/>
              </w:rPr>
              <w:t>Checked by</w:t>
            </w:r>
          </w:p>
        </w:tc>
        <w:tc>
          <w:tcPr>
            <w:tcW w:type="dxa" w:w="1560"/>
            <w:tblHeader w:val="true"/>
            <w:shd w:val="clear" w:color="auto" w:fill="2C3E50"/>
          </w:tcPr>
          <w:p>
            <w:pPr>
              <w:jc w:val="center"/>
            </w:pPr>
            <w:r/>
            <w:r>
              <w:rPr>
                <w:b/>
                <w:color w:val="FFFFFF"/>
                <w:sz w:val="18"/>
              </w:rPr>
              <w:t>Risk if violated</w:t>
            </w:r>
          </w:p>
        </w:tc>
      </w:tr>
      <w:tr>
        <w:tc>
          <w:tcPr>
            <w:tcW w:type="dxa" w:w="1560"/>
          </w:tcPr>
          <w:p>
            <w:pPr>
              <w:spacing w:after="0"/>
            </w:pPr>
            <w:r/>
            <w:r>
              <w:rPr>
                <w:sz w:val="17"/>
              </w:rPr>
              <w:t>A1</w:t>
            </w:r>
          </w:p>
        </w:tc>
        <w:tc>
          <w:tcPr>
            <w:tcW w:type="dxa" w:w="1560"/>
          </w:tcPr>
          <w:p>
            <w:pPr>
              <w:spacing w:after="0"/>
            </w:pPr>
            <w:r/>
            <w:r>
              <w:rPr>
                <w:sz w:val="17"/>
              </w:rPr>
              <w:t>Bilateral 2x2 games capture the strategic structure</w:t>
            </w:r>
          </w:p>
        </w:tc>
        <w:tc>
          <w:tcPr>
            <w:tcW w:type="dxa" w:w="1560"/>
          </w:tcPr>
          <w:p>
            <w:pPr>
              <w:spacing w:after="0"/>
            </w:pPr>
            <w:r/>
            <w:r>
              <w:rPr>
                <w:sz w:val="17"/>
              </w:rPr>
              <w:t>All games</w:t>
            </w:r>
          </w:p>
        </w:tc>
        <w:tc>
          <w:tcPr>
            <w:tcW w:type="dxa" w:w="1560"/>
          </w:tcPr>
          <w:p>
            <w:pPr>
              <w:spacing w:after="0"/>
            </w:pPr>
            <w:r/>
            <w:r>
              <w:rPr>
                <w:sz w:val="17"/>
              </w:rPr>
              <w:t>Standard IO framing; matches report game taxonomy</w:t>
            </w:r>
          </w:p>
        </w:tc>
        <w:tc>
          <w:tcPr>
            <w:tcW w:type="dxa" w:w="1560"/>
          </w:tcPr>
          <w:p>
            <w:pPr>
              <w:spacing w:after="0"/>
            </w:pPr>
            <w:r/>
            <w:r>
              <w:rPr>
                <w:sz w:val="17"/>
              </w:rPr>
              <w:t>R2/R3 (NE stability under perturbation)</w:t>
            </w:r>
          </w:p>
        </w:tc>
        <w:tc>
          <w:tcPr>
            <w:tcW w:type="dxa" w:w="1560"/>
          </w:tcPr>
          <w:p>
            <w:pPr>
              <w:spacing w:after="0"/>
            </w:pPr>
            <w:r/>
            <w:r>
              <w:rPr>
                <w:sz w:val="17"/>
              </w:rPr>
              <w:t>Misses N-player dynamics</w:t>
            </w:r>
          </w:p>
        </w:tc>
      </w:tr>
      <w:tr>
        <w:tc>
          <w:tcPr>
            <w:tcW w:type="dxa" w:w="1560"/>
            <w:shd w:val="clear" w:color="auto" w:fill="EDF1F5"/>
          </w:tcPr>
          <w:p>
            <w:pPr>
              <w:spacing w:after="0"/>
            </w:pPr>
            <w:r/>
            <w:r>
              <w:rPr>
                <w:sz w:val="17"/>
              </w:rPr>
              <w:t>A2</w:t>
            </w:r>
          </w:p>
        </w:tc>
        <w:tc>
          <w:tcPr>
            <w:tcW w:type="dxa" w:w="1560"/>
            <w:shd w:val="clear" w:color="auto" w:fill="EDF1F5"/>
          </w:tcPr>
          <w:p>
            <w:pPr>
              <w:spacing w:after="0"/>
            </w:pPr>
            <w:r/>
            <w:r>
              <w:rPr>
                <w:sz w:val="17"/>
              </w:rPr>
              <w:t>Log-normal 5% payoff noise represents measurement error</w:t>
            </w:r>
          </w:p>
        </w:tc>
        <w:tc>
          <w:tcPr>
            <w:tcW w:type="dxa" w:w="1560"/>
            <w:shd w:val="clear" w:color="auto" w:fill="EDF1F5"/>
          </w:tcPr>
          <w:p>
            <w:pPr>
              <w:spacing w:after="0"/>
            </w:pPr>
            <w:r/>
            <w:r>
              <w:rPr>
                <w:sz w:val="17"/>
              </w:rPr>
              <w:t>Monte Carlo</w:t>
            </w:r>
          </w:p>
        </w:tc>
        <w:tc>
          <w:tcPr>
            <w:tcW w:type="dxa" w:w="1560"/>
            <w:shd w:val="clear" w:color="auto" w:fill="EDF1F5"/>
          </w:tcPr>
          <w:p>
            <w:pPr>
              <w:spacing w:after="0"/>
            </w:pPr>
            <w:r/>
            <w:r>
              <w:rPr>
                <w:sz w:val="17"/>
              </w:rPr>
              <w:t>Multiplicative-error convention for revenue-scale payoffs</w:t>
            </w:r>
          </w:p>
        </w:tc>
        <w:tc>
          <w:tcPr>
            <w:tcW w:type="dxa" w:w="1560"/>
            <w:shd w:val="clear" w:color="auto" w:fill="EDF1F5"/>
          </w:tcPr>
          <w:p>
            <w:pPr>
              <w:spacing w:after="0"/>
            </w:pPr>
            <w:r/>
            <w:r>
              <w:rPr>
                <w:sz w:val="17"/>
              </w:rPr>
              <w:t>R3 (sigma 2.5/5/10%)</w:t>
            </w:r>
          </w:p>
        </w:tc>
        <w:tc>
          <w:tcPr>
            <w:tcW w:type="dxa" w:w="1560"/>
            <w:shd w:val="clear" w:color="auto" w:fill="EDF1F5"/>
          </w:tcPr>
          <w:p>
            <w:pPr>
              <w:spacing w:after="0"/>
            </w:pPr>
            <w:r/>
            <w:r>
              <w:rPr>
                <w:sz w:val="17"/>
              </w:rPr>
              <w:t>Over/under-stated stability</w:t>
            </w:r>
          </w:p>
        </w:tc>
      </w:tr>
      <w:tr>
        <w:tc>
          <w:tcPr>
            <w:tcW w:type="dxa" w:w="1560"/>
          </w:tcPr>
          <w:p>
            <w:pPr>
              <w:spacing w:after="0"/>
            </w:pPr>
            <w:r/>
            <w:r>
              <w:rPr>
                <w:sz w:val="17"/>
              </w:rPr>
              <w:t>A3</w:t>
            </w:r>
          </w:p>
        </w:tc>
        <w:tc>
          <w:tcPr>
            <w:tcW w:type="dxa" w:w="1560"/>
          </w:tcPr>
          <w:p>
            <w:pPr>
              <w:spacing w:after="0"/>
            </w:pPr>
            <w:r/>
            <w:r>
              <w:rPr>
                <w:sz w:val="17"/>
              </w:rPr>
              <w:t>Deviation gains/losses are share-scaled to own CC payoffs with player-specific rates (own margin → temptation; own circularity → sucker)</w:t>
            </w:r>
          </w:p>
        </w:tc>
        <w:tc>
          <w:tcPr>
            <w:tcW w:type="dxa" w:w="1560"/>
          </w:tcPr>
          <w:p>
            <w:pPr>
              <w:spacing w:after="0"/>
            </w:pPr>
            <w:r/>
            <w:r>
              <w:rPr>
                <w:sz w:val="17"/>
              </w:rPr>
              <w:t>Payoff calibration</w:t>
            </w:r>
          </w:p>
        </w:tc>
        <w:tc>
          <w:tcPr>
            <w:tcW w:type="dxa" w:w="1560"/>
          </w:tcPr>
          <w:p>
            <w:pPr>
              <w:spacing w:after="0"/>
            </w:pPr>
            <w:r/>
            <w:r>
              <w:rPr>
                <w:sz w:val="17"/>
              </w:rPr>
              <w:t>Proportional-to-stakes convention; uses validated Operating_Margin and Circular_Dependency_Index (improved Sep 6 2026; was pair-level absolutes)</w:t>
            </w:r>
          </w:p>
        </w:tc>
        <w:tc>
          <w:tcPr>
            <w:tcW w:type="dxa" w:w="1560"/>
          </w:tcPr>
          <w:p>
            <w:pPr>
              <w:spacing w:after="0"/>
            </w:pPr>
            <w:r/>
            <w:r>
              <w:rPr>
                <w:sz w:val="17"/>
              </w:rPr>
              <w:t>Saltelli surrogate replicates the same algebra; brute-force NE agreement tests</w:t>
            </w:r>
          </w:p>
        </w:tc>
        <w:tc>
          <w:tcPr>
            <w:tcW w:type="dxa" w:w="1560"/>
          </w:tcPr>
          <w:p>
            <w:pPr>
              <w:spacing w:after="0"/>
            </w:pPr>
            <w:r/>
            <w:r>
              <w:rPr>
                <w:sz w:val="17"/>
              </w:rPr>
              <w:t>Residual: linear rate maps are conventions, not estimated; small-player leverage still approximate</w:t>
            </w:r>
          </w:p>
        </w:tc>
      </w:tr>
      <w:tr>
        <w:tc>
          <w:tcPr>
            <w:tcW w:type="dxa" w:w="1560"/>
            <w:shd w:val="clear" w:color="auto" w:fill="EDF1F5"/>
          </w:tcPr>
          <w:p>
            <w:pPr>
              <w:spacing w:after="0"/>
            </w:pPr>
            <w:r/>
            <w:r>
              <w:rPr>
                <w:sz w:val="17"/>
              </w:rPr>
              <w:t>A4</w:t>
            </w:r>
          </w:p>
        </w:tc>
        <w:tc>
          <w:tcPr>
            <w:tcW w:type="dxa" w:w="1560"/>
            <w:shd w:val="clear" w:color="auto" w:fill="EDF1F5"/>
          </w:tcPr>
          <w:p>
            <w:pPr>
              <w:spacing w:after="0"/>
            </w:pPr>
            <w:r/>
            <w:r>
              <w:rPr>
                <w:sz w:val="17"/>
              </w:rPr>
              <w:t>Pareto benchmark = observed total scaled by pair efficiency</w:t>
            </w:r>
          </w:p>
        </w:tc>
        <w:tc>
          <w:tcPr>
            <w:tcW w:type="dxa" w:w="1560"/>
            <w:shd w:val="clear" w:color="auto" w:fill="EDF1F5"/>
          </w:tcPr>
          <w:p>
            <w:pPr>
              <w:spacing w:after="0"/>
            </w:pPr>
            <w:r/>
            <w:r>
              <w:rPr>
                <w:sz w:val="17"/>
              </w:rPr>
              <w:t>Welfare/DWL</w:t>
            </w:r>
          </w:p>
        </w:tc>
        <w:tc>
          <w:tcPr>
            <w:tcW w:type="dxa" w:w="1560"/>
            <w:shd w:val="clear" w:color="auto" w:fill="EDF1F5"/>
          </w:tcPr>
          <w:p>
            <w:pPr>
              <w:spacing w:after="0"/>
            </w:pPr>
            <w:r/>
            <w:r>
              <w:rPr>
                <w:sz w:val="17"/>
              </w:rPr>
              <w:t>Revealed-efficiency benchmark; efficiency floored at 0.75</w:t>
            </w:r>
          </w:p>
        </w:tc>
        <w:tc>
          <w:tcPr>
            <w:tcW w:type="dxa" w:w="1560"/>
            <w:shd w:val="clear" w:color="auto" w:fill="EDF1F5"/>
          </w:tcPr>
          <w:p>
            <w:pPr>
              <w:spacing w:after="0"/>
            </w:pPr>
            <w:r/>
            <w:r>
              <w:rPr>
                <w:sz w:val="17"/>
              </w:rPr>
              <w:t>R4 (efficiency-adjacent margins decomposed)</w:t>
            </w:r>
          </w:p>
        </w:tc>
        <w:tc>
          <w:tcPr>
            <w:tcW w:type="dxa" w:w="1560"/>
            <w:shd w:val="clear" w:color="auto" w:fill="EDF1F5"/>
          </w:tcPr>
          <w:p>
            <w:pPr>
              <w:spacing w:after="0"/>
            </w:pPr>
            <w:r/>
            <w:r>
              <w:rPr>
                <w:sz w:val="17"/>
              </w:rPr>
              <w:t>Pareto level mis-set</w:t>
            </w:r>
          </w:p>
        </w:tc>
      </w:tr>
      <w:tr>
        <w:tc>
          <w:tcPr>
            <w:tcW w:type="dxa" w:w="1560"/>
          </w:tcPr>
          <w:p>
            <w:pPr>
              <w:spacing w:after="0"/>
            </w:pPr>
            <w:r/>
            <w:r>
              <w:rPr>
                <w:sz w:val="17"/>
              </w:rPr>
              <w:t>A5</w:t>
            </w:r>
          </w:p>
        </w:tc>
        <w:tc>
          <w:tcPr>
            <w:tcW w:type="dxa" w:w="1560"/>
          </w:tcPr>
          <w:p>
            <w:pPr>
              <w:spacing w:after="0"/>
            </w:pPr>
            <w:r/>
            <w:r>
              <w:rPr>
                <w:sz w:val="17"/>
              </w:rPr>
              <w:t>Saltelli priors: independent Uniform ±20% around calibrated values</w:t>
            </w:r>
          </w:p>
        </w:tc>
        <w:tc>
          <w:tcPr>
            <w:tcW w:type="dxa" w:w="1560"/>
          </w:tcPr>
          <w:p>
            <w:pPr>
              <w:spacing w:after="0"/>
            </w:pPr>
            <w:r/>
            <w:r>
              <w:rPr>
                <w:sz w:val="17"/>
              </w:rPr>
              <w:t>R4 Sobol</w:t>
            </w:r>
          </w:p>
        </w:tc>
        <w:tc>
          <w:tcPr>
            <w:tcW w:type="dxa" w:w="1560"/>
          </w:tcPr>
          <w:p>
            <w:pPr>
              <w:spacing w:after="0"/>
            </w:pPr>
            <w:r/>
            <w:r>
              <w:rPr>
                <w:sz w:val="17"/>
              </w:rPr>
              <w:t>Standard sensitivity-analysis convention; N=2048 + 500 bootstraps</w:t>
            </w:r>
          </w:p>
        </w:tc>
        <w:tc>
          <w:tcPr>
            <w:tcW w:type="dxa" w:w="1560"/>
          </w:tcPr>
          <w:p>
            <w:pPr>
              <w:spacing w:after="0"/>
            </w:pPr>
            <w:r/>
            <w:r>
              <w:rPr>
                <w:sz w:val="17"/>
              </w:rPr>
              <w:t>Bootstrap CI width in Table 8.4</w:t>
            </w:r>
          </w:p>
        </w:tc>
        <w:tc>
          <w:tcPr>
            <w:tcW w:type="dxa" w:w="1560"/>
          </w:tcPr>
          <w:p>
            <w:pPr>
              <w:spacing w:after="0"/>
            </w:pPr>
            <w:r/>
            <w:r>
              <w:rPr>
                <w:sz w:val="17"/>
              </w:rPr>
              <w:t>Index magnitudes shift; ranking usually robust</w:t>
            </w:r>
          </w:p>
        </w:tc>
      </w:tr>
      <w:tr>
        <w:tc>
          <w:tcPr>
            <w:tcW w:type="dxa" w:w="1560"/>
            <w:shd w:val="clear" w:color="auto" w:fill="EDF1F5"/>
          </w:tcPr>
          <w:p>
            <w:pPr>
              <w:spacing w:after="0"/>
            </w:pPr>
            <w:r/>
            <w:r>
              <w:rPr>
                <w:sz w:val="17"/>
              </w:rPr>
              <w:t>A6</w:t>
            </w:r>
          </w:p>
        </w:tc>
        <w:tc>
          <w:tcPr>
            <w:tcW w:type="dxa" w:w="1560"/>
            <w:shd w:val="clear" w:color="auto" w:fill="EDF1F5"/>
          </w:tcPr>
          <w:p>
            <w:pPr>
              <w:spacing w:after="0"/>
            </w:pPr>
            <w:r/>
            <w:r>
              <w:rPr>
                <w:sz w:val="17"/>
              </w:rPr>
              <w:t>Embedded data vintage (2025 revenues, margins, deals)</w:t>
            </w:r>
          </w:p>
        </w:tc>
        <w:tc>
          <w:tcPr>
            <w:tcW w:type="dxa" w:w="1560"/>
            <w:shd w:val="clear" w:color="auto" w:fill="EDF1F5"/>
          </w:tcPr>
          <w:p>
            <w:pPr>
              <w:spacing w:after="0"/>
            </w:pPr>
            <w:r/>
            <w:r>
              <w:rPr>
                <w:sz w:val="17"/>
              </w:rPr>
              <w:t>Throughout</w:t>
            </w:r>
          </w:p>
        </w:tc>
        <w:tc>
          <w:tcPr>
            <w:tcW w:type="dxa" w:w="1560"/>
            <w:shd w:val="clear" w:color="auto" w:fill="EDF1F5"/>
          </w:tcPr>
          <w:p>
            <w:pPr>
              <w:spacing w:after="0"/>
            </w:pPr>
            <w:r/>
            <w:r>
              <w:rPr>
                <w:sz w:val="17"/>
              </w:rPr>
              <w:t>Latest complete cross-section available at build</w:t>
            </w:r>
          </w:p>
        </w:tc>
        <w:tc>
          <w:tcPr>
            <w:tcW w:type="dxa" w:w="1560"/>
            <w:shd w:val="clear" w:color="auto" w:fill="EDF1F5"/>
          </w:tcPr>
          <w:p>
            <w:pPr>
              <w:spacing w:after="0"/>
            </w:pPr>
            <w:r/>
            <w:r>
              <w:rPr>
                <w:sz w:val="17"/>
              </w:rPr>
              <w:t>D1–D6 integrity gates</w:t>
            </w:r>
          </w:p>
        </w:tc>
        <w:tc>
          <w:tcPr>
            <w:tcW w:type="dxa" w:w="1560"/>
            <w:shd w:val="clear" w:color="auto" w:fill="EDF1F5"/>
          </w:tcPr>
          <w:p>
            <w:pPr>
              <w:spacing w:after="0"/>
            </w:pPr>
            <w:r/>
            <w:r>
              <w:rPr>
                <w:sz w:val="17"/>
              </w:rPr>
              <w:t>Levels shift; shares/ranks more robust than levels</w:t>
            </w:r>
          </w:p>
        </w:tc>
      </w:tr>
      <w:tr>
        <w:tc>
          <w:tcPr>
            <w:tcW w:type="dxa" w:w="1560"/>
          </w:tcPr>
          <w:p>
            <w:pPr>
              <w:spacing w:after="0"/>
            </w:pPr>
            <w:r/>
            <w:r>
              <w:rPr>
                <w:sz w:val="17"/>
              </w:rPr>
              <w:t>A7</w:t>
            </w:r>
          </w:p>
        </w:tc>
        <w:tc>
          <w:tcPr>
            <w:tcW w:type="dxa" w:w="1560"/>
          </w:tcPr>
          <w:p>
            <w:pPr>
              <w:spacing w:after="0"/>
            </w:pPr>
            <w:r/>
            <w:r>
              <w:rPr>
                <w:sz w:val="17"/>
              </w:rPr>
              <w:t>Static one-shot games (no dynamics, learning, or entry)</w:t>
            </w:r>
          </w:p>
        </w:tc>
        <w:tc>
          <w:tcPr>
            <w:tcW w:type="dxa" w:w="1560"/>
          </w:tcPr>
          <w:p>
            <w:pPr>
              <w:spacing w:after="0"/>
            </w:pPr>
            <w:r/>
            <w:r>
              <w:rPr>
                <w:sz w:val="17"/>
              </w:rPr>
              <w:t>All games</w:t>
            </w:r>
          </w:p>
        </w:tc>
        <w:tc>
          <w:tcPr>
            <w:tcW w:type="dxa" w:w="1560"/>
          </w:tcPr>
          <w:p>
            <w:pPr>
              <w:spacing w:after="0"/>
            </w:pPr>
            <w:r/>
            <w:r>
              <w:rPr>
                <w:sz w:val="17"/>
              </w:rPr>
              <w:t>Baseline before dynamics; matches cited static literature</w:t>
            </w:r>
          </w:p>
        </w:tc>
        <w:tc>
          <w:tcPr>
            <w:tcW w:type="dxa" w:w="1560"/>
          </w:tcPr>
          <w:p>
            <w:pPr>
              <w:spacing w:after="0"/>
            </w:pPr>
            <w:r/>
            <w:r>
              <w:rPr>
                <w:sz w:val="17"/>
              </w:rPr>
              <w:t>Not directly tested — see Limitations</w:t>
            </w:r>
          </w:p>
        </w:tc>
        <w:tc>
          <w:tcPr>
            <w:tcW w:type="dxa" w:w="1560"/>
          </w:tcPr>
          <w:p>
            <w:pPr>
              <w:spacing w:after="0"/>
            </w:pPr>
            <w:r/>
            <w:r>
              <w:rPr>
                <w:sz w:val="17"/>
              </w:rPr>
              <w:t>Equilibria may not persist dynamically</w:t>
            </w:r>
          </w:p>
        </w:tc>
      </w:tr>
      <w:tr>
        <w:tc>
          <w:tcPr>
            <w:tcW w:type="dxa" w:w="1560"/>
            <w:shd w:val="clear" w:color="auto" w:fill="EDF1F5"/>
          </w:tcPr>
          <w:p>
            <w:pPr>
              <w:spacing w:after="0"/>
            </w:pPr>
            <w:r/>
            <w:r>
              <w:rPr>
                <w:sz w:val="17"/>
              </w:rPr>
              <w:t>A8</w:t>
            </w:r>
          </w:p>
        </w:tc>
        <w:tc>
          <w:tcPr>
            <w:tcW w:type="dxa" w:w="1560"/>
            <w:shd w:val="clear" w:color="auto" w:fill="EDF1F5"/>
          </w:tcPr>
          <w:p>
            <w:pPr>
              <w:spacing w:after="0"/>
            </w:pPr>
            <w:r/>
            <w:r>
              <w:rPr>
                <w:sz w:val="17"/>
              </w:rPr>
              <w:t>Bubble-formation logit weights are judgment weights</w:t>
            </w:r>
          </w:p>
        </w:tc>
        <w:tc>
          <w:tcPr>
            <w:tcW w:type="dxa" w:w="1560"/>
            <w:shd w:val="clear" w:color="auto" w:fill="EDF1F5"/>
          </w:tcPr>
          <w:p>
            <w:pPr>
              <w:spacing w:after="0"/>
            </w:pPr>
            <w:r/>
            <w:r>
              <w:rPr>
                <w:sz w:val="17"/>
              </w:rPr>
              <w:t>Table 7.10</w:t>
            </w:r>
          </w:p>
        </w:tc>
        <w:tc>
          <w:tcPr>
            <w:tcW w:type="dxa" w:w="1560"/>
            <w:shd w:val="clear" w:color="auto" w:fill="EDF1F5"/>
          </w:tcPr>
          <w:p>
            <w:pPr>
              <w:spacing w:after="0"/>
            </w:pPr>
            <w:r/>
            <w:r>
              <w:rPr>
                <w:sz w:val="17"/>
              </w:rPr>
              <w:t>Circular exposure dominates by mechanism design; band z±0.4</w:t>
            </w:r>
          </w:p>
        </w:tc>
        <w:tc>
          <w:tcPr>
            <w:tcW w:type="dxa" w:w="1560"/>
            <w:shd w:val="clear" w:color="auto" w:fill="EDF1F5"/>
          </w:tcPr>
          <w:p>
            <w:pPr>
              <w:spacing w:after="0"/>
            </w:pPr>
            <w:r/>
            <w:r>
              <w:rPr>
                <w:sz w:val="17"/>
              </w:rPr>
              <w:t>OAT halves/doubles: 10/16 formation, 16/16 burst; 300-draw joint check (seed 7): formation exact 65% tau=0.88 (FM top 90%), burst exact 100% tau=1.00 (#1 HW 100%/Cloud 0%); breakdown-frontier identified intervals (Table 8.7)</w:t>
            </w:r>
          </w:p>
        </w:tc>
        <w:tc>
          <w:tcPr>
            <w:tcW w:type="dxa" w:w="1560"/>
            <w:shd w:val="clear" w:color="auto" w:fill="EDF1F5"/>
          </w:tcPr>
          <w:p>
            <w:pPr>
              <w:spacing w:after="0"/>
            </w:pPr>
            <w:r/>
            <w:r>
              <w:rPr>
                <w:sz w:val="17"/>
              </w:rPr>
              <w:t>Levels shift ~±25pp; HW-Cloud top order decisive on base totals ($239.4B vs $132.7B), preserved in 26/32 OAT runs and in all 300 joint draws (seed 7)</w:t>
            </w:r>
          </w:p>
        </w:tc>
      </w:tr>
      <w:tr>
        <w:tc>
          <w:tcPr>
            <w:tcW w:type="dxa" w:w="1560"/>
          </w:tcPr>
          <w:p>
            <w:pPr>
              <w:spacing w:after="0"/>
            </w:pPr>
            <w:r/>
            <w:r>
              <w:rPr>
                <w:sz w:val="17"/>
              </w:rPr>
              <w:t>A9</w:t>
            </w:r>
          </w:p>
        </w:tc>
        <w:tc>
          <w:tcPr>
            <w:tcW w:type="dxa" w:w="1560"/>
          </w:tcPr>
          <w:p>
            <w:pPr>
              <w:spacing w:after="0"/>
            </w:pPr>
            <w:r/>
            <w:r>
              <w:rPr>
                <w:sz w:val="17"/>
              </w:rPr>
              <w:t>Burst propagates one round through dependency flows (no dynamics)</w:t>
            </w:r>
          </w:p>
        </w:tc>
        <w:tc>
          <w:tcPr>
            <w:tcW w:type="dxa" w:w="1560"/>
          </w:tcPr>
          <w:p>
            <w:pPr>
              <w:spacing w:after="0"/>
            </w:pPr>
            <w:r/>
            <w:r>
              <w:rPr>
                <w:sz w:val="17"/>
              </w:rPr>
              <w:t>Table 7.11</w:t>
            </w:r>
          </w:p>
        </w:tc>
        <w:tc>
          <w:tcPr>
            <w:tcW w:type="dxa" w:w="1560"/>
          </w:tcPr>
          <w:p>
            <w:pPr>
              <w:spacing w:after="0"/>
            </w:pPr>
            <w:r/>
            <w:r>
              <w:rPr>
                <w:sz w:val="17"/>
              </w:rPr>
              <w:t>First-order baseline; full reverberation in Table 7.14 (DebtRank multiplier 1.032)</w:t>
            </w:r>
          </w:p>
        </w:tc>
        <w:tc>
          <w:tcPr>
            <w:tcW w:type="dxa" w:w="1560"/>
          </w:tcPr>
          <w:p>
            <w:pPr>
              <w:spacing w:after="0"/>
            </w:pPr>
            <w:r/>
            <w:r>
              <w:rPr>
                <w:sz w:val="17"/>
              </w:rPr>
              <w:t>Rank permutation + non-negativity invariants in save_all; DebtRank second-round reconciliation</w:t>
            </w:r>
          </w:p>
        </w:tc>
        <w:tc>
          <w:tcPr>
            <w:tcW w:type="dxa" w:w="1560"/>
          </w:tcPr>
          <w:p>
            <w:pPr>
              <w:spacing w:after="0"/>
            </w:pPr>
            <w:r/>
            <w:r>
              <w:rPr>
                <w:sz w:val="17"/>
              </w:rPr>
              <w:t>Losses understated if cascades compound</w:t>
            </w:r>
          </w:p>
        </w:tc>
      </w:tr>
      <w:tr>
        <w:tc>
          <w:tcPr>
            <w:tcW w:type="dxa" w:w="1560"/>
            <w:shd w:val="clear" w:color="auto" w:fill="EDF1F5"/>
          </w:tcPr>
          <w:p>
            <w:pPr>
              <w:spacing w:after="0"/>
            </w:pPr>
            <w:r/>
            <w:r>
              <w:rPr>
                <w:sz w:val="17"/>
              </w:rPr>
              <w:t>A10</w:t>
            </w:r>
          </w:p>
        </w:tc>
        <w:tc>
          <w:tcPr>
            <w:tcW w:type="dxa" w:w="1560"/>
            <w:shd w:val="clear" w:color="auto" w:fill="EDF1F5"/>
          </w:tcPr>
          <w:p>
            <w:pPr>
              <w:spacing w:after="0"/>
            </w:pPr>
            <w:r/>
            <w:r>
              <w:rPr>
                <w:sz w:val="17"/>
              </w:rPr>
              <w:t>GDP arithmetic is US-calibrated scenario math (BEA $30.8T; no multiplier)</w:t>
            </w:r>
          </w:p>
        </w:tc>
        <w:tc>
          <w:tcPr>
            <w:tcW w:type="dxa" w:w="1560"/>
            <w:shd w:val="clear" w:color="auto" w:fill="EDF1F5"/>
          </w:tcPr>
          <w:p>
            <w:pPr>
              <w:spacing w:after="0"/>
            </w:pPr>
            <w:r/>
            <w:r>
              <w:rPr>
                <w:sz w:val="17"/>
              </w:rPr>
              <w:t>Table 7.12</w:t>
            </w:r>
          </w:p>
        </w:tc>
        <w:tc>
          <w:tcPr>
            <w:tcW w:type="dxa" w:w="1560"/>
            <w:shd w:val="clear" w:color="auto" w:fill="EDF1F5"/>
          </w:tcPr>
          <w:p>
            <w:pPr>
              <w:spacing w:after="0"/>
            </w:pPr>
            <w:r/>
            <w:r>
              <w:rPr>
                <w:sz w:val="17"/>
              </w:rPr>
              <w:t>All modeled firms US-domiciled; transmission rule ports to others</w:t>
            </w:r>
          </w:p>
        </w:tc>
        <w:tc>
          <w:tcPr>
            <w:tcW w:type="dxa" w:w="1560"/>
            <w:shd w:val="clear" w:color="auto" w:fill="EDF1F5"/>
          </w:tcPr>
          <w:p>
            <w:pPr>
              <w:spacing w:after="0"/>
            </w:pPr>
            <w:r/>
            <w:r>
              <w:rPr>
                <w:sz w:val="17"/>
              </w:rPr>
              <w:t>Not directly tested — see Limitations</w:t>
            </w:r>
          </w:p>
        </w:tc>
        <w:tc>
          <w:tcPr>
            <w:tcW w:type="dxa" w:w="1560"/>
            <w:shd w:val="clear" w:color="auto" w:fill="EDF1F5"/>
          </w:tcPr>
          <w:p>
            <w:pPr>
              <w:spacing w:after="0"/>
            </w:pPr>
            <w:r/>
            <w:r>
              <w:rPr>
                <w:sz w:val="17"/>
              </w:rPr>
              <w:t>Non-US GDP effects need local calibration</w:t>
            </w:r>
          </w:p>
        </w:tc>
      </w:tr>
    </w:tbl>
    <w:p>
      <w:pPr>
        <w:spacing w:after="80"/>
      </w:pPr>
      <w:r>
        <w:rPr>
          <w:sz w:val="4"/>
        </w:rPr>
      </w:r>
    </w:p>
    <w:p>
      <w:pPr>
        <w:pStyle w:val="Heading2"/>
      </w:pPr>
      <w:r>
        <w:t>2.8  Validated inputs register</w:t>
      </w:r>
    </w:p>
    <w:p>
      <w:pPr>
        <w:spacing w:after="120"/>
      </w:pPr>
      <w:r>
        <w:rPr>
          <w:b w:val="0"/>
          <w:i w:val="0"/>
          <w:sz w:val="22"/>
        </w:rPr>
        <w:t>Table 8.6 lists every validated input value and modeling assumption the analysis consumes -- archetype revenues, valuations, margins and risks; macro and market parameters; bubble-block scenario constants and tax rates; demand elasticities with literature anchors; policy scenarios with reduction rates, costs and sources; all 19 circular deals; and the audited scope decisions (inclusions, updates, exclusions). It is built live from the canonical ai_ecosystem_model.py structures, so the values below are the values the models ran on.</w:t>
      </w:r>
    </w:p>
    <w:p>
      <w:pPr>
        <w:keepNext/>
        <w:spacing w:before="200" w:after="40"/>
      </w:pPr>
      <w:r>
        <w:rPr>
          <w:b/>
          <w:color w:val="2C3E50"/>
          <w:sz w:val="20"/>
        </w:rPr>
        <w:t>Table 8.6 (excerpt) — Validated inputs register (first 10 of 110 rows)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ID</w:t>
            </w:r>
          </w:p>
        </w:tc>
        <w:tc>
          <w:tcPr>
            <w:tcW w:type="dxa" w:w="1560"/>
            <w:tblHeader w:val="true"/>
            <w:shd w:val="clear" w:color="auto" w:fill="2C3E50"/>
          </w:tcPr>
          <w:p>
            <w:pPr>
              <w:jc w:val="center"/>
            </w:pPr>
            <w:r/>
            <w:r>
              <w:rPr>
                <w:b/>
                <w:color w:val="FFFFFF"/>
                <w:sz w:val="18"/>
              </w:rPr>
              <w:t>Category</w:t>
            </w:r>
          </w:p>
        </w:tc>
        <w:tc>
          <w:tcPr>
            <w:tcW w:type="dxa" w:w="1560"/>
            <w:tblHeader w:val="true"/>
            <w:shd w:val="clear" w:color="auto" w:fill="2C3E50"/>
          </w:tcPr>
          <w:p>
            <w:pPr>
              <w:jc w:val="center"/>
            </w:pPr>
            <w:r/>
            <w:r>
              <w:rPr>
                <w:b/>
                <w:color w:val="FFFFFF"/>
                <w:sz w:val="18"/>
              </w:rPr>
              <w:t>Parameter</w:t>
            </w:r>
          </w:p>
        </w:tc>
        <w:tc>
          <w:tcPr>
            <w:tcW w:type="dxa" w:w="1560"/>
            <w:tblHeader w:val="true"/>
            <w:shd w:val="clear" w:color="auto" w:fill="2C3E50"/>
          </w:tcPr>
          <w:p>
            <w:pPr>
              <w:jc w:val="center"/>
            </w:pPr>
            <w:r/>
            <w:r>
              <w:rPr>
                <w:b/>
                <w:color w:val="FFFFFF"/>
                <w:sz w:val="18"/>
              </w:rPr>
              <w:t>Value</w:t>
            </w:r>
          </w:p>
        </w:tc>
        <w:tc>
          <w:tcPr>
            <w:tcW w:type="dxa" w:w="1560"/>
            <w:tblHeader w:val="true"/>
            <w:shd w:val="clear" w:color="auto" w:fill="2C3E50"/>
          </w:tcPr>
          <w:p>
            <w:pPr>
              <w:jc w:val="center"/>
            </w:pPr>
            <w:r/>
            <w:r>
              <w:rPr>
                <w:b/>
                <w:color w:val="FFFFFF"/>
                <w:sz w:val="18"/>
              </w:rPr>
              <w:t>Unit</w:t>
            </w:r>
          </w:p>
        </w:tc>
        <w:tc>
          <w:tcPr>
            <w:tcW w:type="dxa" w:w="1560"/>
            <w:tblHeader w:val="true"/>
            <w:shd w:val="clear" w:color="auto" w:fill="2C3E50"/>
          </w:tcPr>
          <w:p>
            <w:pPr>
              <w:jc w:val="center"/>
            </w:pPr>
            <w:r/>
            <w:r>
              <w:rPr>
                <w:b/>
                <w:color w:val="FFFFFF"/>
                <w:sz w:val="18"/>
              </w:rPr>
              <w:t>Source/Verification</w:t>
            </w:r>
          </w:p>
        </w:tc>
      </w:tr>
      <w:tr>
        <w:tc>
          <w:tcPr>
            <w:tcW w:type="dxa" w:w="1560"/>
          </w:tcPr>
          <w:p>
            <w:pPr>
              <w:spacing w:after="0"/>
            </w:pPr>
            <w:r/>
            <w:r>
              <w:rPr>
                <w:sz w:val="17"/>
              </w:rPr>
              <w:t>V-HA-REV</w:t>
            </w:r>
          </w:p>
        </w:tc>
        <w:tc>
          <w:tcPr>
            <w:tcW w:type="dxa" w:w="1560"/>
          </w:tcPr>
          <w:p>
            <w:pPr>
              <w:spacing w:after="0"/>
            </w:pPr>
            <w:r/>
            <w:r>
              <w:rPr>
                <w:sz w:val="17"/>
              </w:rPr>
              <w:t>Archetype fundamentals</w:t>
            </w:r>
          </w:p>
        </w:tc>
        <w:tc>
          <w:tcPr>
            <w:tcW w:type="dxa" w:w="1560"/>
          </w:tcPr>
          <w:p>
            <w:pPr>
              <w:spacing w:after="0"/>
            </w:pPr>
            <w:r/>
            <w:r>
              <w:rPr>
                <w:sz w:val="17"/>
              </w:rPr>
              <w:t>Hardware revenue</w:t>
            </w:r>
          </w:p>
        </w:tc>
        <w:tc>
          <w:tcPr>
            <w:tcW w:type="dxa" w:w="1560"/>
          </w:tcPr>
          <w:p>
            <w:pPr>
              <w:spacing w:after="0"/>
            </w:pPr>
            <w:r/>
            <w:r>
              <w:rPr>
                <w:sz w:val="17"/>
              </w:rPr>
              <w:t>475.0</w:t>
            </w:r>
          </w:p>
        </w:tc>
        <w:tc>
          <w:tcPr>
            <w:tcW w:type="dxa" w:w="1560"/>
          </w:tcPr>
          <w:p>
            <w:pPr>
              <w:spacing w:after="0"/>
            </w:pPr>
            <w:r/>
            <w:r>
              <w:rPr>
                <w:sz w:val="17"/>
              </w:rPr>
              <w:t>$B</w:t>
            </w:r>
          </w:p>
        </w:tc>
        <w:tc>
          <w:tcPr>
            <w:tcW w:type="dxa" w:w="1560"/>
          </w:tcPr>
          <w:p>
            <w:pPr>
              <w:spacing w:after="0"/>
            </w:pPr>
            <w:r/>
            <w:r>
              <w:rPr>
                <w:sz w:val="17"/>
              </w:rPr>
              <w:t>Verified Sep 6 2026 vs primary sources (see revenue code comments)</w:t>
            </w:r>
          </w:p>
        </w:tc>
      </w:tr>
      <w:tr>
        <w:tc>
          <w:tcPr>
            <w:tcW w:type="dxa" w:w="1560"/>
            <w:shd w:val="clear" w:color="auto" w:fill="EDF1F5"/>
          </w:tcPr>
          <w:p>
            <w:pPr>
              <w:spacing w:after="0"/>
            </w:pPr>
            <w:r/>
            <w:r>
              <w:rPr>
                <w:sz w:val="17"/>
              </w:rPr>
              <w:t>V-HA-VAL</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market valuation</w:t>
            </w:r>
          </w:p>
        </w:tc>
        <w:tc>
          <w:tcPr>
            <w:tcW w:type="dxa" w:w="1560"/>
            <w:shd w:val="clear" w:color="auto" w:fill="EDF1F5"/>
          </w:tcPr>
          <w:p>
            <w:pPr>
              <w:spacing w:after="0"/>
            </w:pPr>
            <w:r/>
            <w:r>
              <w:rPr>
                <w:sz w:val="17"/>
              </w:rPr>
              <w:t>7916.0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market caps/rounds (see valuation code comments)</w:t>
            </w:r>
          </w:p>
        </w:tc>
      </w:tr>
      <w:tr>
        <w:tc>
          <w:tcPr>
            <w:tcW w:type="dxa" w:w="1560"/>
          </w:tcPr>
          <w:p>
            <w:pPr>
              <w:spacing w:after="0"/>
            </w:pPr>
            <w:r/>
            <w:r>
              <w:rPr>
                <w:sz w:val="17"/>
              </w:rPr>
              <w:t>V-HA-MGN</w:t>
            </w:r>
          </w:p>
        </w:tc>
        <w:tc>
          <w:tcPr>
            <w:tcW w:type="dxa" w:w="1560"/>
          </w:tcPr>
          <w:p>
            <w:pPr>
              <w:spacing w:after="0"/>
            </w:pPr>
            <w:r/>
            <w:r>
              <w:rPr>
                <w:sz w:val="17"/>
              </w:rPr>
              <w:t>Archetype fundamentals</w:t>
            </w:r>
          </w:p>
        </w:tc>
        <w:tc>
          <w:tcPr>
            <w:tcW w:type="dxa" w:w="1560"/>
          </w:tcPr>
          <w:p>
            <w:pPr>
              <w:spacing w:after="0"/>
            </w:pPr>
            <w:r/>
            <w:r>
              <w:rPr>
                <w:sz w:val="17"/>
              </w:rPr>
              <w:t>Hardware operating margin</w:t>
            </w:r>
          </w:p>
        </w:tc>
        <w:tc>
          <w:tcPr>
            <w:tcW w:type="dxa" w:w="1560"/>
          </w:tcPr>
          <w:p>
            <w:pPr>
              <w:spacing w:after="0"/>
            </w:pPr>
            <w:r/>
            <w:r>
              <w:rPr>
                <w:sz w:val="17"/>
              </w:rPr>
              <w:t>0.480</w:t>
            </w:r>
          </w:p>
        </w:tc>
        <w:tc>
          <w:tcPr>
            <w:tcW w:type="dxa" w:w="1560"/>
          </w:tcPr>
          <w:p>
            <w:pPr>
              <w:spacing w:after="0"/>
            </w:pPr>
            <w:r/>
            <w:r>
              <w:rPr>
                <w:sz w:val="17"/>
              </w:rPr>
              <w:t>rate</w:t>
            </w:r>
          </w:p>
        </w:tc>
        <w:tc>
          <w:tcPr>
            <w:tcW w:type="dxa" w:w="1560"/>
          </w:tcPr>
          <w:p>
            <w:pPr>
              <w:spacing w:after="0"/>
            </w:pPr>
            <w:r/>
            <w:r>
              <w:rPr>
                <w:sz w:val="17"/>
              </w:rPr>
              <w:t>Revenue-weighted from Q2/FY26 filings (see margin code comments); display-only</w:t>
            </w:r>
          </w:p>
        </w:tc>
      </w:tr>
      <w:tr>
        <w:tc>
          <w:tcPr>
            <w:tcW w:type="dxa" w:w="1560"/>
            <w:shd w:val="clear" w:color="auto" w:fill="EDF1F5"/>
          </w:tcPr>
          <w:p>
            <w:pPr>
              <w:spacing w:after="0"/>
            </w:pPr>
            <w:r/>
            <w:r>
              <w:rPr>
                <w:sz w:val="17"/>
              </w:rPr>
              <w:t>V-HA-PRF</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profitability label</w:t>
            </w:r>
          </w:p>
        </w:tc>
        <w:tc>
          <w:tcPr>
            <w:tcW w:type="dxa" w:w="1560"/>
            <w:shd w:val="clear" w:color="auto" w:fill="EDF1F5"/>
          </w:tcPr>
          <w:p>
            <w:pPr>
              <w:spacing w:after="0"/>
            </w:pPr>
            <w:r/>
            <w:r>
              <w:rPr>
                <w:sz w:val="17"/>
              </w:rPr>
              <w:t>High Positive</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Follows the blended margin above</w:t>
            </w:r>
          </w:p>
        </w:tc>
      </w:tr>
      <w:tr>
        <w:tc>
          <w:tcPr>
            <w:tcW w:type="dxa" w:w="1560"/>
          </w:tcPr>
          <w:p>
            <w:pPr>
              <w:spacing w:after="0"/>
            </w:pPr>
            <w:r/>
            <w:r>
              <w:rPr>
                <w:sz w:val="17"/>
              </w:rPr>
              <w:t>V-HA-RSK</w:t>
            </w:r>
          </w:p>
        </w:tc>
        <w:tc>
          <w:tcPr>
            <w:tcW w:type="dxa" w:w="1560"/>
          </w:tcPr>
          <w:p>
            <w:pPr>
              <w:spacing w:after="0"/>
            </w:pPr>
            <w:r/>
            <w:r>
              <w:rPr>
                <w:sz w:val="17"/>
              </w:rPr>
              <w:t>Archetype fundamentals</w:t>
            </w:r>
          </w:p>
        </w:tc>
        <w:tc>
          <w:tcPr>
            <w:tcW w:type="dxa" w:w="1560"/>
          </w:tcPr>
          <w:p>
            <w:pPr>
              <w:spacing w:after="0"/>
            </w:pPr>
            <w:r/>
            <w:r>
              <w:rPr>
                <w:sz w:val="17"/>
              </w:rPr>
              <w:t>Hardware strategic risk</w:t>
            </w:r>
          </w:p>
        </w:tc>
        <w:tc>
          <w:tcPr>
            <w:tcW w:type="dxa" w:w="1560"/>
          </w:tcPr>
          <w:p>
            <w:pPr>
              <w:spacing w:after="0"/>
            </w:pPr>
            <w:r/>
            <w:r>
              <w:rPr>
                <w:sz w:val="17"/>
              </w:rPr>
              <w:t>Medium</w:t>
            </w:r>
          </w:p>
        </w:tc>
        <w:tc>
          <w:tcPr>
            <w:tcW w:type="dxa" w:w="1560"/>
          </w:tcPr>
          <w:p>
            <w:pPr>
              <w:spacing w:after="0"/>
            </w:pPr>
            <w:r/>
            <w:r>
              <w:rPr>
                <w:sz w:val="17"/>
              </w:rPr>
              <w:t>label</w:t>
            </w:r>
          </w:p>
        </w:tc>
        <w:tc>
          <w:tcPr>
            <w:tcW w:type="dxa" w:w="1560"/>
          </w:tcPr>
          <w:p>
            <w:pPr>
              <w:spacing w:after="0"/>
            </w:pPr>
            <w:r/>
            <w:r>
              <w:rPr>
                <w:sz w:val="17"/>
              </w:rPr>
              <w:t>Judgment: sub-segment blend (see code comments)</w:t>
            </w:r>
          </w:p>
        </w:tc>
      </w:tr>
      <w:tr>
        <w:tc>
          <w:tcPr>
            <w:tcW w:type="dxa" w:w="1560"/>
            <w:shd w:val="clear" w:color="auto" w:fill="EDF1F5"/>
          </w:tcPr>
          <w:p>
            <w:pPr>
              <w:spacing w:after="0"/>
            </w:pPr>
            <w:r/>
            <w:r>
              <w:rPr>
                <w:sz w:val="17"/>
              </w:rPr>
              <w:t>V-HA-CIR</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circular dependency index</w:t>
            </w:r>
          </w:p>
        </w:tc>
        <w:tc>
          <w:tcPr>
            <w:tcW w:type="dxa" w:w="1560"/>
            <w:shd w:val="clear" w:color="auto" w:fill="EDF1F5"/>
          </w:tcPr>
          <w:p>
            <w:pPr>
              <w:spacing w:after="0"/>
            </w:pPr>
            <w:r/>
            <w:r>
              <w:rPr>
                <w:sz w:val="17"/>
              </w:rPr>
              <w:t>0.31</w:t>
            </w:r>
          </w:p>
        </w:tc>
        <w:tc>
          <w:tcPr>
            <w:tcW w:type="dxa" w:w="1560"/>
            <w:shd w:val="clear" w:color="auto" w:fill="EDF1F5"/>
          </w:tcPr>
          <w:p>
            <w:pPr>
              <w:spacing w:after="0"/>
            </w:pPr>
            <w:r/>
            <w:r>
              <w:rPr>
                <w:sz w:val="17"/>
              </w:rPr>
              <w:t>index 0-1</w:t>
            </w:r>
          </w:p>
        </w:tc>
        <w:tc>
          <w:tcPr>
            <w:tcW w:type="dxa" w:w="1560"/>
            <w:shd w:val="clear" w:color="auto" w:fill="EDF1F5"/>
          </w:tcPr>
          <w:p>
            <w:pPr>
              <w:spacing w:after="0"/>
            </w:pPr>
            <w:r/>
            <w:r>
              <w:rPr>
                <w:sz w:val="17"/>
              </w:rPr>
              <w:t>Revenue-weighted judgment (see code comments)</w:t>
            </w:r>
          </w:p>
        </w:tc>
      </w:tr>
      <w:tr>
        <w:tc>
          <w:tcPr>
            <w:tcW w:type="dxa" w:w="1560"/>
          </w:tcPr>
          <w:p>
            <w:pPr>
              <w:spacing w:after="0"/>
            </w:pPr>
            <w:r/>
            <w:r>
              <w:rPr>
                <w:sz w:val="17"/>
              </w:rPr>
              <w:t>V-HA-COS</w:t>
            </w:r>
          </w:p>
        </w:tc>
        <w:tc>
          <w:tcPr>
            <w:tcW w:type="dxa" w:w="1560"/>
          </w:tcPr>
          <w:p>
            <w:pPr>
              <w:spacing w:after="0"/>
            </w:pPr>
            <w:r/>
            <w:r>
              <w:rPr>
                <w:sz w:val="17"/>
              </w:rPr>
              <w:t>Archetype fundamentals</w:t>
            </w:r>
          </w:p>
        </w:tc>
        <w:tc>
          <w:tcPr>
            <w:tcW w:type="dxa" w:w="1560"/>
          </w:tcPr>
          <w:p>
            <w:pPr>
              <w:spacing w:after="0"/>
            </w:pPr>
            <w:r/>
            <w:r>
              <w:rPr>
                <w:sz w:val="17"/>
              </w:rPr>
              <w:t>Hardware key companies</w:t>
            </w:r>
          </w:p>
        </w:tc>
        <w:tc>
          <w:tcPr>
            <w:tcW w:type="dxa" w:w="1560"/>
          </w:tcPr>
          <w:p>
            <w:pPr>
              <w:spacing w:after="0"/>
            </w:pPr>
            <w:r/>
            <w:r>
              <w:rPr>
                <w:sz w:val="17"/>
              </w:rPr>
              <w:t>NVIDIA, AMD, Intel, Broadcom, Marvell, Google (TPU)</w:t>
            </w:r>
          </w:p>
        </w:tc>
        <w:tc>
          <w:tcPr>
            <w:tcW w:type="dxa" w:w="1560"/>
          </w:tcPr>
          <w:p>
            <w:pPr>
              <w:spacing w:after="0"/>
            </w:pPr>
            <w:r/>
            <w:r>
              <w:rPr>
                <w:sz w:val="17"/>
              </w:rPr>
              <w:t>list</w:t>
            </w:r>
          </w:p>
        </w:tc>
        <w:tc>
          <w:tcPr>
            <w:tcW w:type="dxa" w:w="1560"/>
          </w:tcPr>
          <w:p>
            <w:pPr>
              <w:spacing w:after="0"/>
            </w:pPr>
            <w:r/>
            <w:r>
              <w:rPr>
                <w:sz w:val="17"/>
              </w:rPr>
              <w:t>Coverage audited Sep 6 2026 (see PLAYER-COVERAGE note in market metadata)</w:t>
            </w:r>
          </w:p>
        </w:tc>
      </w:tr>
      <w:tr>
        <w:tc>
          <w:tcPr>
            <w:tcW w:type="dxa" w:w="1560"/>
            <w:shd w:val="clear" w:color="auto" w:fill="EDF1F5"/>
          </w:tcPr>
          <w:p>
            <w:pPr>
              <w:spacing w:after="0"/>
            </w:pPr>
            <w:r/>
            <w:r>
              <w:rPr>
                <w:sz w:val="17"/>
              </w:rPr>
              <w:t>V-CL-REV</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revenue</w:t>
            </w:r>
          </w:p>
        </w:tc>
        <w:tc>
          <w:tcPr>
            <w:tcW w:type="dxa" w:w="1560"/>
            <w:shd w:val="clear" w:color="auto" w:fill="EDF1F5"/>
          </w:tcPr>
          <w:p>
            <w:pPr>
              <w:spacing w:after="0"/>
            </w:pPr>
            <w:r/>
            <w:r>
              <w:rPr>
                <w:sz w:val="17"/>
              </w:rPr>
              <w:t>417.0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primary sources (see revenue code comments)</w:t>
            </w:r>
          </w:p>
        </w:tc>
      </w:tr>
      <w:tr>
        <w:tc>
          <w:tcPr>
            <w:tcW w:type="dxa" w:w="1560"/>
          </w:tcPr>
          <w:p>
            <w:pPr>
              <w:spacing w:after="0"/>
            </w:pPr>
            <w:r/>
            <w:r>
              <w:rPr>
                <w:sz w:val="17"/>
              </w:rPr>
              <w:t>V-CL-VAL</w:t>
            </w:r>
          </w:p>
        </w:tc>
        <w:tc>
          <w:tcPr>
            <w:tcW w:type="dxa" w:w="1560"/>
          </w:tcPr>
          <w:p>
            <w:pPr>
              <w:spacing w:after="0"/>
            </w:pPr>
            <w:r/>
            <w:r>
              <w:rPr>
                <w:sz w:val="17"/>
              </w:rPr>
              <w:t>Archetype fundamentals</w:t>
            </w:r>
          </w:p>
        </w:tc>
        <w:tc>
          <w:tcPr>
            <w:tcW w:type="dxa" w:w="1560"/>
          </w:tcPr>
          <w:p>
            <w:pPr>
              <w:spacing w:after="0"/>
            </w:pPr>
            <w:r/>
            <w:r>
              <w:rPr>
                <w:sz w:val="17"/>
              </w:rPr>
              <w:t>Cloud Providers market valuation</w:t>
            </w:r>
          </w:p>
        </w:tc>
        <w:tc>
          <w:tcPr>
            <w:tcW w:type="dxa" w:w="1560"/>
          </w:tcPr>
          <w:p>
            <w:pPr>
              <w:spacing w:after="0"/>
            </w:pPr>
            <w:r/>
            <w:r>
              <w:rPr>
                <w:sz w:val="17"/>
              </w:rPr>
              <w:t>11910.0</w:t>
            </w:r>
          </w:p>
        </w:tc>
        <w:tc>
          <w:tcPr>
            <w:tcW w:type="dxa" w:w="1560"/>
          </w:tcPr>
          <w:p>
            <w:pPr>
              <w:spacing w:after="0"/>
            </w:pPr>
            <w:r/>
            <w:r>
              <w:rPr>
                <w:sz w:val="17"/>
              </w:rPr>
              <w:t>$B</w:t>
            </w:r>
          </w:p>
        </w:tc>
        <w:tc>
          <w:tcPr>
            <w:tcW w:type="dxa" w:w="1560"/>
          </w:tcPr>
          <w:p>
            <w:pPr>
              <w:spacing w:after="0"/>
            </w:pPr>
            <w:r/>
            <w:r>
              <w:rPr>
                <w:sz w:val="17"/>
              </w:rPr>
              <w:t>Verified Sep 6 2026 vs market caps/rounds (see valuation code comments)</w:t>
            </w:r>
          </w:p>
        </w:tc>
      </w:tr>
      <w:tr>
        <w:tc>
          <w:tcPr>
            <w:tcW w:type="dxa" w:w="1560"/>
            <w:shd w:val="clear" w:color="auto" w:fill="EDF1F5"/>
          </w:tcPr>
          <w:p>
            <w:pPr>
              <w:spacing w:after="0"/>
            </w:pPr>
            <w:r/>
            <w:r>
              <w:rPr>
                <w:sz w:val="17"/>
              </w:rPr>
              <w:t>V-CL-MGN</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operating margin</w:t>
            </w:r>
          </w:p>
        </w:tc>
        <w:tc>
          <w:tcPr>
            <w:tcW w:type="dxa" w:w="1560"/>
            <w:shd w:val="clear" w:color="auto" w:fill="EDF1F5"/>
          </w:tcPr>
          <w:p>
            <w:pPr>
              <w:spacing w:after="0"/>
            </w:pPr>
            <w:r/>
            <w:r>
              <w:rPr>
                <w:sz w:val="17"/>
              </w:rPr>
              <w:t>0.340</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Revenue-weighted from Q2/FY26 filings (see margin code comments); display-only</w:t>
            </w:r>
          </w:p>
        </w:tc>
      </w:tr>
    </w:tbl>
    <w:p>
      <w:pPr>
        <w:spacing w:after="80"/>
      </w:pPr>
      <w:r>
        <w:rPr>
          <w:sz w:val="4"/>
        </w:rPr>
      </w:r>
    </w:p>
    <w:p>
      <w:pPr>
        <w:spacing w:after="120"/>
      </w:pPr>
      <w:r>
        <w:rPr>
          <w:b w:val="0"/>
          <w:i w:val="0"/>
          <w:sz w:val="21"/>
        </w:rPr>
        <w:t>The complete 110-row register, with a source or verification note per input, appears as Table 8.6 in Appendix A.</w:t>
      </w:r>
    </w:p>
    <w:p>
      <w:pPr>
        <w:keepNext/>
        <w:spacing w:before="200" w:after="40"/>
      </w:pPr>
      <w:r>
        <w:rPr>
          <w:b/>
          <w:color w:val="2C3E50"/>
          <w:sz w:val="20"/>
        </w:rPr>
        <w:t>Table 2.4: Player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Player_Category</w:t>
            </w:r>
          </w:p>
        </w:tc>
        <w:tc>
          <w:tcPr>
            <w:tcW w:type="dxa" w:w="2340"/>
            <w:tblHeader w:val="true"/>
            <w:shd w:val="clear" w:color="auto" w:fill="2C3E50"/>
          </w:tcPr>
          <w:p>
            <w:pPr>
              <w:jc w:val="center"/>
            </w:pPr>
            <w:r/>
            <w:r>
              <w:rPr>
                <w:b/>
                <w:color w:val="FFFFFF"/>
                <w:sz w:val="20"/>
              </w:rPr>
              <w:t>Revenue ($B)</w:t>
            </w:r>
          </w:p>
        </w:tc>
        <w:tc>
          <w:tcPr>
            <w:tcW w:type="dxa" w:w="2340"/>
            <w:tblHeader w:val="true"/>
            <w:shd w:val="clear" w:color="auto" w:fill="2C3E50"/>
          </w:tcPr>
          <w:p>
            <w:pPr>
              <w:jc w:val="center"/>
            </w:pPr>
            <w:r/>
            <w:r>
              <w:rPr>
                <w:b/>
                <w:color w:val="FFFFFF"/>
                <w:sz w:val="20"/>
              </w:rPr>
              <w:t>Market Share (%)</w:t>
            </w:r>
          </w:p>
        </w:tc>
        <w:tc>
          <w:tcPr>
            <w:tcW w:type="dxa" w:w="2340"/>
            <w:tblHeader w:val="true"/>
            <w:shd w:val="clear" w:color="auto" w:fill="2C3E50"/>
          </w:tcPr>
          <w:p>
            <w:pPr>
              <w:jc w:val="center"/>
            </w:pPr>
            <w:r/>
            <w:r>
              <w:rPr>
                <w:b/>
                <w:color w:val="FFFFFF"/>
                <w:sz w:val="20"/>
              </w:rPr>
              <w:t>Strategic_Risk</w:t>
            </w:r>
          </w:p>
        </w:tc>
      </w:tr>
      <w:tr>
        <w:tc>
          <w:tcPr>
            <w:tcW w:type="dxa" w:w="2340"/>
          </w:tcPr>
          <w:p>
            <w:pPr>
              <w:spacing w:after="0"/>
            </w:pPr>
            <w:r/>
            <w:r>
              <w:rPr>
                <w:sz w:val="19"/>
              </w:rPr>
              <w:t>Hardware</w:t>
            </w:r>
          </w:p>
        </w:tc>
        <w:tc>
          <w:tcPr>
            <w:tcW w:type="dxa" w:w="2340"/>
          </w:tcPr>
          <w:p>
            <w:pPr>
              <w:spacing w:after="0"/>
            </w:pPr>
            <w:r/>
            <w:r>
              <w:rPr>
                <w:sz w:val="19"/>
              </w:rPr>
              <w:t>475</w:t>
            </w:r>
          </w:p>
        </w:tc>
        <w:tc>
          <w:tcPr>
            <w:tcW w:type="dxa" w:w="2340"/>
          </w:tcPr>
          <w:p>
            <w:pPr>
              <w:spacing w:after="0"/>
            </w:pPr>
            <w:r/>
            <w:r>
              <w:rPr>
                <w:sz w:val="19"/>
              </w:rPr>
              <w:t>45.92%</w:t>
            </w:r>
          </w:p>
        </w:tc>
        <w:tc>
          <w:tcPr>
            <w:tcW w:type="dxa" w:w="2340"/>
          </w:tcPr>
          <w:p>
            <w:pPr>
              <w:spacing w:after="0"/>
            </w:pPr>
            <w:r/>
            <w:r>
              <w:rPr>
                <w:sz w:val="19"/>
              </w:rPr>
              <w:t>Medium</w:t>
            </w:r>
          </w:p>
        </w:tc>
      </w:tr>
      <w:tr>
        <w:tc>
          <w:tcPr>
            <w:tcW w:type="dxa" w:w="2340"/>
            <w:shd w:val="clear" w:color="auto" w:fill="EDF1F5"/>
          </w:tcPr>
          <w:p>
            <w:pPr>
              <w:spacing w:after="0"/>
            </w:pPr>
            <w:r/>
            <w:r>
              <w:rPr>
                <w:sz w:val="19"/>
              </w:rPr>
              <w:t>Cloud Providers</w:t>
            </w:r>
          </w:p>
        </w:tc>
        <w:tc>
          <w:tcPr>
            <w:tcW w:type="dxa" w:w="2340"/>
            <w:shd w:val="clear" w:color="auto" w:fill="EDF1F5"/>
          </w:tcPr>
          <w:p>
            <w:pPr>
              <w:spacing w:after="0"/>
            </w:pPr>
            <w:r/>
            <w:r>
              <w:rPr>
                <w:sz w:val="19"/>
              </w:rPr>
              <w:t>417</w:t>
            </w:r>
          </w:p>
        </w:tc>
        <w:tc>
          <w:tcPr>
            <w:tcW w:type="dxa" w:w="2340"/>
            <w:shd w:val="clear" w:color="auto" w:fill="EDF1F5"/>
          </w:tcPr>
          <w:p>
            <w:pPr>
              <w:spacing w:after="0"/>
            </w:pPr>
            <w:r/>
            <w:r>
              <w:rPr>
                <w:sz w:val="19"/>
              </w:rPr>
              <w:t>40.31%</w:t>
            </w:r>
          </w:p>
        </w:tc>
        <w:tc>
          <w:tcPr>
            <w:tcW w:type="dxa" w:w="2340"/>
            <w:shd w:val="clear" w:color="auto" w:fill="EDF1F5"/>
          </w:tcPr>
          <w:p>
            <w:pPr>
              <w:spacing w:after="0"/>
            </w:pPr>
            <w:r/>
            <w:r>
              <w:rPr>
                <w:sz w:val="19"/>
              </w:rPr>
              <w:t>Medium</w:t>
            </w:r>
          </w:p>
        </w:tc>
      </w:tr>
      <w:tr>
        <w:tc>
          <w:tcPr>
            <w:tcW w:type="dxa" w:w="2340"/>
          </w:tcPr>
          <w:p>
            <w:pPr>
              <w:spacing w:after="0"/>
            </w:pPr>
            <w:r/>
            <w:r>
              <w:rPr>
                <w:sz w:val="19"/>
              </w:rPr>
              <w:t>Foundation Models</w:t>
            </w:r>
          </w:p>
        </w:tc>
        <w:tc>
          <w:tcPr>
            <w:tcW w:type="dxa" w:w="2340"/>
          </w:tcPr>
          <w:p>
            <w:pPr>
              <w:spacing w:after="0"/>
            </w:pPr>
            <w:r/>
            <w:r>
              <w:rPr>
                <w:sz w:val="19"/>
              </w:rPr>
              <w:t>106.50</w:t>
            </w:r>
          </w:p>
        </w:tc>
        <w:tc>
          <w:tcPr>
            <w:tcW w:type="dxa" w:w="2340"/>
          </w:tcPr>
          <w:p>
            <w:pPr>
              <w:spacing w:after="0"/>
            </w:pPr>
            <w:r/>
            <w:r>
              <w:rPr>
                <w:sz w:val="19"/>
              </w:rPr>
              <w:t>10.29%</w:t>
            </w:r>
          </w:p>
        </w:tc>
        <w:tc>
          <w:tcPr>
            <w:tcW w:type="dxa" w:w="2340"/>
          </w:tcPr>
          <w:p>
            <w:pPr>
              <w:spacing w:after="0"/>
            </w:pPr>
            <w:r/>
            <w:r>
              <w:rPr>
                <w:sz w:val="19"/>
              </w:rPr>
              <w:t>High</w:t>
            </w:r>
          </w:p>
        </w:tc>
      </w:tr>
      <w:tr>
        <w:tc>
          <w:tcPr>
            <w:tcW w:type="dxa" w:w="2340"/>
            <w:shd w:val="clear" w:color="auto" w:fill="EDF1F5"/>
          </w:tcPr>
          <w:p>
            <w:pPr>
              <w:spacing w:after="0"/>
            </w:pPr>
            <w:r/>
            <w:r>
              <w:rPr>
                <w:sz w:val="19"/>
              </w:rPr>
              <w:t>LLM Wrappers</w:t>
            </w:r>
          </w:p>
        </w:tc>
        <w:tc>
          <w:tcPr>
            <w:tcW w:type="dxa" w:w="2340"/>
            <w:shd w:val="clear" w:color="auto" w:fill="EDF1F5"/>
          </w:tcPr>
          <w:p>
            <w:pPr>
              <w:spacing w:after="0"/>
            </w:pPr>
            <w:r/>
            <w:r>
              <w:rPr>
                <w:sz w:val="19"/>
              </w:rPr>
              <w:t>36</w:t>
            </w:r>
          </w:p>
        </w:tc>
        <w:tc>
          <w:tcPr>
            <w:tcW w:type="dxa" w:w="2340"/>
            <w:shd w:val="clear" w:color="auto" w:fill="EDF1F5"/>
          </w:tcPr>
          <w:p>
            <w:pPr>
              <w:spacing w:after="0"/>
            </w:pPr>
            <w:r/>
            <w:r>
              <w:rPr>
                <w:sz w:val="19"/>
              </w:rPr>
              <w:t>3.48%</w:t>
            </w:r>
          </w:p>
        </w:tc>
        <w:tc>
          <w:tcPr>
            <w:tcW w:type="dxa" w:w="2340"/>
            <w:shd w:val="clear" w:color="auto" w:fill="EDF1F5"/>
          </w:tcPr>
          <w:p>
            <w:pPr>
              <w:spacing w:after="0"/>
            </w:pPr>
            <w:r/>
            <w:r>
              <w:rPr>
                <w:sz w:val="19"/>
              </w:rPr>
              <w:t>High</w:t>
            </w:r>
          </w:p>
        </w:tc>
      </w:tr>
    </w:tbl>
    <w:p>
      <w:pPr>
        <w:spacing w:after="80"/>
      </w:pPr>
      <w:r>
        <w:rPr>
          <w:sz w:val="4"/>
        </w:rPr>
      </w:r>
    </w:p>
    <w:p>
      <w:pPr>
        <w:keepNext/>
        <w:spacing w:before="200" w:after="40"/>
      </w:pPr>
      <w:r>
        <w:rPr>
          <w:b/>
          <w:color w:val="2C3E50"/>
          <w:sz w:val="20"/>
        </w:rPr>
        <w:t>Table 8.6: Validated Inputs Register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ID</w:t>
            </w:r>
          </w:p>
        </w:tc>
        <w:tc>
          <w:tcPr>
            <w:tcW w:type="dxa" w:w="1560"/>
            <w:tblHeader w:val="true"/>
            <w:shd w:val="clear" w:color="auto" w:fill="2C3E50"/>
          </w:tcPr>
          <w:p>
            <w:pPr>
              <w:jc w:val="center"/>
            </w:pPr>
            <w:r/>
            <w:r>
              <w:rPr>
                <w:b/>
                <w:color w:val="FFFFFF"/>
                <w:sz w:val="18"/>
              </w:rPr>
              <w:t>Category</w:t>
            </w:r>
          </w:p>
        </w:tc>
        <w:tc>
          <w:tcPr>
            <w:tcW w:type="dxa" w:w="1560"/>
            <w:tblHeader w:val="true"/>
            <w:shd w:val="clear" w:color="auto" w:fill="2C3E50"/>
          </w:tcPr>
          <w:p>
            <w:pPr>
              <w:jc w:val="center"/>
            </w:pPr>
            <w:r/>
            <w:r>
              <w:rPr>
                <w:b/>
                <w:color w:val="FFFFFF"/>
                <w:sz w:val="18"/>
              </w:rPr>
              <w:t>Parameter</w:t>
            </w:r>
          </w:p>
        </w:tc>
        <w:tc>
          <w:tcPr>
            <w:tcW w:type="dxa" w:w="1560"/>
            <w:tblHeader w:val="true"/>
            <w:shd w:val="clear" w:color="auto" w:fill="2C3E50"/>
          </w:tcPr>
          <w:p>
            <w:pPr>
              <w:jc w:val="center"/>
            </w:pPr>
            <w:r/>
            <w:r>
              <w:rPr>
                <w:b/>
                <w:color w:val="FFFFFF"/>
                <w:sz w:val="18"/>
              </w:rPr>
              <w:t>Value</w:t>
            </w:r>
          </w:p>
        </w:tc>
        <w:tc>
          <w:tcPr>
            <w:tcW w:type="dxa" w:w="1560"/>
            <w:tblHeader w:val="true"/>
            <w:shd w:val="clear" w:color="auto" w:fill="2C3E50"/>
          </w:tcPr>
          <w:p>
            <w:pPr>
              <w:jc w:val="center"/>
            </w:pPr>
            <w:r/>
            <w:r>
              <w:rPr>
                <w:b/>
                <w:color w:val="FFFFFF"/>
                <w:sz w:val="18"/>
              </w:rPr>
              <w:t>Unit</w:t>
            </w:r>
          </w:p>
        </w:tc>
        <w:tc>
          <w:tcPr>
            <w:tcW w:type="dxa" w:w="1560"/>
            <w:tblHeader w:val="true"/>
            <w:shd w:val="clear" w:color="auto" w:fill="2C3E50"/>
          </w:tcPr>
          <w:p>
            <w:pPr>
              <w:jc w:val="center"/>
            </w:pPr>
            <w:r/>
            <w:r>
              <w:rPr>
                <w:b/>
                <w:color w:val="FFFFFF"/>
                <w:sz w:val="18"/>
              </w:rPr>
              <w:t>Source/Verification</w:t>
            </w:r>
          </w:p>
        </w:tc>
      </w:tr>
      <w:tr>
        <w:tc>
          <w:tcPr>
            <w:tcW w:type="dxa" w:w="1560"/>
          </w:tcPr>
          <w:p>
            <w:pPr>
              <w:spacing w:after="0"/>
            </w:pPr>
            <w:r/>
            <w:r>
              <w:rPr>
                <w:sz w:val="17"/>
              </w:rPr>
              <w:t>V-HA-REV</w:t>
            </w:r>
          </w:p>
        </w:tc>
        <w:tc>
          <w:tcPr>
            <w:tcW w:type="dxa" w:w="1560"/>
          </w:tcPr>
          <w:p>
            <w:pPr>
              <w:spacing w:after="0"/>
            </w:pPr>
            <w:r/>
            <w:r>
              <w:rPr>
                <w:sz w:val="17"/>
              </w:rPr>
              <w:t>Archetype fundamentals</w:t>
            </w:r>
          </w:p>
        </w:tc>
        <w:tc>
          <w:tcPr>
            <w:tcW w:type="dxa" w:w="1560"/>
          </w:tcPr>
          <w:p>
            <w:pPr>
              <w:spacing w:after="0"/>
            </w:pPr>
            <w:r/>
            <w:r>
              <w:rPr>
                <w:sz w:val="17"/>
              </w:rPr>
              <w:t>Hardware revenue</w:t>
            </w:r>
          </w:p>
        </w:tc>
        <w:tc>
          <w:tcPr>
            <w:tcW w:type="dxa" w:w="1560"/>
          </w:tcPr>
          <w:p>
            <w:pPr>
              <w:spacing w:after="0"/>
            </w:pPr>
            <w:r/>
            <w:r>
              <w:rPr>
                <w:sz w:val="17"/>
              </w:rPr>
              <w:t>475.0</w:t>
            </w:r>
          </w:p>
        </w:tc>
        <w:tc>
          <w:tcPr>
            <w:tcW w:type="dxa" w:w="1560"/>
          </w:tcPr>
          <w:p>
            <w:pPr>
              <w:spacing w:after="0"/>
            </w:pPr>
            <w:r/>
            <w:r>
              <w:rPr>
                <w:sz w:val="17"/>
              </w:rPr>
              <w:t>$B</w:t>
            </w:r>
          </w:p>
        </w:tc>
        <w:tc>
          <w:tcPr>
            <w:tcW w:type="dxa" w:w="1560"/>
          </w:tcPr>
          <w:p>
            <w:pPr>
              <w:spacing w:after="0"/>
            </w:pPr>
            <w:r/>
            <w:r>
              <w:rPr>
                <w:sz w:val="17"/>
              </w:rPr>
              <w:t>Verified Sep 6 2026 vs primary sources (see revenue code comments)</w:t>
            </w:r>
          </w:p>
        </w:tc>
      </w:tr>
      <w:tr>
        <w:tc>
          <w:tcPr>
            <w:tcW w:type="dxa" w:w="1560"/>
            <w:shd w:val="clear" w:color="auto" w:fill="EDF1F5"/>
          </w:tcPr>
          <w:p>
            <w:pPr>
              <w:spacing w:after="0"/>
            </w:pPr>
            <w:r/>
            <w:r>
              <w:rPr>
                <w:sz w:val="17"/>
              </w:rPr>
              <w:t>V-HA-VAL</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market valuation</w:t>
            </w:r>
          </w:p>
        </w:tc>
        <w:tc>
          <w:tcPr>
            <w:tcW w:type="dxa" w:w="1560"/>
            <w:shd w:val="clear" w:color="auto" w:fill="EDF1F5"/>
          </w:tcPr>
          <w:p>
            <w:pPr>
              <w:spacing w:after="0"/>
            </w:pPr>
            <w:r/>
            <w:r>
              <w:rPr>
                <w:sz w:val="17"/>
              </w:rPr>
              <w:t>7916.0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market caps/rounds (see valuation code comments)</w:t>
            </w:r>
          </w:p>
        </w:tc>
      </w:tr>
      <w:tr>
        <w:tc>
          <w:tcPr>
            <w:tcW w:type="dxa" w:w="1560"/>
          </w:tcPr>
          <w:p>
            <w:pPr>
              <w:spacing w:after="0"/>
            </w:pPr>
            <w:r/>
            <w:r>
              <w:rPr>
                <w:sz w:val="17"/>
              </w:rPr>
              <w:t>V-HA-MGN</w:t>
            </w:r>
          </w:p>
        </w:tc>
        <w:tc>
          <w:tcPr>
            <w:tcW w:type="dxa" w:w="1560"/>
          </w:tcPr>
          <w:p>
            <w:pPr>
              <w:spacing w:after="0"/>
            </w:pPr>
            <w:r/>
            <w:r>
              <w:rPr>
                <w:sz w:val="17"/>
              </w:rPr>
              <w:t>Archetype fundamentals</w:t>
            </w:r>
          </w:p>
        </w:tc>
        <w:tc>
          <w:tcPr>
            <w:tcW w:type="dxa" w:w="1560"/>
          </w:tcPr>
          <w:p>
            <w:pPr>
              <w:spacing w:after="0"/>
            </w:pPr>
            <w:r/>
            <w:r>
              <w:rPr>
                <w:sz w:val="17"/>
              </w:rPr>
              <w:t>Hardware operating margin</w:t>
            </w:r>
          </w:p>
        </w:tc>
        <w:tc>
          <w:tcPr>
            <w:tcW w:type="dxa" w:w="1560"/>
          </w:tcPr>
          <w:p>
            <w:pPr>
              <w:spacing w:after="0"/>
            </w:pPr>
            <w:r/>
            <w:r>
              <w:rPr>
                <w:sz w:val="17"/>
              </w:rPr>
              <w:t>0.480</w:t>
            </w:r>
          </w:p>
        </w:tc>
        <w:tc>
          <w:tcPr>
            <w:tcW w:type="dxa" w:w="1560"/>
          </w:tcPr>
          <w:p>
            <w:pPr>
              <w:spacing w:after="0"/>
            </w:pPr>
            <w:r/>
            <w:r>
              <w:rPr>
                <w:sz w:val="17"/>
              </w:rPr>
              <w:t>rate</w:t>
            </w:r>
          </w:p>
        </w:tc>
        <w:tc>
          <w:tcPr>
            <w:tcW w:type="dxa" w:w="1560"/>
          </w:tcPr>
          <w:p>
            <w:pPr>
              <w:spacing w:after="0"/>
            </w:pPr>
            <w:r/>
            <w:r>
              <w:rPr>
                <w:sz w:val="17"/>
              </w:rPr>
              <w:t>Revenue-weighted from Q2/FY26 filings (see margin code comments); display-only</w:t>
            </w:r>
          </w:p>
        </w:tc>
      </w:tr>
      <w:tr>
        <w:tc>
          <w:tcPr>
            <w:tcW w:type="dxa" w:w="1560"/>
            <w:shd w:val="clear" w:color="auto" w:fill="EDF1F5"/>
          </w:tcPr>
          <w:p>
            <w:pPr>
              <w:spacing w:after="0"/>
            </w:pPr>
            <w:r/>
            <w:r>
              <w:rPr>
                <w:sz w:val="17"/>
              </w:rPr>
              <w:t>V-HA-PRF</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profitability label</w:t>
            </w:r>
          </w:p>
        </w:tc>
        <w:tc>
          <w:tcPr>
            <w:tcW w:type="dxa" w:w="1560"/>
            <w:shd w:val="clear" w:color="auto" w:fill="EDF1F5"/>
          </w:tcPr>
          <w:p>
            <w:pPr>
              <w:spacing w:after="0"/>
            </w:pPr>
            <w:r/>
            <w:r>
              <w:rPr>
                <w:sz w:val="17"/>
              </w:rPr>
              <w:t>High Positive</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Follows the blended margin above</w:t>
            </w:r>
          </w:p>
        </w:tc>
      </w:tr>
      <w:tr>
        <w:tc>
          <w:tcPr>
            <w:tcW w:type="dxa" w:w="1560"/>
          </w:tcPr>
          <w:p>
            <w:pPr>
              <w:spacing w:after="0"/>
            </w:pPr>
            <w:r/>
            <w:r>
              <w:rPr>
                <w:sz w:val="17"/>
              </w:rPr>
              <w:t>V-HA-RSK</w:t>
            </w:r>
          </w:p>
        </w:tc>
        <w:tc>
          <w:tcPr>
            <w:tcW w:type="dxa" w:w="1560"/>
          </w:tcPr>
          <w:p>
            <w:pPr>
              <w:spacing w:after="0"/>
            </w:pPr>
            <w:r/>
            <w:r>
              <w:rPr>
                <w:sz w:val="17"/>
              </w:rPr>
              <w:t>Archetype fundamentals</w:t>
            </w:r>
          </w:p>
        </w:tc>
        <w:tc>
          <w:tcPr>
            <w:tcW w:type="dxa" w:w="1560"/>
          </w:tcPr>
          <w:p>
            <w:pPr>
              <w:spacing w:after="0"/>
            </w:pPr>
            <w:r/>
            <w:r>
              <w:rPr>
                <w:sz w:val="17"/>
              </w:rPr>
              <w:t>Hardware strategic risk</w:t>
            </w:r>
          </w:p>
        </w:tc>
        <w:tc>
          <w:tcPr>
            <w:tcW w:type="dxa" w:w="1560"/>
          </w:tcPr>
          <w:p>
            <w:pPr>
              <w:spacing w:after="0"/>
            </w:pPr>
            <w:r/>
            <w:r>
              <w:rPr>
                <w:sz w:val="17"/>
              </w:rPr>
              <w:t>Medium</w:t>
            </w:r>
          </w:p>
        </w:tc>
        <w:tc>
          <w:tcPr>
            <w:tcW w:type="dxa" w:w="1560"/>
          </w:tcPr>
          <w:p>
            <w:pPr>
              <w:spacing w:after="0"/>
            </w:pPr>
            <w:r/>
            <w:r>
              <w:rPr>
                <w:sz w:val="17"/>
              </w:rPr>
              <w:t>label</w:t>
            </w:r>
          </w:p>
        </w:tc>
        <w:tc>
          <w:tcPr>
            <w:tcW w:type="dxa" w:w="1560"/>
          </w:tcPr>
          <w:p>
            <w:pPr>
              <w:spacing w:after="0"/>
            </w:pPr>
            <w:r/>
            <w:r>
              <w:rPr>
                <w:sz w:val="17"/>
              </w:rPr>
              <w:t>Judgment: sub-segment blend (see code comments)</w:t>
            </w:r>
          </w:p>
        </w:tc>
      </w:tr>
      <w:tr>
        <w:tc>
          <w:tcPr>
            <w:tcW w:type="dxa" w:w="1560"/>
            <w:shd w:val="clear" w:color="auto" w:fill="EDF1F5"/>
          </w:tcPr>
          <w:p>
            <w:pPr>
              <w:spacing w:after="0"/>
            </w:pPr>
            <w:r/>
            <w:r>
              <w:rPr>
                <w:sz w:val="17"/>
              </w:rPr>
              <w:t>V-HA-CIR</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circular dependency index</w:t>
            </w:r>
          </w:p>
        </w:tc>
        <w:tc>
          <w:tcPr>
            <w:tcW w:type="dxa" w:w="1560"/>
            <w:shd w:val="clear" w:color="auto" w:fill="EDF1F5"/>
          </w:tcPr>
          <w:p>
            <w:pPr>
              <w:spacing w:after="0"/>
            </w:pPr>
            <w:r/>
            <w:r>
              <w:rPr>
                <w:sz w:val="17"/>
              </w:rPr>
              <w:t>0.31</w:t>
            </w:r>
          </w:p>
        </w:tc>
        <w:tc>
          <w:tcPr>
            <w:tcW w:type="dxa" w:w="1560"/>
            <w:shd w:val="clear" w:color="auto" w:fill="EDF1F5"/>
          </w:tcPr>
          <w:p>
            <w:pPr>
              <w:spacing w:after="0"/>
            </w:pPr>
            <w:r/>
            <w:r>
              <w:rPr>
                <w:sz w:val="17"/>
              </w:rPr>
              <w:t>index 0-1</w:t>
            </w:r>
          </w:p>
        </w:tc>
        <w:tc>
          <w:tcPr>
            <w:tcW w:type="dxa" w:w="1560"/>
            <w:shd w:val="clear" w:color="auto" w:fill="EDF1F5"/>
          </w:tcPr>
          <w:p>
            <w:pPr>
              <w:spacing w:after="0"/>
            </w:pPr>
            <w:r/>
            <w:r>
              <w:rPr>
                <w:sz w:val="17"/>
              </w:rPr>
              <w:t>Revenue-weighted judgment (see code comments)</w:t>
            </w:r>
          </w:p>
        </w:tc>
      </w:tr>
      <w:tr>
        <w:tc>
          <w:tcPr>
            <w:tcW w:type="dxa" w:w="1560"/>
          </w:tcPr>
          <w:p>
            <w:pPr>
              <w:spacing w:after="0"/>
            </w:pPr>
            <w:r/>
            <w:r>
              <w:rPr>
                <w:sz w:val="17"/>
              </w:rPr>
              <w:t>V-HA-COS</w:t>
            </w:r>
          </w:p>
        </w:tc>
        <w:tc>
          <w:tcPr>
            <w:tcW w:type="dxa" w:w="1560"/>
          </w:tcPr>
          <w:p>
            <w:pPr>
              <w:spacing w:after="0"/>
            </w:pPr>
            <w:r/>
            <w:r>
              <w:rPr>
                <w:sz w:val="17"/>
              </w:rPr>
              <w:t>Archetype fundamentals</w:t>
            </w:r>
          </w:p>
        </w:tc>
        <w:tc>
          <w:tcPr>
            <w:tcW w:type="dxa" w:w="1560"/>
          </w:tcPr>
          <w:p>
            <w:pPr>
              <w:spacing w:after="0"/>
            </w:pPr>
            <w:r/>
            <w:r>
              <w:rPr>
                <w:sz w:val="17"/>
              </w:rPr>
              <w:t>Hardware key companies</w:t>
            </w:r>
          </w:p>
        </w:tc>
        <w:tc>
          <w:tcPr>
            <w:tcW w:type="dxa" w:w="1560"/>
          </w:tcPr>
          <w:p>
            <w:pPr>
              <w:spacing w:after="0"/>
            </w:pPr>
            <w:r/>
            <w:r>
              <w:rPr>
                <w:sz w:val="17"/>
              </w:rPr>
              <w:t>NVIDIA, AMD, Intel, Broadcom, Marvell, Google (TPU)</w:t>
            </w:r>
          </w:p>
        </w:tc>
        <w:tc>
          <w:tcPr>
            <w:tcW w:type="dxa" w:w="1560"/>
          </w:tcPr>
          <w:p>
            <w:pPr>
              <w:spacing w:after="0"/>
            </w:pPr>
            <w:r/>
            <w:r>
              <w:rPr>
                <w:sz w:val="17"/>
              </w:rPr>
              <w:t>list</w:t>
            </w:r>
          </w:p>
        </w:tc>
        <w:tc>
          <w:tcPr>
            <w:tcW w:type="dxa" w:w="1560"/>
          </w:tcPr>
          <w:p>
            <w:pPr>
              <w:spacing w:after="0"/>
            </w:pPr>
            <w:r/>
            <w:r>
              <w:rPr>
                <w:sz w:val="17"/>
              </w:rPr>
              <w:t>Coverage audited Sep 6 2026 (see PLAYER-COVERAGE note in market metadata)</w:t>
            </w:r>
          </w:p>
        </w:tc>
      </w:tr>
      <w:tr>
        <w:tc>
          <w:tcPr>
            <w:tcW w:type="dxa" w:w="1560"/>
            <w:shd w:val="clear" w:color="auto" w:fill="EDF1F5"/>
          </w:tcPr>
          <w:p>
            <w:pPr>
              <w:spacing w:after="0"/>
            </w:pPr>
            <w:r/>
            <w:r>
              <w:rPr>
                <w:sz w:val="17"/>
              </w:rPr>
              <w:t>V-CL-REV</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revenue</w:t>
            </w:r>
          </w:p>
        </w:tc>
        <w:tc>
          <w:tcPr>
            <w:tcW w:type="dxa" w:w="1560"/>
            <w:shd w:val="clear" w:color="auto" w:fill="EDF1F5"/>
          </w:tcPr>
          <w:p>
            <w:pPr>
              <w:spacing w:after="0"/>
            </w:pPr>
            <w:r/>
            <w:r>
              <w:rPr>
                <w:sz w:val="17"/>
              </w:rPr>
              <w:t>417.0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primary sources (see revenue code comments)</w:t>
            </w:r>
          </w:p>
        </w:tc>
      </w:tr>
      <w:tr>
        <w:tc>
          <w:tcPr>
            <w:tcW w:type="dxa" w:w="1560"/>
          </w:tcPr>
          <w:p>
            <w:pPr>
              <w:spacing w:after="0"/>
            </w:pPr>
            <w:r/>
            <w:r>
              <w:rPr>
                <w:sz w:val="17"/>
              </w:rPr>
              <w:t>V-CL-VAL</w:t>
            </w:r>
          </w:p>
        </w:tc>
        <w:tc>
          <w:tcPr>
            <w:tcW w:type="dxa" w:w="1560"/>
          </w:tcPr>
          <w:p>
            <w:pPr>
              <w:spacing w:after="0"/>
            </w:pPr>
            <w:r/>
            <w:r>
              <w:rPr>
                <w:sz w:val="17"/>
              </w:rPr>
              <w:t>Archetype fundamentals</w:t>
            </w:r>
          </w:p>
        </w:tc>
        <w:tc>
          <w:tcPr>
            <w:tcW w:type="dxa" w:w="1560"/>
          </w:tcPr>
          <w:p>
            <w:pPr>
              <w:spacing w:after="0"/>
            </w:pPr>
            <w:r/>
            <w:r>
              <w:rPr>
                <w:sz w:val="17"/>
              </w:rPr>
              <w:t>Cloud Providers market valuation</w:t>
            </w:r>
          </w:p>
        </w:tc>
        <w:tc>
          <w:tcPr>
            <w:tcW w:type="dxa" w:w="1560"/>
          </w:tcPr>
          <w:p>
            <w:pPr>
              <w:spacing w:after="0"/>
            </w:pPr>
            <w:r/>
            <w:r>
              <w:rPr>
                <w:sz w:val="17"/>
              </w:rPr>
              <w:t>11910.0</w:t>
            </w:r>
          </w:p>
        </w:tc>
        <w:tc>
          <w:tcPr>
            <w:tcW w:type="dxa" w:w="1560"/>
          </w:tcPr>
          <w:p>
            <w:pPr>
              <w:spacing w:after="0"/>
            </w:pPr>
            <w:r/>
            <w:r>
              <w:rPr>
                <w:sz w:val="17"/>
              </w:rPr>
              <w:t>$B</w:t>
            </w:r>
          </w:p>
        </w:tc>
        <w:tc>
          <w:tcPr>
            <w:tcW w:type="dxa" w:w="1560"/>
          </w:tcPr>
          <w:p>
            <w:pPr>
              <w:spacing w:after="0"/>
            </w:pPr>
            <w:r/>
            <w:r>
              <w:rPr>
                <w:sz w:val="17"/>
              </w:rPr>
              <w:t>Verified Sep 6 2026 vs market caps/rounds (see valuation code comments)</w:t>
            </w:r>
          </w:p>
        </w:tc>
      </w:tr>
      <w:tr>
        <w:tc>
          <w:tcPr>
            <w:tcW w:type="dxa" w:w="1560"/>
            <w:shd w:val="clear" w:color="auto" w:fill="EDF1F5"/>
          </w:tcPr>
          <w:p>
            <w:pPr>
              <w:spacing w:after="0"/>
            </w:pPr>
            <w:r/>
            <w:r>
              <w:rPr>
                <w:sz w:val="17"/>
              </w:rPr>
              <w:t>V-CL-MGN</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operating margin</w:t>
            </w:r>
          </w:p>
        </w:tc>
        <w:tc>
          <w:tcPr>
            <w:tcW w:type="dxa" w:w="1560"/>
            <w:shd w:val="clear" w:color="auto" w:fill="EDF1F5"/>
          </w:tcPr>
          <w:p>
            <w:pPr>
              <w:spacing w:after="0"/>
            </w:pPr>
            <w:r/>
            <w:r>
              <w:rPr>
                <w:sz w:val="17"/>
              </w:rPr>
              <w:t>0.340</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Revenue-weighted from Q2/FY26 filings (see margin code comments); display-only</w:t>
            </w:r>
          </w:p>
        </w:tc>
      </w:tr>
      <w:tr>
        <w:tc>
          <w:tcPr>
            <w:tcW w:type="dxa" w:w="1560"/>
          </w:tcPr>
          <w:p>
            <w:pPr>
              <w:spacing w:after="0"/>
            </w:pPr>
            <w:r/>
            <w:r>
              <w:rPr>
                <w:sz w:val="17"/>
              </w:rPr>
              <w:t>V-CL-PRF</w:t>
            </w:r>
          </w:p>
        </w:tc>
        <w:tc>
          <w:tcPr>
            <w:tcW w:type="dxa" w:w="1560"/>
          </w:tcPr>
          <w:p>
            <w:pPr>
              <w:spacing w:after="0"/>
            </w:pPr>
            <w:r/>
            <w:r>
              <w:rPr>
                <w:sz w:val="17"/>
              </w:rPr>
              <w:t>Archetype fundamentals</w:t>
            </w:r>
          </w:p>
        </w:tc>
        <w:tc>
          <w:tcPr>
            <w:tcW w:type="dxa" w:w="1560"/>
          </w:tcPr>
          <w:p>
            <w:pPr>
              <w:spacing w:after="0"/>
            </w:pPr>
            <w:r/>
            <w:r>
              <w:rPr>
                <w:sz w:val="17"/>
              </w:rPr>
              <w:t>Cloud Providers profitability label</w:t>
            </w:r>
          </w:p>
        </w:tc>
        <w:tc>
          <w:tcPr>
            <w:tcW w:type="dxa" w:w="1560"/>
          </w:tcPr>
          <w:p>
            <w:pPr>
              <w:spacing w:after="0"/>
            </w:pPr>
            <w:r/>
            <w:r>
              <w:rPr>
                <w:sz w:val="17"/>
              </w:rPr>
              <w:t>High Positive</w:t>
            </w:r>
          </w:p>
        </w:tc>
        <w:tc>
          <w:tcPr>
            <w:tcW w:type="dxa" w:w="1560"/>
          </w:tcPr>
          <w:p>
            <w:pPr>
              <w:spacing w:after="0"/>
            </w:pPr>
            <w:r/>
            <w:r>
              <w:rPr>
                <w:sz w:val="17"/>
              </w:rPr>
              <w:t>label</w:t>
            </w:r>
          </w:p>
        </w:tc>
        <w:tc>
          <w:tcPr>
            <w:tcW w:type="dxa" w:w="1560"/>
          </w:tcPr>
          <w:p>
            <w:pPr>
              <w:spacing w:after="0"/>
            </w:pPr>
            <w:r/>
            <w:r>
              <w:rPr>
                <w:sz w:val="17"/>
              </w:rPr>
              <w:t>Follows the blended margin above</w:t>
            </w:r>
          </w:p>
        </w:tc>
      </w:tr>
      <w:tr>
        <w:tc>
          <w:tcPr>
            <w:tcW w:type="dxa" w:w="1560"/>
            <w:shd w:val="clear" w:color="auto" w:fill="EDF1F5"/>
          </w:tcPr>
          <w:p>
            <w:pPr>
              <w:spacing w:after="0"/>
            </w:pPr>
            <w:r/>
            <w:r>
              <w:rPr>
                <w:sz w:val="17"/>
              </w:rPr>
              <w:t>V-CL-RSK</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strategic risk</w:t>
            </w:r>
          </w:p>
        </w:tc>
        <w:tc>
          <w:tcPr>
            <w:tcW w:type="dxa" w:w="1560"/>
            <w:shd w:val="clear" w:color="auto" w:fill="EDF1F5"/>
          </w:tcPr>
          <w:p>
            <w:pPr>
              <w:spacing w:after="0"/>
            </w:pPr>
            <w:r/>
            <w:r>
              <w:rPr>
                <w:sz w:val="17"/>
              </w:rPr>
              <w:t>Medium</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Judgment: sub-segment blend (see code comments)</w:t>
            </w:r>
          </w:p>
        </w:tc>
      </w:tr>
      <w:tr>
        <w:tc>
          <w:tcPr>
            <w:tcW w:type="dxa" w:w="1560"/>
          </w:tcPr>
          <w:p>
            <w:pPr>
              <w:spacing w:after="0"/>
            </w:pPr>
            <w:r/>
            <w:r>
              <w:rPr>
                <w:sz w:val="17"/>
              </w:rPr>
              <w:t>V-CL-CIR</w:t>
            </w:r>
          </w:p>
        </w:tc>
        <w:tc>
          <w:tcPr>
            <w:tcW w:type="dxa" w:w="1560"/>
          </w:tcPr>
          <w:p>
            <w:pPr>
              <w:spacing w:after="0"/>
            </w:pPr>
            <w:r/>
            <w:r>
              <w:rPr>
                <w:sz w:val="17"/>
              </w:rPr>
              <w:t>Archetype fundamentals</w:t>
            </w:r>
          </w:p>
        </w:tc>
        <w:tc>
          <w:tcPr>
            <w:tcW w:type="dxa" w:w="1560"/>
          </w:tcPr>
          <w:p>
            <w:pPr>
              <w:spacing w:after="0"/>
            </w:pPr>
            <w:r/>
            <w:r>
              <w:rPr>
                <w:sz w:val="17"/>
              </w:rPr>
              <w:t>Cloud Providers circular dependency index</w:t>
            </w:r>
          </w:p>
        </w:tc>
        <w:tc>
          <w:tcPr>
            <w:tcW w:type="dxa" w:w="1560"/>
          </w:tcPr>
          <w:p>
            <w:pPr>
              <w:spacing w:after="0"/>
            </w:pPr>
            <w:r/>
            <w:r>
              <w:rPr>
                <w:sz w:val="17"/>
              </w:rPr>
              <w:t>0.29</w:t>
            </w:r>
          </w:p>
        </w:tc>
        <w:tc>
          <w:tcPr>
            <w:tcW w:type="dxa" w:w="1560"/>
          </w:tcPr>
          <w:p>
            <w:pPr>
              <w:spacing w:after="0"/>
            </w:pPr>
            <w:r/>
            <w:r>
              <w:rPr>
                <w:sz w:val="17"/>
              </w:rPr>
              <w:t>index 0-1</w:t>
            </w:r>
          </w:p>
        </w:tc>
        <w:tc>
          <w:tcPr>
            <w:tcW w:type="dxa" w:w="1560"/>
          </w:tcPr>
          <w:p>
            <w:pPr>
              <w:spacing w:after="0"/>
            </w:pPr>
            <w:r/>
            <w:r>
              <w:rPr>
                <w:sz w:val="17"/>
              </w:rPr>
              <w:t>Revenue-weighted judgment (see code comments)</w:t>
            </w:r>
          </w:p>
        </w:tc>
      </w:tr>
      <w:tr>
        <w:tc>
          <w:tcPr>
            <w:tcW w:type="dxa" w:w="1560"/>
            <w:shd w:val="clear" w:color="auto" w:fill="EDF1F5"/>
          </w:tcPr>
          <w:p>
            <w:pPr>
              <w:spacing w:after="0"/>
            </w:pPr>
            <w:r/>
            <w:r>
              <w:rPr>
                <w:sz w:val="17"/>
              </w:rPr>
              <w:t>V-CL-COS</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key companies</w:t>
            </w:r>
          </w:p>
        </w:tc>
        <w:tc>
          <w:tcPr>
            <w:tcW w:type="dxa" w:w="1560"/>
            <w:shd w:val="clear" w:color="auto" w:fill="EDF1F5"/>
          </w:tcPr>
          <w:p>
            <w:pPr>
              <w:spacing w:after="0"/>
            </w:pPr>
            <w:r/>
            <w:r>
              <w:rPr>
                <w:sz w:val="17"/>
              </w:rPr>
              <w:t>Microsoft Azure, AWS, Google Cloud, Oracle, CoreWeave, Nebius, Lambda Labs</w:t>
            </w:r>
          </w:p>
        </w:tc>
        <w:tc>
          <w:tcPr>
            <w:tcW w:type="dxa" w:w="1560"/>
            <w:shd w:val="clear" w:color="auto" w:fill="EDF1F5"/>
          </w:tcPr>
          <w:p>
            <w:pPr>
              <w:spacing w:after="0"/>
            </w:pPr>
            <w:r/>
            <w:r>
              <w:rPr>
                <w:sz w:val="17"/>
              </w:rPr>
              <w:t>list</w:t>
            </w:r>
          </w:p>
        </w:tc>
        <w:tc>
          <w:tcPr>
            <w:tcW w:type="dxa" w:w="1560"/>
            <w:shd w:val="clear" w:color="auto" w:fill="EDF1F5"/>
          </w:tcPr>
          <w:p>
            <w:pPr>
              <w:spacing w:after="0"/>
            </w:pPr>
            <w:r/>
            <w:r>
              <w:rPr>
                <w:sz w:val="17"/>
              </w:rPr>
              <w:t>Coverage audited Sep 6 2026 (see PLAYER-COVERAGE note in market metadata)</w:t>
            </w:r>
          </w:p>
        </w:tc>
      </w:tr>
      <w:tr>
        <w:tc>
          <w:tcPr>
            <w:tcW w:type="dxa" w:w="1560"/>
          </w:tcPr>
          <w:p>
            <w:pPr>
              <w:spacing w:after="0"/>
            </w:pPr>
            <w:r/>
            <w:r>
              <w:rPr>
                <w:sz w:val="17"/>
              </w:rPr>
              <w:t>V-FO-REV</w:t>
            </w:r>
          </w:p>
        </w:tc>
        <w:tc>
          <w:tcPr>
            <w:tcW w:type="dxa" w:w="1560"/>
          </w:tcPr>
          <w:p>
            <w:pPr>
              <w:spacing w:after="0"/>
            </w:pPr>
            <w:r/>
            <w:r>
              <w:rPr>
                <w:sz w:val="17"/>
              </w:rPr>
              <w:t>Archetype fundamentals</w:t>
            </w:r>
          </w:p>
        </w:tc>
        <w:tc>
          <w:tcPr>
            <w:tcW w:type="dxa" w:w="1560"/>
          </w:tcPr>
          <w:p>
            <w:pPr>
              <w:spacing w:after="0"/>
            </w:pPr>
            <w:r/>
            <w:r>
              <w:rPr>
                <w:sz w:val="17"/>
              </w:rPr>
              <w:t>Foundation Models revenue</w:t>
            </w:r>
          </w:p>
        </w:tc>
        <w:tc>
          <w:tcPr>
            <w:tcW w:type="dxa" w:w="1560"/>
          </w:tcPr>
          <w:p>
            <w:pPr>
              <w:spacing w:after="0"/>
            </w:pPr>
            <w:r/>
            <w:r>
              <w:rPr>
                <w:sz w:val="17"/>
              </w:rPr>
              <w:t>106.5</w:t>
            </w:r>
          </w:p>
        </w:tc>
        <w:tc>
          <w:tcPr>
            <w:tcW w:type="dxa" w:w="1560"/>
          </w:tcPr>
          <w:p>
            <w:pPr>
              <w:spacing w:after="0"/>
            </w:pPr>
            <w:r/>
            <w:r>
              <w:rPr>
                <w:sz w:val="17"/>
              </w:rPr>
              <w:t>$B</w:t>
            </w:r>
          </w:p>
        </w:tc>
        <w:tc>
          <w:tcPr>
            <w:tcW w:type="dxa" w:w="1560"/>
          </w:tcPr>
          <w:p>
            <w:pPr>
              <w:spacing w:after="0"/>
            </w:pPr>
            <w:r/>
            <w:r>
              <w:rPr>
                <w:sz w:val="17"/>
              </w:rPr>
              <w:t>Verified Sep 6 2026 vs primary sources (see revenue code comments)</w:t>
            </w:r>
          </w:p>
        </w:tc>
      </w:tr>
      <w:tr>
        <w:tc>
          <w:tcPr>
            <w:tcW w:type="dxa" w:w="1560"/>
            <w:shd w:val="clear" w:color="auto" w:fill="EDF1F5"/>
          </w:tcPr>
          <w:p>
            <w:pPr>
              <w:spacing w:after="0"/>
            </w:pPr>
            <w:r/>
            <w:r>
              <w:rPr>
                <w:sz w:val="17"/>
              </w:rPr>
              <w:t>V-FO-VAL</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Foundation Models market valuation</w:t>
            </w:r>
          </w:p>
        </w:tc>
        <w:tc>
          <w:tcPr>
            <w:tcW w:type="dxa" w:w="1560"/>
            <w:shd w:val="clear" w:color="auto" w:fill="EDF1F5"/>
          </w:tcPr>
          <w:p>
            <w:pPr>
              <w:spacing w:after="0"/>
            </w:pPr>
            <w:r/>
            <w:r>
              <w:rPr>
                <w:sz w:val="17"/>
              </w:rPr>
              <w:t>2432.0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market caps/rounds (see valuation code comments)</w:t>
            </w:r>
          </w:p>
        </w:tc>
      </w:tr>
      <w:tr>
        <w:tc>
          <w:tcPr>
            <w:tcW w:type="dxa" w:w="1560"/>
          </w:tcPr>
          <w:p>
            <w:pPr>
              <w:spacing w:after="0"/>
            </w:pPr>
            <w:r/>
            <w:r>
              <w:rPr>
                <w:sz w:val="17"/>
              </w:rPr>
              <w:t>V-FO-MGN</w:t>
            </w:r>
          </w:p>
        </w:tc>
        <w:tc>
          <w:tcPr>
            <w:tcW w:type="dxa" w:w="1560"/>
          </w:tcPr>
          <w:p>
            <w:pPr>
              <w:spacing w:after="0"/>
            </w:pPr>
            <w:r/>
            <w:r>
              <w:rPr>
                <w:sz w:val="17"/>
              </w:rPr>
              <w:t>Archetype fundamentals</w:t>
            </w:r>
          </w:p>
        </w:tc>
        <w:tc>
          <w:tcPr>
            <w:tcW w:type="dxa" w:w="1560"/>
          </w:tcPr>
          <w:p>
            <w:pPr>
              <w:spacing w:after="0"/>
            </w:pPr>
            <w:r/>
            <w:r>
              <w:rPr>
                <w:sz w:val="17"/>
              </w:rPr>
              <w:t>Foundation Models operating margin</w:t>
            </w:r>
          </w:p>
        </w:tc>
        <w:tc>
          <w:tcPr>
            <w:tcW w:type="dxa" w:w="1560"/>
          </w:tcPr>
          <w:p>
            <w:pPr>
              <w:spacing w:after="0"/>
            </w:pPr>
            <w:r/>
            <w:r>
              <w:rPr>
                <w:sz w:val="17"/>
              </w:rPr>
              <w:t>-0.034</w:t>
            </w:r>
          </w:p>
        </w:tc>
        <w:tc>
          <w:tcPr>
            <w:tcW w:type="dxa" w:w="1560"/>
          </w:tcPr>
          <w:p>
            <w:pPr>
              <w:spacing w:after="0"/>
            </w:pPr>
            <w:r/>
            <w:r>
              <w:rPr>
                <w:sz w:val="17"/>
              </w:rPr>
              <w:t>rate</w:t>
            </w:r>
          </w:p>
        </w:tc>
        <w:tc>
          <w:tcPr>
            <w:tcW w:type="dxa" w:w="1560"/>
          </w:tcPr>
          <w:p>
            <w:pPr>
              <w:spacing w:after="0"/>
            </w:pPr>
            <w:r/>
            <w:r>
              <w:rPr>
                <w:sz w:val="17"/>
              </w:rPr>
              <w:t>Revenue-weighted from Q2/FY26 filings (see margin code comments); display-only</w:t>
            </w:r>
          </w:p>
        </w:tc>
      </w:tr>
      <w:tr>
        <w:tc>
          <w:tcPr>
            <w:tcW w:type="dxa" w:w="1560"/>
            <w:shd w:val="clear" w:color="auto" w:fill="EDF1F5"/>
          </w:tcPr>
          <w:p>
            <w:pPr>
              <w:spacing w:after="0"/>
            </w:pPr>
            <w:r/>
            <w:r>
              <w:rPr>
                <w:sz w:val="17"/>
              </w:rPr>
              <w:t>V-FO-PRF</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Foundation Models profitability label</w:t>
            </w:r>
          </w:p>
        </w:tc>
        <w:tc>
          <w:tcPr>
            <w:tcW w:type="dxa" w:w="1560"/>
            <w:shd w:val="clear" w:color="auto" w:fill="EDF1F5"/>
          </w:tcPr>
          <w:p>
            <w:pPr>
              <w:spacing w:after="0"/>
            </w:pPr>
            <w:r/>
            <w:r>
              <w:rPr>
                <w:sz w:val="17"/>
              </w:rPr>
              <w:t>Break-even</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Follows the blended margin above</w:t>
            </w:r>
          </w:p>
        </w:tc>
      </w:tr>
      <w:tr>
        <w:tc>
          <w:tcPr>
            <w:tcW w:type="dxa" w:w="1560"/>
          </w:tcPr>
          <w:p>
            <w:pPr>
              <w:spacing w:after="0"/>
            </w:pPr>
            <w:r/>
            <w:r>
              <w:rPr>
                <w:sz w:val="17"/>
              </w:rPr>
              <w:t>V-FO-RSK</w:t>
            </w:r>
          </w:p>
        </w:tc>
        <w:tc>
          <w:tcPr>
            <w:tcW w:type="dxa" w:w="1560"/>
          </w:tcPr>
          <w:p>
            <w:pPr>
              <w:spacing w:after="0"/>
            </w:pPr>
            <w:r/>
            <w:r>
              <w:rPr>
                <w:sz w:val="17"/>
              </w:rPr>
              <w:t>Archetype fundamentals</w:t>
            </w:r>
          </w:p>
        </w:tc>
        <w:tc>
          <w:tcPr>
            <w:tcW w:type="dxa" w:w="1560"/>
          </w:tcPr>
          <w:p>
            <w:pPr>
              <w:spacing w:after="0"/>
            </w:pPr>
            <w:r/>
            <w:r>
              <w:rPr>
                <w:sz w:val="17"/>
              </w:rPr>
              <w:t>Foundation Models strategic risk</w:t>
            </w:r>
          </w:p>
        </w:tc>
        <w:tc>
          <w:tcPr>
            <w:tcW w:type="dxa" w:w="1560"/>
          </w:tcPr>
          <w:p>
            <w:pPr>
              <w:spacing w:after="0"/>
            </w:pPr>
            <w:r/>
            <w:r>
              <w:rPr>
                <w:sz w:val="17"/>
              </w:rPr>
              <w:t>High</w:t>
            </w:r>
          </w:p>
        </w:tc>
        <w:tc>
          <w:tcPr>
            <w:tcW w:type="dxa" w:w="1560"/>
          </w:tcPr>
          <w:p>
            <w:pPr>
              <w:spacing w:after="0"/>
            </w:pPr>
            <w:r/>
            <w:r>
              <w:rPr>
                <w:sz w:val="17"/>
              </w:rPr>
              <w:t>label</w:t>
            </w:r>
          </w:p>
        </w:tc>
        <w:tc>
          <w:tcPr>
            <w:tcW w:type="dxa" w:w="1560"/>
          </w:tcPr>
          <w:p>
            <w:pPr>
              <w:spacing w:after="0"/>
            </w:pPr>
            <w:r/>
            <w:r>
              <w:rPr>
                <w:sz w:val="17"/>
              </w:rPr>
              <w:t>Judgment: sub-segment blend (see code comments)</w:t>
            </w:r>
          </w:p>
        </w:tc>
      </w:tr>
      <w:tr>
        <w:tc>
          <w:tcPr>
            <w:tcW w:type="dxa" w:w="1560"/>
            <w:shd w:val="clear" w:color="auto" w:fill="EDF1F5"/>
          </w:tcPr>
          <w:p>
            <w:pPr>
              <w:spacing w:after="0"/>
            </w:pPr>
            <w:r/>
            <w:r>
              <w:rPr>
                <w:sz w:val="17"/>
              </w:rPr>
              <w:t>V-FO-CIR</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Foundation Models circular dependency index</w:t>
            </w:r>
          </w:p>
        </w:tc>
        <w:tc>
          <w:tcPr>
            <w:tcW w:type="dxa" w:w="1560"/>
            <w:shd w:val="clear" w:color="auto" w:fill="EDF1F5"/>
          </w:tcPr>
          <w:p>
            <w:pPr>
              <w:spacing w:after="0"/>
            </w:pPr>
            <w:r/>
            <w:r>
              <w:rPr>
                <w:sz w:val="17"/>
              </w:rPr>
              <w:t>0.84</w:t>
            </w:r>
          </w:p>
        </w:tc>
        <w:tc>
          <w:tcPr>
            <w:tcW w:type="dxa" w:w="1560"/>
            <w:shd w:val="clear" w:color="auto" w:fill="EDF1F5"/>
          </w:tcPr>
          <w:p>
            <w:pPr>
              <w:spacing w:after="0"/>
            </w:pPr>
            <w:r/>
            <w:r>
              <w:rPr>
                <w:sz w:val="17"/>
              </w:rPr>
              <w:t>index 0-1</w:t>
            </w:r>
          </w:p>
        </w:tc>
        <w:tc>
          <w:tcPr>
            <w:tcW w:type="dxa" w:w="1560"/>
            <w:shd w:val="clear" w:color="auto" w:fill="EDF1F5"/>
          </w:tcPr>
          <w:p>
            <w:pPr>
              <w:spacing w:after="0"/>
            </w:pPr>
            <w:r/>
            <w:r>
              <w:rPr>
                <w:sz w:val="17"/>
              </w:rPr>
              <w:t>Revenue-weighted judgment (see code comments)</w:t>
            </w:r>
          </w:p>
        </w:tc>
      </w:tr>
      <w:tr>
        <w:tc>
          <w:tcPr>
            <w:tcW w:type="dxa" w:w="1560"/>
          </w:tcPr>
          <w:p>
            <w:pPr>
              <w:spacing w:after="0"/>
            </w:pPr>
            <w:r/>
            <w:r>
              <w:rPr>
                <w:sz w:val="17"/>
              </w:rPr>
              <w:t>V-FO-COS</w:t>
            </w:r>
          </w:p>
        </w:tc>
        <w:tc>
          <w:tcPr>
            <w:tcW w:type="dxa" w:w="1560"/>
          </w:tcPr>
          <w:p>
            <w:pPr>
              <w:spacing w:after="0"/>
            </w:pPr>
            <w:r/>
            <w:r>
              <w:rPr>
                <w:sz w:val="17"/>
              </w:rPr>
              <w:t>Archetype fundamentals</w:t>
            </w:r>
          </w:p>
        </w:tc>
        <w:tc>
          <w:tcPr>
            <w:tcW w:type="dxa" w:w="1560"/>
          </w:tcPr>
          <w:p>
            <w:pPr>
              <w:spacing w:after="0"/>
            </w:pPr>
            <w:r/>
            <w:r>
              <w:rPr>
                <w:sz w:val="17"/>
              </w:rPr>
              <w:t>Foundation Models key companies</w:t>
            </w:r>
          </w:p>
        </w:tc>
        <w:tc>
          <w:tcPr>
            <w:tcW w:type="dxa" w:w="1560"/>
          </w:tcPr>
          <w:p>
            <w:pPr>
              <w:spacing w:after="0"/>
            </w:pPr>
            <w:r/>
            <w:r>
              <w:rPr>
                <w:sz w:val="17"/>
              </w:rPr>
              <w:t>OpenAI, Anthropic, Meta (Llama), Mistral, xAI</w:t>
            </w:r>
          </w:p>
        </w:tc>
        <w:tc>
          <w:tcPr>
            <w:tcW w:type="dxa" w:w="1560"/>
          </w:tcPr>
          <w:p>
            <w:pPr>
              <w:spacing w:after="0"/>
            </w:pPr>
            <w:r/>
            <w:r>
              <w:rPr>
                <w:sz w:val="17"/>
              </w:rPr>
              <w:t>list</w:t>
            </w:r>
          </w:p>
        </w:tc>
        <w:tc>
          <w:tcPr>
            <w:tcW w:type="dxa" w:w="1560"/>
          </w:tcPr>
          <w:p>
            <w:pPr>
              <w:spacing w:after="0"/>
            </w:pPr>
            <w:r/>
            <w:r>
              <w:rPr>
                <w:sz w:val="17"/>
              </w:rPr>
              <w:t>Coverage audited Sep 6 2026 (see PLAYER-COVERAGE note in market metadata)</w:t>
            </w:r>
          </w:p>
        </w:tc>
      </w:tr>
      <w:tr>
        <w:tc>
          <w:tcPr>
            <w:tcW w:type="dxa" w:w="1560"/>
            <w:shd w:val="clear" w:color="auto" w:fill="EDF1F5"/>
          </w:tcPr>
          <w:p>
            <w:pPr>
              <w:spacing w:after="0"/>
            </w:pPr>
            <w:r/>
            <w:r>
              <w:rPr>
                <w:sz w:val="17"/>
              </w:rPr>
              <w:t>V-LL-REV</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LLM Wrappers revenue</w:t>
            </w:r>
          </w:p>
        </w:tc>
        <w:tc>
          <w:tcPr>
            <w:tcW w:type="dxa" w:w="1560"/>
            <w:shd w:val="clear" w:color="auto" w:fill="EDF1F5"/>
          </w:tcPr>
          <w:p>
            <w:pPr>
              <w:spacing w:after="0"/>
            </w:pPr>
            <w:r/>
            <w:r>
              <w:rPr>
                <w:sz w:val="17"/>
              </w:rPr>
              <w:t>36.0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primary sources (see revenue code comments)</w:t>
            </w:r>
          </w:p>
        </w:tc>
      </w:tr>
      <w:tr>
        <w:tc>
          <w:tcPr>
            <w:tcW w:type="dxa" w:w="1560"/>
          </w:tcPr>
          <w:p>
            <w:pPr>
              <w:spacing w:after="0"/>
            </w:pPr>
            <w:r/>
            <w:r>
              <w:rPr>
                <w:sz w:val="17"/>
              </w:rPr>
              <w:t>V-LL-VAL</w:t>
            </w:r>
          </w:p>
        </w:tc>
        <w:tc>
          <w:tcPr>
            <w:tcW w:type="dxa" w:w="1560"/>
          </w:tcPr>
          <w:p>
            <w:pPr>
              <w:spacing w:after="0"/>
            </w:pPr>
            <w:r/>
            <w:r>
              <w:rPr>
                <w:sz w:val="17"/>
              </w:rPr>
              <w:t>Archetype fundamentals</w:t>
            </w:r>
          </w:p>
        </w:tc>
        <w:tc>
          <w:tcPr>
            <w:tcW w:type="dxa" w:w="1560"/>
          </w:tcPr>
          <w:p>
            <w:pPr>
              <w:spacing w:after="0"/>
            </w:pPr>
            <w:r/>
            <w:r>
              <w:rPr>
                <w:sz w:val="17"/>
              </w:rPr>
              <w:t>LLM Wrappers market valuation</w:t>
            </w:r>
          </w:p>
        </w:tc>
        <w:tc>
          <w:tcPr>
            <w:tcW w:type="dxa" w:w="1560"/>
          </w:tcPr>
          <w:p>
            <w:pPr>
              <w:spacing w:after="0"/>
            </w:pPr>
            <w:r/>
            <w:r>
              <w:rPr>
                <w:sz w:val="17"/>
              </w:rPr>
              <w:t>923.0</w:t>
            </w:r>
          </w:p>
        </w:tc>
        <w:tc>
          <w:tcPr>
            <w:tcW w:type="dxa" w:w="1560"/>
          </w:tcPr>
          <w:p>
            <w:pPr>
              <w:spacing w:after="0"/>
            </w:pPr>
            <w:r/>
            <w:r>
              <w:rPr>
                <w:sz w:val="17"/>
              </w:rPr>
              <w:t>$B</w:t>
            </w:r>
          </w:p>
        </w:tc>
        <w:tc>
          <w:tcPr>
            <w:tcW w:type="dxa" w:w="1560"/>
          </w:tcPr>
          <w:p>
            <w:pPr>
              <w:spacing w:after="0"/>
            </w:pPr>
            <w:r/>
            <w:r>
              <w:rPr>
                <w:sz w:val="17"/>
              </w:rPr>
              <w:t>Verified Sep 6 2026 vs market caps/rounds (see valuation code comments)</w:t>
            </w:r>
          </w:p>
        </w:tc>
      </w:tr>
      <w:tr>
        <w:tc>
          <w:tcPr>
            <w:tcW w:type="dxa" w:w="1560"/>
            <w:shd w:val="clear" w:color="auto" w:fill="EDF1F5"/>
          </w:tcPr>
          <w:p>
            <w:pPr>
              <w:spacing w:after="0"/>
            </w:pPr>
            <w:r/>
            <w:r>
              <w:rPr>
                <w:sz w:val="17"/>
              </w:rPr>
              <w:t>V-LL-MGN</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LLM Wrappers operating margin</w:t>
            </w:r>
          </w:p>
        </w:tc>
        <w:tc>
          <w:tcPr>
            <w:tcW w:type="dxa" w:w="1560"/>
            <w:shd w:val="clear" w:color="auto" w:fill="EDF1F5"/>
          </w:tcPr>
          <w:p>
            <w:pPr>
              <w:spacing w:after="0"/>
            </w:pPr>
            <w:r/>
            <w:r>
              <w:rPr>
                <w:sz w:val="17"/>
              </w:rPr>
              <w:t>0.190</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Revenue-weighted from Q2/FY26 filings (see margin code comments); display-only</w:t>
            </w:r>
          </w:p>
        </w:tc>
      </w:tr>
      <w:tr>
        <w:tc>
          <w:tcPr>
            <w:tcW w:type="dxa" w:w="1560"/>
          </w:tcPr>
          <w:p>
            <w:pPr>
              <w:spacing w:after="0"/>
            </w:pPr>
            <w:r/>
            <w:r>
              <w:rPr>
                <w:sz w:val="17"/>
              </w:rPr>
              <w:t>V-LL-PRF</w:t>
            </w:r>
          </w:p>
        </w:tc>
        <w:tc>
          <w:tcPr>
            <w:tcW w:type="dxa" w:w="1560"/>
          </w:tcPr>
          <w:p>
            <w:pPr>
              <w:spacing w:after="0"/>
            </w:pPr>
            <w:r/>
            <w:r>
              <w:rPr>
                <w:sz w:val="17"/>
              </w:rPr>
              <w:t>Archetype fundamentals</w:t>
            </w:r>
          </w:p>
        </w:tc>
        <w:tc>
          <w:tcPr>
            <w:tcW w:type="dxa" w:w="1560"/>
          </w:tcPr>
          <w:p>
            <w:pPr>
              <w:spacing w:after="0"/>
            </w:pPr>
            <w:r/>
            <w:r>
              <w:rPr>
                <w:sz w:val="17"/>
              </w:rPr>
              <w:t>LLM Wrappers profitability label</w:t>
            </w:r>
          </w:p>
        </w:tc>
        <w:tc>
          <w:tcPr>
            <w:tcW w:type="dxa" w:w="1560"/>
          </w:tcPr>
          <w:p>
            <w:pPr>
              <w:spacing w:after="0"/>
            </w:pPr>
            <w:r/>
            <w:r>
              <w:rPr>
                <w:sz w:val="17"/>
              </w:rPr>
              <w:t>Mixed</w:t>
            </w:r>
          </w:p>
        </w:tc>
        <w:tc>
          <w:tcPr>
            <w:tcW w:type="dxa" w:w="1560"/>
          </w:tcPr>
          <w:p>
            <w:pPr>
              <w:spacing w:after="0"/>
            </w:pPr>
            <w:r/>
            <w:r>
              <w:rPr>
                <w:sz w:val="17"/>
              </w:rPr>
              <w:t>label</w:t>
            </w:r>
          </w:p>
        </w:tc>
        <w:tc>
          <w:tcPr>
            <w:tcW w:type="dxa" w:w="1560"/>
          </w:tcPr>
          <w:p>
            <w:pPr>
              <w:spacing w:after="0"/>
            </w:pPr>
            <w:r/>
            <w:r>
              <w:rPr>
                <w:sz w:val="17"/>
              </w:rPr>
              <w:t>Follows the blended margin above</w:t>
            </w:r>
          </w:p>
        </w:tc>
      </w:tr>
      <w:tr>
        <w:tc>
          <w:tcPr>
            <w:tcW w:type="dxa" w:w="1560"/>
            <w:shd w:val="clear" w:color="auto" w:fill="EDF1F5"/>
          </w:tcPr>
          <w:p>
            <w:pPr>
              <w:spacing w:after="0"/>
            </w:pPr>
            <w:r/>
            <w:r>
              <w:rPr>
                <w:sz w:val="17"/>
              </w:rPr>
              <w:t>V-LL-RSK</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LLM Wrappers strategic risk</w:t>
            </w:r>
          </w:p>
        </w:tc>
        <w:tc>
          <w:tcPr>
            <w:tcW w:type="dxa" w:w="1560"/>
            <w:shd w:val="clear" w:color="auto" w:fill="EDF1F5"/>
          </w:tcPr>
          <w:p>
            <w:pPr>
              <w:spacing w:after="0"/>
            </w:pPr>
            <w:r/>
            <w:r>
              <w:rPr>
                <w:sz w:val="17"/>
              </w:rPr>
              <w:t>High</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Judgment: sub-segment blend (see code comments)</w:t>
            </w:r>
          </w:p>
        </w:tc>
      </w:tr>
      <w:tr>
        <w:tc>
          <w:tcPr>
            <w:tcW w:type="dxa" w:w="1560"/>
          </w:tcPr>
          <w:p>
            <w:pPr>
              <w:spacing w:after="0"/>
            </w:pPr>
            <w:r/>
            <w:r>
              <w:rPr>
                <w:sz w:val="17"/>
              </w:rPr>
              <w:t>V-LL-CIR</w:t>
            </w:r>
          </w:p>
        </w:tc>
        <w:tc>
          <w:tcPr>
            <w:tcW w:type="dxa" w:w="1560"/>
          </w:tcPr>
          <w:p>
            <w:pPr>
              <w:spacing w:after="0"/>
            </w:pPr>
            <w:r/>
            <w:r>
              <w:rPr>
                <w:sz w:val="17"/>
              </w:rPr>
              <w:t>Archetype fundamentals</w:t>
            </w:r>
          </w:p>
        </w:tc>
        <w:tc>
          <w:tcPr>
            <w:tcW w:type="dxa" w:w="1560"/>
          </w:tcPr>
          <w:p>
            <w:pPr>
              <w:spacing w:after="0"/>
            </w:pPr>
            <w:r/>
            <w:r>
              <w:rPr>
                <w:sz w:val="17"/>
              </w:rPr>
              <w:t>LLM Wrappers circular dependency index</w:t>
            </w:r>
          </w:p>
        </w:tc>
        <w:tc>
          <w:tcPr>
            <w:tcW w:type="dxa" w:w="1560"/>
          </w:tcPr>
          <w:p>
            <w:pPr>
              <w:spacing w:after="0"/>
            </w:pPr>
            <w:r/>
            <w:r>
              <w:rPr>
                <w:sz w:val="17"/>
              </w:rPr>
              <w:t>0.65</w:t>
            </w:r>
          </w:p>
        </w:tc>
        <w:tc>
          <w:tcPr>
            <w:tcW w:type="dxa" w:w="1560"/>
          </w:tcPr>
          <w:p>
            <w:pPr>
              <w:spacing w:after="0"/>
            </w:pPr>
            <w:r/>
            <w:r>
              <w:rPr>
                <w:sz w:val="17"/>
              </w:rPr>
              <w:t>index 0-1</w:t>
            </w:r>
          </w:p>
        </w:tc>
        <w:tc>
          <w:tcPr>
            <w:tcW w:type="dxa" w:w="1560"/>
          </w:tcPr>
          <w:p>
            <w:pPr>
              <w:spacing w:after="0"/>
            </w:pPr>
            <w:r/>
            <w:r>
              <w:rPr>
                <w:sz w:val="17"/>
              </w:rPr>
              <w:t>Revenue-weighted judgment (see code comments)</w:t>
            </w:r>
          </w:p>
        </w:tc>
      </w:tr>
      <w:tr>
        <w:tc>
          <w:tcPr>
            <w:tcW w:type="dxa" w:w="1560"/>
            <w:shd w:val="clear" w:color="auto" w:fill="EDF1F5"/>
          </w:tcPr>
          <w:p>
            <w:pPr>
              <w:spacing w:after="0"/>
            </w:pPr>
            <w:r/>
            <w:r>
              <w:rPr>
                <w:sz w:val="17"/>
              </w:rPr>
              <w:t>V-LL-COS</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LLM Wrappers key companies</w:t>
            </w:r>
          </w:p>
        </w:tc>
        <w:tc>
          <w:tcPr>
            <w:tcW w:type="dxa" w:w="1560"/>
            <w:shd w:val="clear" w:color="auto" w:fill="EDF1F5"/>
          </w:tcPr>
          <w:p>
            <w:pPr>
              <w:spacing w:after="0"/>
            </w:pPr>
            <w:r/>
            <w:r>
              <w:rPr>
                <w:sz w:val="17"/>
              </w:rPr>
              <w:t>Palantir, ServiceNow, Databricks, Perplexity, Cursor</w:t>
            </w:r>
          </w:p>
        </w:tc>
        <w:tc>
          <w:tcPr>
            <w:tcW w:type="dxa" w:w="1560"/>
            <w:shd w:val="clear" w:color="auto" w:fill="EDF1F5"/>
          </w:tcPr>
          <w:p>
            <w:pPr>
              <w:spacing w:after="0"/>
            </w:pPr>
            <w:r/>
            <w:r>
              <w:rPr>
                <w:sz w:val="17"/>
              </w:rPr>
              <w:t>list</w:t>
            </w:r>
          </w:p>
        </w:tc>
        <w:tc>
          <w:tcPr>
            <w:tcW w:type="dxa" w:w="1560"/>
            <w:shd w:val="clear" w:color="auto" w:fill="EDF1F5"/>
          </w:tcPr>
          <w:p>
            <w:pPr>
              <w:spacing w:after="0"/>
            </w:pPr>
            <w:r/>
            <w:r>
              <w:rPr>
                <w:sz w:val="17"/>
              </w:rPr>
              <w:t>Coverage audited Sep 6 2026 (see PLAYER-COVERAGE note in market metadata)</w:t>
            </w:r>
          </w:p>
        </w:tc>
      </w:tr>
      <w:tr>
        <w:tc>
          <w:tcPr>
            <w:tcW w:type="dxa" w:w="1560"/>
          </w:tcPr>
          <w:p>
            <w:pPr>
              <w:spacing w:after="0"/>
            </w:pPr>
            <w:r/>
            <w:r>
              <w:rPr>
                <w:sz w:val="17"/>
              </w:rPr>
              <w:t>M-GDP</w:t>
            </w:r>
          </w:p>
        </w:tc>
        <w:tc>
          <w:tcPr>
            <w:tcW w:type="dxa" w:w="1560"/>
          </w:tcPr>
          <w:p>
            <w:pPr>
              <w:spacing w:after="0"/>
            </w:pPr>
            <w:r/>
            <w:r>
              <w:rPr>
                <w:sz w:val="17"/>
              </w:rPr>
              <w:t>Macro / market</w:t>
            </w:r>
          </w:p>
        </w:tc>
        <w:tc>
          <w:tcPr>
            <w:tcW w:type="dxa" w:w="1560"/>
          </w:tcPr>
          <w:p>
            <w:pPr>
              <w:spacing w:after="0"/>
            </w:pPr>
            <w:r/>
            <w:r>
              <w:rPr>
                <w:sz w:val="17"/>
              </w:rPr>
              <w:t>US 2025 nominal GDP</w:t>
            </w:r>
          </w:p>
        </w:tc>
        <w:tc>
          <w:tcPr>
            <w:tcW w:type="dxa" w:w="1560"/>
          </w:tcPr>
          <w:p>
            <w:pPr>
              <w:spacing w:after="0"/>
            </w:pPr>
            <w:r/>
            <w:r>
              <w:rPr>
                <w:sz w:val="17"/>
              </w:rPr>
              <w:t>30767.1</w:t>
            </w:r>
          </w:p>
        </w:tc>
        <w:tc>
          <w:tcPr>
            <w:tcW w:type="dxa" w:w="1560"/>
          </w:tcPr>
          <w:p>
            <w:pPr>
              <w:spacing w:after="0"/>
            </w:pPr>
            <w:r/>
            <w:r>
              <w:rPr>
                <w:sz w:val="17"/>
              </w:rPr>
              <w:t>$B</w:t>
            </w:r>
          </w:p>
        </w:tc>
        <w:tc>
          <w:tcPr>
            <w:tcW w:type="dxa" w:w="1560"/>
          </w:tcPr>
          <w:p>
            <w:pPr>
              <w:spacing w:after="0"/>
            </w:pPr>
            <w:r/>
            <w:r>
              <w:rPr>
                <w:sz w:val="17"/>
              </w:rPr>
              <w:t>BEA National Income and Product Accounts, Year-2025 second estimate $30,767.1B (Mar 2026 release; re-verified Sep 22 2026)</w:t>
            </w:r>
          </w:p>
        </w:tc>
      </w:tr>
      <w:tr>
        <w:tc>
          <w:tcPr>
            <w:tcW w:type="dxa" w:w="1560"/>
            <w:shd w:val="clear" w:color="auto" w:fill="EDF1F5"/>
          </w:tcPr>
          <w:p>
            <w:pPr>
              <w:spacing w:after="0"/>
            </w:pPr>
            <w:r/>
            <w:r>
              <w:rPr>
                <w:sz w:val="17"/>
              </w:rPr>
              <w:t>M-AICAPEX25</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US 2025 AI capex</w:t>
            </w:r>
          </w:p>
        </w:tc>
        <w:tc>
          <w:tcPr>
            <w:tcW w:type="dxa" w:w="1560"/>
            <w:shd w:val="clear" w:color="auto" w:fill="EDF1F5"/>
          </w:tcPr>
          <w:p>
            <w:pPr>
              <w:spacing w:after="0"/>
            </w:pPr>
            <w:r/>
            <w:r>
              <w:rPr>
                <w:sz w:val="17"/>
              </w:rPr>
              <w:t>400.0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Big Four 2025 actuals ~$400B combined (GOOGL $85B + AMZN $110B + META $72B + MSFT $110B; re-verified Sep 22 2026)</w:t>
            </w:r>
          </w:p>
        </w:tc>
      </w:tr>
      <w:tr>
        <w:tc>
          <w:tcPr>
            <w:tcW w:type="dxa" w:w="1560"/>
          </w:tcPr>
          <w:p>
            <w:pPr>
              <w:spacing w:after="0"/>
            </w:pPr>
            <w:r/>
            <w:r>
              <w:rPr>
                <w:sz w:val="17"/>
              </w:rPr>
              <w:t>M-HSCAPEX26</w:t>
            </w:r>
          </w:p>
        </w:tc>
        <w:tc>
          <w:tcPr>
            <w:tcW w:type="dxa" w:w="1560"/>
          </w:tcPr>
          <w:p>
            <w:pPr>
              <w:spacing w:after="0"/>
            </w:pPr>
            <w:r/>
            <w:r>
              <w:rPr>
                <w:sz w:val="17"/>
              </w:rPr>
              <w:t>Macro / market</w:t>
            </w:r>
          </w:p>
        </w:tc>
        <w:tc>
          <w:tcPr>
            <w:tcW w:type="dxa" w:w="1560"/>
          </w:tcPr>
          <w:p>
            <w:pPr>
              <w:spacing w:after="0"/>
            </w:pPr>
            <w:r/>
            <w:r>
              <w:rPr>
                <w:sz w:val="17"/>
              </w:rPr>
              <w:t>Hyperscaler 2026 capex</w:t>
            </w:r>
          </w:p>
        </w:tc>
        <w:tc>
          <w:tcPr>
            <w:tcW w:type="dxa" w:w="1560"/>
          </w:tcPr>
          <w:p>
            <w:pPr>
              <w:spacing w:after="0"/>
            </w:pPr>
            <w:r/>
            <w:r>
              <w:rPr>
                <w:sz w:val="17"/>
              </w:rPr>
              <w:t>733.0</w:t>
            </w:r>
          </w:p>
        </w:tc>
        <w:tc>
          <w:tcPr>
            <w:tcW w:type="dxa" w:w="1560"/>
          </w:tcPr>
          <w:p>
            <w:pPr>
              <w:spacing w:after="0"/>
            </w:pPr>
            <w:r/>
            <w:r>
              <w:rPr>
                <w:sz w:val="17"/>
              </w:rPr>
              <w:t>$B</w:t>
            </w:r>
          </w:p>
        </w:tc>
        <w:tc>
          <w:tcPr>
            <w:tcW w:type="dxa" w:w="1560"/>
          </w:tcPr>
          <w:p>
            <w:pPr>
              <w:spacing w:after="0"/>
            </w:pPr>
            <w:r/>
            <w:r>
              <w:rPr>
                <w:sz w:val="17"/>
              </w:rPr>
              <w:t>Company 2026E guidance sum ~$733B (GOOGL $200B + AMZN $220B + META $138B + MSFT $175B; re-verified Sep 22 2026)</w:t>
            </w:r>
          </w:p>
        </w:tc>
      </w:tr>
      <w:tr>
        <w:tc>
          <w:tcPr>
            <w:tcW w:type="dxa" w:w="1560"/>
            <w:shd w:val="clear" w:color="auto" w:fill="EDF1F5"/>
          </w:tcPr>
          <w:p>
            <w:pPr>
              <w:spacing w:after="0"/>
            </w:pPr>
            <w:r/>
            <w:r>
              <w:rPr>
                <w:sz w:val="17"/>
              </w:rPr>
              <w:t>M-CAGR</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AI market CAGR 2024-2030</w:t>
            </w:r>
          </w:p>
        </w:tc>
        <w:tc>
          <w:tcPr>
            <w:tcW w:type="dxa" w:w="1560"/>
            <w:shd w:val="clear" w:color="auto" w:fill="EDF1F5"/>
          </w:tcPr>
          <w:p>
            <w:pPr>
              <w:spacing w:after="0"/>
            </w:pPr>
            <w:r/>
            <w:r>
              <w:rPr>
                <w:sz w:val="17"/>
              </w:rPr>
              <w:t>0.30</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IDC Spending Guide 29% (2024-28); IDC FutureScape 32%; UBS 25% (30% central)</w:t>
            </w:r>
          </w:p>
        </w:tc>
      </w:tr>
      <w:tr>
        <w:tc>
          <w:tcPr>
            <w:tcW w:type="dxa" w:w="1560"/>
          </w:tcPr>
          <w:p>
            <w:pPr>
              <w:spacing w:after="0"/>
            </w:pPr>
            <w:r/>
            <w:r>
              <w:rPr>
                <w:sz w:val="17"/>
              </w:rPr>
              <w:t>M-RF</w:t>
            </w:r>
          </w:p>
        </w:tc>
        <w:tc>
          <w:tcPr>
            <w:tcW w:type="dxa" w:w="1560"/>
          </w:tcPr>
          <w:p>
            <w:pPr>
              <w:spacing w:after="0"/>
            </w:pPr>
            <w:r/>
            <w:r>
              <w:rPr>
                <w:sz w:val="17"/>
              </w:rPr>
              <w:t>Macro / market</w:t>
            </w:r>
          </w:p>
        </w:tc>
        <w:tc>
          <w:tcPr>
            <w:tcW w:type="dxa" w:w="1560"/>
          </w:tcPr>
          <w:p>
            <w:pPr>
              <w:spacing w:after="0"/>
            </w:pPr>
            <w:r/>
            <w:r>
              <w:rPr>
                <w:sz w:val="17"/>
              </w:rPr>
              <w:t>Risk-free rate (10Y)</w:t>
            </w:r>
          </w:p>
        </w:tc>
        <w:tc>
          <w:tcPr>
            <w:tcW w:type="dxa" w:w="1560"/>
          </w:tcPr>
          <w:p>
            <w:pPr>
              <w:spacing w:after="0"/>
            </w:pPr>
            <w:r/>
            <w:r>
              <w:rPr>
                <w:sz w:val="17"/>
              </w:rPr>
              <w:t>0.0480</w:t>
            </w:r>
          </w:p>
        </w:tc>
        <w:tc>
          <w:tcPr>
            <w:tcW w:type="dxa" w:w="1560"/>
          </w:tcPr>
          <w:p>
            <w:pPr>
              <w:spacing w:after="0"/>
            </w:pPr>
            <w:r/>
            <w:r>
              <w:rPr>
                <w:sz w:val="17"/>
              </w:rPr>
              <w:t>rate</w:t>
            </w:r>
          </w:p>
        </w:tc>
        <w:tc>
          <w:tcPr>
            <w:tcW w:type="dxa" w:w="1560"/>
          </w:tcPr>
          <w:p>
            <w:pPr>
              <w:spacing w:after="0"/>
            </w:pPr>
            <w:r/>
            <w:r>
              <w:rPr>
                <w:sz w:val="17"/>
              </w:rPr>
              <w:t>US Treasury 10Y 4.795% Sep 1 2026 (Bloomberg/WSJ)</w:t>
            </w:r>
          </w:p>
        </w:tc>
      </w:tr>
      <w:tr>
        <w:tc>
          <w:tcPr>
            <w:tcW w:type="dxa" w:w="1560"/>
            <w:shd w:val="clear" w:color="auto" w:fill="EDF1F5"/>
          </w:tcPr>
          <w:p>
            <w:pPr>
              <w:spacing w:after="0"/>
            </w:pPr>
            <w:r/>
            <w:r>
              <w:rPr>
                <w:sz w:val="17"/>
              </w:rPr>
              <w:t>M-ERP</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Equity risk premium</w:t>
            </w:r>
          </w:p>
        </w:tc>
        <w:tc>
          <w:tcPr>
            <w:tcW w:type="dxa" w:w="1560"/>
            <w:shd w:val="clear" w:color="auto" w:fill="EDF1F5"/>
          </w:tcPr>
          <w:p>
            <w:pPr>
              <w:spacing w:after="0"/>
            </w:pPr>
            <w:r/>
            <w:r>
              <w:rPr>
                <w:sz w:val="17"/>
              </w:rPr>
              <w:t>0.042</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Damodaran implied ERP 4.18% end-2025, base 4.17% mid-2026 (NYU Stern)</w:t>
            </w:r>
          </w:p>
        </w:tc>
      </w:tr>
      <w:tr>
        <w:tc>
          <w:tcPr>
            <w:tcW w:type="dxa" w:w="1560"/>
          </w:tcPr>
          <w:p>
            <w:pPr>
              <w:spacing w:after="0"/>
            </w:pPr>
            <w:r/>
            <w:r>
              <w:rPr>
                <w:sz w:val="17"/>
              </w:rPr>
              <w:t>M-2Y</w:t>
            </w:r>
          </w:p>
        </w:tc>
        <w:tc>
          <w:tcPr>
            <w:tcW w:type="dxa" w:w="1560"/>
          </w:tcPr>
          <w:p>
            <w:pPr>
              <w:spacing w:after="0"/>
            </w:pPr>
            <w:r/>
            <w:r>
              <w:rPr>
                <w:sz w:val="17"/>
              </w:rPr>
              <w:t>Macro / market</w:t>
            </w:r>
          </w:p>
        </w:tc>
        <w:tc>
          <w:tcPr>
            <w:tcW w:type="dxa" w:w="1560"/>
          </w:tcPr>
          <w:p>
            <w:pPr>
              <w:spacing w:after="0"/>
            </w:pPr>
            <w:r/>
            <w:r>
              <w:rPr>
                <w:sz w:val="17"/>
              </w:rPr>
              <w:t>2Y Treasury</w:t>
            </w:r>
          </w:p>
        </w:tc>
        <w:tc>
          <w:tcPr>
            <w:tcW w:type="dxa" w:w="1560"/>
          </w:tcPr>
          <w:p>
            <w:pPr>
              <w:spacing w:after="0"/>
            </w:pPr>
            <w:r/>
            <w:r>
              <w:rPr>
                <w:sz w:val="17"/>
              </w:rPr>
              <w:t>0.0440</w:t>
            </w:r>
          </w:p>
        </w:tc>
        <w:tc>
          <w:tcPr>
            <w:tcW w:type="dxa" w:w="1560"/>
          </w:tcPr>
          <w:p>
            <w:pPr>
              <w:spacing w:after="0"/>
            </w:pPr>
            <w:r/>
            <w:r>
              <w:rPr>
                <w:sz w:val="17"/>
              </w:rPr>
              <w:t>rate</w:t>
            </w:r>
          </w:p>
        </w:tc>
        <w:tc>
          <w:tcPr>
            <w:tcW w:type="dxa" w:w="1560"/>
          </w:tcPr>
          <w:p>
            <w:pPr>
              <w:spacing w:after="0"/>
            </w:pPr>
            <w:r/>
            <w:r>
              <w:rPr>
                <w:sz w:val="17"/>
              </w:rPr>
              <w:t>FRED 4.392% Sep 1 2026</w:t>
            </w:r>
          </w:p>
        </w:tc>
      </w:tr>
      <w:tr>
        <w:tc>
          <w:tcPr>
            <w:tcW w:type="dxa" w:w="1560"/>
            <w:shd w:val="clear" w:color="auto" w:fill="EDF1F5"/>
          </w:tcPr>
          <w:p>
            <w:pPr>
              <w:spacing w:after="0"/>
            </w:pPr>
            <w:r/>
            <w:r>
              <w:rPr>
                <w:sz w:val="17"/>
              </w:rPr>
              <w:t>M-30Y</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30Y Treasury</w:t>
            </w:r>
          </w:p>
        </w:tc>
        <w:tc>
          <w:tcPr>
            <w:tcW w:type="dxa" w:w="1560"/>
            <w:shd w:val="clear" w:color="auto" w:fill="EDF1F5"/>
          </w:tcPr>
          <w:p>
            <w:pPr>
              <w:spacing w:after="0"/>
            </w:pPr>
            <w:r/>
            <w:r>
              <w:rPr>
                <w:sz w:val="17"/>
              </w:rPr>
              <w:t>0.0527</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FRED/WSJ 5.27% Sep 1 2026</w:t>
            </w:r>
          </w:p>
        </w:tc>
      </w:tr>
      <w:tr>
        <w:tc>
          <w:tcPr>
            <w:tcW w:type="dxa" w:w="1560"/>
          </w:tcPr>
          <w:p>
            <w:pPr>
              <w:spacing w:after="0"/>
            </w:pPr>
            <w:r/>
            <w:r>
              <w:rPr>
                <w:sz w:val="17"/>
              </w:rPr>
              <w:t>M-TGR</w:t>
            </w:r>
          </w:p>
        </w:tc>
        <w:tc>
          <w:tcPr>
            <w:tcW w:type="dxa" w:w="1560"/>
          </w:tcPr>
          <w:p>
            <w:pPr>
              <w:spacing w:after="0"/>
            </w:pPr>
            <w:r/>
            <w:r>
              <w:rPr>
                <w:sz w:val="17"/>
              </w:rPr>
              <w:t>Macro / market</w:t>
            </w:r>
          </w:p>
        </w:tc>
        <w:tc>
          <w:tcPr>
            <w:tcW w:type="dxa" w:w="1560"/>
          </w:tcPr>
          <w:p>
            <w:pPr>
              <w:spacing w:after="0"/>
            </w:pPr>
            <w:r/>
            <w:r>
              <w:rPr>
                <w:sz w:val="17"/>
              </w:rPr>
              <w:t>Terminal growth rate</w:t>
            </w:r>
          </w:p>
        </w:tc>
        <w:tc>
          <w:tcPr>
            <w:tcW w:type="dxa" w:w="1560"/>
          </w:tcPr>
          <w:p>
            <w:pPr>
              <w:spacing w:after="0"/>
            </w:pPr>
            <w:r/>
            <w:r>
              <w:rPr>
                <w:sz w:val="17"/>
              </w:rPr>
              <w:t>0.025</w:t>
            </w:r>
          </w:p>
        </w:tc>
        <w:tc>
          <w:tcPr>
            <w:tcW w:type="dxa" w:w="1560"/>
          </w:tcPr>
          <w:p>
            <w:pPr>
              <w:spacing w:after="0"/>
            </w:pPr>
            <w:r/>
            <w:r>
              <w:rPr>
                <w:sz w:val="17"/>
              </w:rPr>
              <w:t>rate</w:t>
            </w:r>
          </w:p>
        </w:tc>
        <w:tc>
          <w:tcPr>
            <w:tcW w:type="dxa" w:w="1560"/>
          </w:tcPr>
          <w:p>
            <w:pPr>
              <w:spacing w:after="0"/>
            </w:pPr>
            <w:r/>
            <w:r>
              <w:rPr>
                <w:sz w:val="17"/>
              </w:rPr>
              <w:t>Standard conservative assumption (below long-run nominal GDP)</w:t>
            </w:r>
          </w:p>
        </w:tc>
      </w:tr>
      <w:tr>
        <w:tc>
          <w:tcPr>
            <w:tcW w:type="dxa" w:w="1560"/>
            <w:shd w:val="clear" w:color="auto" w:fill="EDF1F5"/>
          </w:tcPr>
          <w:p>
            <w:pPr>
              <w:spacing w:after="0"/>
            </w:pPr>
            <w:r/>
            <w:r>
              <w:rPr>
                <w:sz w:val="17"/>
              </w:rPr>
              <w:t>M-BUB</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Bubble index threshold</w:t>
            </w:r>
          </w:p>
        </w:tc>
        <w:tc>
          <w:tcPr>
            <w:tcW w:type="dxa" w:w="1560"/>
            <w:shd w:val="clear" w:color="auto" w:fill="EDF1F5"/>
          </w:tcPr>
          <w:p>
            <w:pPr>
              <w:spacing w:after="0"/>
            </w:pPr>
            <w:r/>
            <w:r>
              <w:rPr>
                <w:sz w:val="17"/>
              </w:rPr>
              <w:t>75.0</w:t>
            </w:r>
          </w:p>
        </w:tc>
        <w:tc>
          <w:tcPr>
            <w:tcW w:type="dxa" w:w="1560"/>
            <w:shd w:val="clear" w:color="auto" w:fill="EDF1F5"/>
          </w:tcPr>
          <w:p>
            <w:pPr>
              <w:spacing w:after="0"/>
            </w:pPr>
            <w:r/>
            <w:r>
              <w:rPr>
                <w:sz w:val="17"/>
              </w:rPr>
              <w:t>index points</w:t>
            </w:r>
          </w:p>
        </w:tc>
        <w:tc>
          <w:tcPr>
            <w:tcW w:type="dxa" w:w="1560"/>
            <w:shd w:val="clear" w:color="auto" w:fill="EDF1F5"/>
          </w:tcPr>
          <w:p>
            <w:pPr>
              <w:spacing w:after="0"/>
            </w:pPr>
            <w:r/>
            <w:r>
              <w:rPr>
                <w:sz w:val="17"/>
              </w:rPr>
              <w:t>Calibration threshold</w:t>
            </w:r>
          </w:p>
        </w:tc>
      </w:tr>
      <w:tr>
        <w:tc>
          <w:tcPr>
            <w:tcW w:type="dxa" w:w="1560"/>
          </w:tcPr>
          <w:p>
            <w:pPr>
              <w:spacing w:after="0"/>
            </w:pPr>
            <w:r/>
            <w:r>
              <w:rPr>
                <w:sz w:val="17"/>
              </w:rPr>
              <w:t>M-DC2050</w:t>
            </w:r>
          </w:p>
        </w:tc>
        <w:tc>
          <w:tcPr>
            <w:tcW w:type="dxa" w:w="1560"/>
          </w:tcPr>
          <w:p>
            <w:pPr>
              <w:spacing w:after="0"/>
            </w:pPr>
            <w:r/>
            <w:r>
              <w:rPr>
                <w:sz w:val="17"/>
              </w:rPr>
              <w:t>Macro / market</w:t>
            </w:r>
          </w:p>
        </w:tc>
        <w:tc>
          <w:tcPr>
            <w:tcW w:type="dxa" w:w="1560"/>
          </w:tcPr>
          <w:p>
            <w:pPr>
              <w:spacing w:after="0"/>
            </w:pPr>
            <w:r/>
            <w:r>
              <w:rPr>
                <w:sz w:val="17"/>
              </w:rPr>
              <w:t>Data-center spend to 2050</w:t>
            </w:r>
          </w:p>
        </w:tc>
        <w:tc>
          <w:tcPr>
            <w:tcW w:type="dxa" w:w="1560"/>
          </w:tcPr>
          <w:p>
            <w:pPr>
              <w:spacing w:after="0"/>
            </w:pPr>
            <w:r/>
            <w:r>
              <w:rPr>
                <w:sz w:val="17"/>
              </w:rPr>
              <w:t>31.6</w:t>
            </w:r>
          </w:p>
        </w:tc>
        <w:tc>
          <w:tcPr>
            <w:tcW w:type="dxa" w:w="1560"/>
          </w:tcPr>
          <w:p>
            <w:pPr>
              <w:spacing w:after="0"/>
            </w:pPr>
            <w:r/>
            <w:r>
              <w:rPr>
                <w:sz w:val="17"/>
              </w:rPr>
              <w:t>$T</w:t>
            </w:r>
          </w:p>
        </w:tc>
        <w:tc>
          <w:tcPr>
            <w:tcW w:type="dxa" w:w="1560"/>
          </w:tcPr>
          <w:p>
            <w:pPr>
              <w:spacing w:after="0"/>
            </w:pPr>
            <w:r/>
            <w:r>
              <w:rPr>
                <w:sz w:val="17"/>
              </w:rPr>
              <w:t>PwC Global Data Center Outlook 2026-50, central (Oxford Economics)</w:t>
            </w:r>
          </w:p>
        </w:tc>
      </w:tr>
      <w:tr>
        <w:tc>
          <w:tcPr>
            <w:tcW w:type="dxa" w:w="1560"/>
            <w:shd w:val="clear" w:color="auto" w:fill="EDF1F5"/>
          </w:tcPr>
          <w:p>
            <w:pPr>
              <w:spacing w:after="0"/>
            </w:pPr>
            <w:r/>
            <w:r>
              <w:rPr>
                <w:sz w:val="17"/>
              </w:rPr>
              <w:t>M-MCAP</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Total AI market cap</w:t>
            </w:r>
          </w:p>
        </w:tc>
        <w:tc>
          <w:tcPr>
            <w:tcW w:type="dxa" w:w="1560"/>
            <w:shd w:val="clear" w:color="auto" w:fill="EDF1F5"/>
          </w:tcPr>
          <w:p>
            <w:pPr>
              <w:spacing w:after="0"/>
            </w:pPr>
            <w:r/>
            <w:r>
              <w:rPr>
                <w:sz w:val="17"/>
              </w:rPr>
              <w:t>23181.0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Exact sum of validated archetype valuations</w:t>
            </w:r>
          </w:p>
        </w:tc>
      </w:tr>
      <w:tr>
        <w:tc>
          <w:tcPr>
            <w:tcW w:type="dxa" w:w="1560"/>
          </w:tcPr>
          <w:p>
            <w:pPr>
              <w:spacing w:after="0"/>
            </w:pPr>
            <w:r/>
            <w:r>
              <w:rPr>
                <w:sz w:val="17"/>
              </w:rPr>
              <w:t>M-CIRCEXP</w:t>
            </w:r>
          </w:p>
        </w:tc>
        <w:tc>
          <w:tcPr>
            <w:tcW w:type="dxa" w:w="1560"/>
          </w:tcPr>
          <w:p>
            <w:pPr>
              <w:spacing w:after="0"/>
            </w:pPr>
            <w:r/>
            <w:r>
              <w:rPr>
                <w:sz w:val="17"/>
              </w:rPr>
              <w:t>Macro / market</w:t>
            </w:r>
          </w:p>
        </w:tc>
        <w:tc>
          <w:tcPr>
            <w:tcW w:type="dxa" w:w="1560"/>
          </w:tcPr>
          <w:p>
            <w:pPr>
              <w:spacing w:after="0"/>
            </w:pPr>
            <w:r/>
            <w:r>
              <w:rPr>
                <w:sz w:val="17"/>
              </w:rPr>
              <w:t>Circular exposure (committed)</w:t>
            </w:r>
          </w:p>
        </w:tc>
        <w:tc>
          <w:tcPr>
            <w:tcW w:type="dxa" w:w="1560"/>
          </w:tcPr>
          <w:p>
            <w:pPr>
              <w:spacing w:after="0"/>
            </w:pPr>
            <w:r/>
            <w:r>
              <w:rPr>
                <w:sz w:val="17"/>
              </w:rPr>
              <w:t>675.40</w:t>
            </w:r>
          </w:p>
        </w:tc>
        <w:tc>
          <w:tcPr>
            <w:tcW w:type="dxa" w:w="1560"/>
          </w:tcPr>
          <w:p>
            <w:pPr>
              <w:spacing w:after="0"/>
            </w:pPr>
            <w:r/>
            <w:r>
              <w:rPr>
                <w:sz w:val="17"/>
              </w:rPr>
              <w:t>$B</w:t>
            </w:r>
          </w:p>
        </w:tc>
        <w:tc>
          <w:tcPr>
            <w:tcW w:type="dxa" w:w="1560"/>
          </w:tcPr>
          <w:p>
            <w:pPr>
              <w:spacing w:after="0"/>
            </w:pPr>
            <w:r/>
            <w:r>
              <w:rPr>
                <w:sz w:val="17"/>
              </w:rPr>
              <w:t>Committed dependency-frame sum (17 of 19 tracked rows; $500B MOU facility prospective + $12.93B HF acquisition vertical-integration tracked in D-rows, excluded)</w:t>
            </w:r>
          </w:p>
        </w:tc>
      </w:tr>
      <w:tr>
        <w:tc>
          <w:tcPr>
            <w:tcW w:type="dxa" w:w="1560"/>
            <w:shd w:val="clear" w:color="auto" w:fill="EDF1F5"/>
          </w:tcPr>
          <w:p>
            <w:pPr>
              <w:spacing w:after="0"/>
            </w:pPr>
            <w:r/>
            <w:r>
              <w:rPr>
                <w:sz w:val="17"/>
              </w:rPr>
              <w:t>M-NVPF</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NVIDIA equity portfolio</w:t>
            </w:r>
          </w:p>
        </w:tc>
        <w:tc>
          <w:tcPr>
            <w:tcW w:type="dxa" w:w="1560"/>
            <w:shd w:val="clear" w:color="auto" w:fill="EDF1F5"/>
          </w:tcPr>
          <w:p>
            <w:pPr>
              <w:spacing w:after="0"/>
            </w:pPr>
            <w:r/>
            <w:r>
              <w:rPr>
                <w:sz w:val="17"/>
              </w:rPr>
              <w:t>99.0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NVDA 10-Q Jul 26 2026 (~$99B)</w:t>
            </w:r>
          </w:p>
        </w:tc>
      </w:tr>
      <w:tr>
        <w:tc>
          <w:tcPr>
            <w:tcW w:type="dxa" w:w="1560"/>
          </w:tcPr>
          <w:p>
            <w:pPr>
              <w:spacing w:after="0"/>
            </w:pPr>
            <w:r/>
            <w:r>
              <w:rPr>
                <w:sz w:val="17"/>
              </w:rPr>
              <w:t>M-DWL</w:t>
            </w:r>
          </w:p>
        </w:tc>
        <w:tc>
          <w:tcPr>
            <w:tcW w:type="dxa" w:w="1560"/>
          </w:tcPr>
          <w:p>
            <w:pPr>
              <w:spacing w:after="0"/>
            </w:pPr>
            <w:r/>
            <w:r>
              <w:rPr>
                <w:sz w:val="17"/>
              </w:rPr>
              <w:t>Macro / market</w:t>
            </w:r>
          </w:p>
        </w:tc>
        <w:tc>
          <w:tcPr>
            <w:tcW w:type="dxa" w:w="1560"/>
          </w:tcPr>
          <w:p>
            <w:pPr>
              <w:spacing w:after="0"/>
            </w:pPr>
            <w:r/>
            <w:r>
              <w:rPr>
                <w:sz w:val="17"/>
              </w:rPr>
              <w:t>Top-down market DWL share</w:t>
            </w:r>
          </w:p>
        </w:tc>
        <w:tc>
          <w:tcPr>
            <w:tcW w:type="dxa" w:w="1560"/>
          </w:tcPr>
          <w:p>
            <w:pPr>
              <w:spacing w:after="0"/>
            </w:pPr>
            <w:r/>
            <w:r>
              <w:rPr>
                <w:sz w:val="17"/>
              </w:rPr>
              <w:t>28.72</w:t>
            </w:r>
          </w:p>
        </w:tc>
        <w:tc>
          <w:tcPr>
            <w:tcW w:type="dxa" w:w="1560"/>
          </w:tcPr>
          <w:p>
            <w:pPr>
              <w:spacing w:after="0"/>
            </w:pPr>
            <w:r/>
            <w:r>
              <w:rPr>
                <w:sz w:val="17"/>
              </w:rPr>
              <w:t>%</w:t>
            </w:r>
          </w:p>
        </w:tc>
        <w:tc>
          <w:tcPr>
            <w:tcW w:type="dxa" w:w="1560"/>
          </w:tcPr>
          <w:p>
            <w:pPr>
              <w:spacing w:after="0"/>
            </w:pPr>
            <w:r/>
            <w:r>
              <w:rPr>
                <w:sz w:val="17"/>
              </w:rPr>
              <w:t>estimate_market_dwl_pct() (see Section 4 header)</w:t>
            </w:r>
          </w:p>
        </w:tc>
      </w:tr>
      <w:tr>
        <w:tc>
          <w:tcPr>
            <w:tcW w:type="dxa" w:w="1560"/>
            <w:shd w:val="clear" w:color="auto" w:fill="EDF1F5"/>
          </w:tcPr>
          <w:p>
            <w:pPr>
              <w:spacing w:after="0"/>
            </w:pPr>
            <w:r/>
            <w:r>
              <w:rPr>
                <w:sz w:val="17"/>
              </w:rPr>
              <w:t>S-EVNORM</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EV/Revenue norm</w:t>
            </w:r>
          </w:p>
        </w:tc>
        <w:tc>
          <w:tcPr>
            <w:tcW w:type="dxa" w:w="1560"/>
            <w:shd w:val="clear" w:color="auto" w:fill="EDF1F5"/>
          </w:tcPr>
          <w:p>
            <w:pPr>
              <w:spacing w:after="0"/>
            </w:pPr>
            <w:r/>
            <w:r>
              <w:rPr>
                <w:sz w:val="17"/>
              </w:rPr>
              <w:t>6.0</w:t>
            </w:r>
          </w:p>
        </w:tc>
        <w:tc>
          <w:tcPr>
            <w:tcW w:type="dxa" w:w="1560"/>
            <w:shd w:val="clear" w:color="auto" w:fill="EDF1F5"/>
          </w:tcPr>
          <w:p>
            <w:pPr>
              <w:spacing w:after="0"/>
            </w:pPr>
            <w:r/>
            <w:r>
              <w:rPr>
                <w:sz w:val="17"/>
              </w:rPr>
              <w:t>multiple</w:t>
            </w:r>
          </w:p>
        </w:tc>
        <w:tc>
          <w:tcPr>
            <w:tcW w:type="dxa" w:w="1560"/>
            <w:shd w:val="clear" w:color="auto" w:fill="EDF1F5"/>
          </w:tcPr>
          <w:p>
            <w:pPr>
              <w:spacing w:after="0"/>
            </w:pPr>
            <w:r/>
            <w:r>
              <w:rPr>
                <w:sz w:val="17"/>
              </w:rPr>
              <w:t>Conservative bubble threshold (S&amp;P 500 P/S record 3.83 Aug 2026; AI archetypes 15-26x)</w:t>
            </w:r>
          </w:p>
        </w:tc>
      </w:tr>
      <w:tr>
        <w:tc>
          <w:tcPr>
            <w:tcW w:type="dxa" w:w="1560"/>
          </w:tcPr>
          <w:p>
            <w:pPr>
              <w:spacing w:after="0"/>
            </w:pPr>
            <w:r/>
            <w:r>
              <w:rPr>
                <w:sz w:val="17"/>
              </w:rPr>
              <w:t>S-AIS-HA</w:t>
            </w:r>
          </w:p>
        </w:tc>
        <w:tc>
          <w:tcPr>
            <w:tcW w:type="dxa" w:w="1560"/>
          </w:tcPr>
          <w:p>
            <w:pPr>
              <w:spacing w:after="0"/>
            </w:pPr>
            <w:r/>
            <w:r>
              <w:rPr>
                <w:sz w:val="17"/>
              </w:rPr>
              <w:t>Bubble-block scenario</w:t>
            </w:r>
          </w:p>
        </w:tc>
        <w:tc>
          <w:tcPr>
            <w:tcW w:type="dxa" w:w="1560"/>
          </w:tcPr>
          <w:p>
            <w:pPr>
              <w:spacing w:after="0"/>
            </w:pPr>
            <w:r/>
            <w:r>
              <w:rPr>
                <w:sz w:val="17"/>
              </w:rPr>
              <w:t>AI revenue share: Hardware</w:t>
            </w:r>
          </w:p>
        </w:tc>
        <w:tc>
          <w:tcPr>
            <w:tcW w:type="dxa" w:w="1560"/>
          </w:tcPr>
          <w:p>
            <w:pPr>
              <w:spacing w:after="0"/>
            </w:pPr>
            <w:r/>
            <w:r>
              <w:rPr>
                <w:sz w:val="17"/>
              </w:rPr>
              <w:t>0.8</w:t>
            </w:r>
          </w:p>
        </w:tc>
        <w:tc>
          <w:tcPr>
            <w:tcW w:type="dxa" w:w="1560"/>
          </w:tcPr>
          <w:p>
            <w:pPr>
              <w:spacing w:after="0"/>
            </w:pPr>
            <w:r/>
            <w:r>
              <w:rPr>
                <w:sz w:val="17"/>
              </w:rPr>
              <w:t>share</w:t>
            </w:r>
          </w:p>
        </w:tc>
        <w:tc>
          <w:tcPr>
            <w:tcW w:type="dxa" w:w="1560"/>
          </w:tcPr>
          <w:p>
            <w:pPr>
              <w:spacing w:after="0"/>
            </w:pPr>
            <w:r/>
            <w:r>
              <w:rPr>
                <w:sz w:val="17"/>
              </w:rPr>
              <w:t>Scenario parameter: cloud majority non-AI; FM/wrappers pure-play</w:t>
            </w:r>
          </w:p>
        </w:tc>
      </w:tr>
      <w:tr>
        <w:tc>
          <w:tcPr>
            <w:tcW w:type="dxa" w:w="1560"/>
            <w:shd w:val="clear" w:color="auto" w:fill="EDF1F5"/>
          </w:tcPr>
          <w:p>
            <w:pPr>
              <w:spacing w:after="0"/>
            </w:pPr>
            <w:r/>
            <w:r>
              <w:rPr>
                <w:sz w:val="17"/>
              </w:rPr>
              <w:t>S-AIS-CL</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AI revenue share: Cloud Providers</w:t>
            </w:r>
          </w:p>
        </w:tc>
        <w:tc>
          <w:tcPr>
            <w:tcW w:type="dxa" w:w="1560"/>
            <w:shd w:val="clear" w:color="auto" w:fill="EDF1F5"/>
          </w:tcPr>
          <w:p>
            <w:pPr>
              <w:spacing w:after="0"/>
            </w:pPr>
            <w:r/>
            <w:r>
              <w:rPr>
                <w:sz w:val="17"/>
              </w:rPr>
              <w:t>0.3</w:t>
            </w:r>
          </w:p>
        </w:tc>
        <w:tc>
          <w:tcPr>
            <w:tcW w:type="dxa" w:w="1560"/>
            <w:shd w:val="clear" w:color="auto" w:fill="EDF1F5"/>
          </w:tcPr>
          <w:p>
            <w:pPr>
              <w:spacing w:after="0"/>
            </w:pPr>
            <w:r/>
            <w:r>
              <w:rPr>
                <w:sz w:val="17"/>
              </w:rPr>
              <w:t>share</w:t>
            </w:r>
          </w:p>
        </w:tc>
        <w:tc>
          <w:tcPr>
            <w:tcW w:type="dxa" w:w="1560"/>
            <w:shd w:val="clear" w:color="auto" w:fill="EDF1F5"/>
          </w:tcPr>
          <w:p>
            <w:pPr>
              <w:spacing w:after="0"/>
            </w:pPr>
            <w:r/>
            <w:r>
              <w:rPr>
                <w:sz w:val="17"/>
              </w:rPr>
              <w:t>Scenario parameter: cloud majority non-AI; FM/wrappers pure-play</w:t>
            </w:r>
          </w:p>
        </w:tc>
      </w:tr>
      <w:tr>
        <w:tc>
          <w:tcPr>
            <w:tcW w:type="dxa" w:w="1560"/>
          </w:tcPr>
          <w:p>
            <w:pPr>
              <w:spacing w:after="0"/>
            </w:pPr>
            <w:r/>
            <w:r>
              <w:rPr>
                <w:sz w:val="17"/>
              </w:rPr>
              <w:t>S-AIS-FO</w:t>
            </w:r>
          </w:p>
        </w:tc>
        <w:tc>
          <w:tcPr>
            <w:tcW w:type="dxa" w:w="1560"/>
          </w:tcPr>
          <w:p>
            <w:pPr>
              <w:spacing w:after="0"/>
            </w:pPr>
            <w:r/>
            <w:r>
              <w:rPr>
                <w:sz w:val="17"/>
              </w:rPr>
              <w:t>Bubble-block scenario</w:t>
            </w:r>
          </w:p>
        </w:tc>
        <w:tc>
          <w:tcPr>
            <w:tcW w:type="dxa" w:w="1560"/>
          </w:tcPr>
          <w:p>
            <w:pPr>
              <w:spacing w:after="0"/>
            </w:pPr>
            <w:r/>
            <w:r>
              <w:rPr>
                <w:sz w:val="17"/>
              </w:rPr>
              <w:t>AI revenue share: Foundation Models</w:t>
            </w:r>
          </w:p>
        </w:tc>
        <w:tc>
          <w:tcPr>
            <w:tcW w:type="dxa" w:w="1560"/>
          </w:tcPr>
          <w:p>
            <w:pPr>
              <w:spacing w:after="0"/>
            </w:pPr>
            <w:r/>
            <w:r>
              <w:rPr>
                <w:sz w:val="17"/>
              </w:rPr>
              <w:t>1.0</w:t>
            </w:r>
          </w:p>
        </w:tc>
        <w:tc>
          <w:tcPr>
            <w:tcW w:type="dxa" w:w="1560"/>
          </w:tcPr>
          <w:p>
            <w:pPr>
              <w:spacing w:after="0"/>
            </w:pPr>
            <w:r/>
            <w:r>
              <w:rPr>
                <w:sz w:val="17"/>
              </w:rPr>
              <w:t>share</w:t>
            </w:r>
          </w:p>
        </w:tc>
        <w:tc>
          <w:tcPr>
            <w:tcW w:type="dxa" w:w="1560"/>
          </w:tcPr>
          <w:p>
            <w:pPr>
              <w:spacing w:after="0"/>
            </w:pPr>
            <w:r/>
            <w:r>
              <w:rPr>
                <w:sz w:val="17"/>
              </w:rPr>
              <w:t>Scenario parameter: cloud majority non-AI; FM/wrappers pure-play</w:t>
            </w:r>
          </w:p>
        </w:tc>
      </w:tr>
      <w:tr>
        <w:tc>
          <w:tcPr>
            <w:tcW w:type="dxa" w:w="1560"/>
            <w:shd w:val="clear" w:color="auto" w:fill="EDF1F5"/>
          </w:tcPr>
          <w:p>
            <w:pPr>
              <w:spacing w:after="0"/>
            </w:pPr>
            <w:r/>
            <w:r>
              <w:rPr>
                <w:sz w:val="17"/>
              </w:rPr>
              <w:t>S-AIS-LL</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AI revenue share: LLM Wrappers</w:t>
            </w:r>
          </w:p>
        </w:tc>
        <w:tc>
          <w:tcPr>
            <w:tcW w:type="dxa" w:w="1560"/>
            <w:shd w:val="clear" w:color="auto" w:fill="EDF1F5"/>
          </w:tcPr>
          <w:p>
            <w:pPr>
              <w:spacing w:after="0"/>
            </w:pPr>
            <w:r/>
            <w:r>
              <w:rPr>
                <w:sz w:val="17"/>
              </w:rPr>
              <w:t>1.0</w:t>
            </w:r>
          </w:p>
        </w:tc>
        <w:tc>
          <w:tcPr>
            <w:tcW w:type="dxa" w:w="1560"/>
            <w:shd w:val="clear" w:color="auto" w:fill="EDF1F5"/>
          </w:tcPr>
          <w:p>
            <w:pPr>
              <w:spacing w:after="0"/>
            </w:pPr>
            <w:r/>
            <w:r>
              <w:rPr>
                <w:sz w:val="17"/>
              </w:rPr>
              <w:t>share</w:t>
            </w:r>
          </w:p>
        </w:tc>
        <w:tc>
          <w:tcPr>
            <w:tcW w:type="dxa" w:w="1560"/>
            <w:shd w:val="clear" w:color="auto" w:fill="EDF1F5"/>
          </w:tcPr>
          <w:p>
            <w:pPr>
              <w:spacing w:after="0"/>
            </w:pPr>
            <w:r/>
            <w:r>
              <w:rPr>
                <w:sz w:val="17"/>
              </w:rPr>
              <w:t>Scenario parameter: cloud majority non-AI; FM/wrappers pure-play</w:t>
            </w:r>
          </w:p>
        </w:tc>
      </w:tr>
      <w:tr>
        <w:tc>
          <w:tcPr>
            <w:tcW w:type="dxa" w:w="1560"/>
          </w:tcPr>
          <w:p>
            <w:pPr>
              <w:spacing w:after="0"/>
            </w:pPr>
            <w:r/>
            <w:r>
              <w:rPr>
                <w:sz w:val="17"/>
              </w:rPr>
              <w:t>S-CAPX-HA</w:t>
            </w:r>
          </w:p>
        </w:tc>
        <w:tc>
          <w:tcPr>
            <w:tcW w:type="dxa" w:w="1560"/>
          </w:tcPr>
          <w:p>
            <w:pPr>
              <w:spacing w:after="0"/>
            </w:pPr>
            <w:r/>
            <w:r>
              <w:rPr>
                <w:sz w:val="17"/>
              </w:rPr>
              <w:t>Bubble-block scenario</w:t>
            </w:r>
          </w:p>
        </w:tc>
        <w:tc>
          <w:tcPr>
            <w:tcW w:type="dxa" w:w="1560"/>
          </w:tcPr>
          <w:p>
            <w:pPr>
              <w:spacing w:after="0"/>
            </w:pPr>
            <w:r/>
            <w:r>
              <w:rPr>
                <w:sz w:val="17"/>
              </w:rPr>
              <w:t>Capex intensity: Hardware</w:t>
            </w:r>
          </w:p>
        </w:tc>
        <w:tc>
          <w:tcPr>
            <w:tcW w:type="dxa" w:w="1560"/>
          </w:tcPr>
          <w:p>
            <w:pPr>
              <w:spacing w:after="0"/>
            </w:pPr>
            <w:r/>
            <w:r>
              <w:rPr>
                <w:sz w:val="17"/>
              </w:rPr>
              <w:t>0.9</w:t>
            </w:r>
          </w:p>
        </w:tc>
        <w:tc>
          <w:tcPr>
            <w:tcW w:type="dxa" w:w="1560"/>
          </w:tcPr>
          <w:p>
            <w:pPr>
              <w:spacing w:after="0"/>
            </w:pPr>
            <w:r/>
            <w:r>
              <w:rPr>
                <w:sz w:val="17"/>
              </w:rPr>
              <w:t>index</w:t>
            </w:r>
          </w:p>
        </w:tc>
        <w:tc>
          <w:tcPr>
            <w:tcW w:type="dxa" w:w="1560"/>
          </w:tcPr>
          <w:p>
            <w:pPr>
              <w:spacing w:after="0"/>
            </w:pPr>
            <w:r/>
            <w:r>
              <w:rPr>
                <w:sz w:val="17"/>
              </w:rPr>
              <w:t>Scenario parameter: foundry/GPU build-out is Hardware-heavy</w:t>
            </w:r>
          </w:p>
        </w:tc>
      </w:tr>
      <w:tr>
        <w:tc>
          <w:tcPr>
            <w:tcW w:type="dxa" w:w="1560"/>
            <w:shd w:val="clear" w:color="auto" w:fill="EDF1F5"/>
          </w:tcPr>
          <w:p>
            <w:pPr>
              <w:spacing w:after="0"/>
            </w:pPr>
            <w:r/>
            <w:r>
              <w:rPr>
                <w:sz w:val="17"/>
              </w:rPr>
              <w:t>S-CAPX-CL</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Capex intensity: Cloud Providers</w:t>
            </w:r>
          </w:p>
        </w:tc>
        <w:tc>
          <w:tcPr>
            <w:tcW w:type="dxa" w:w="1560"/>
            <w:shd w:val="clear" w:color="auto" w:fill="EDF1F5"/>
          </w:tcPr>
          <w:p>
            <w:pPr>
              <w:spacing w:after="0"/>
            </w:pPr>
            <w:r/>
            <w:r>
              <w:rPr>
                <w:sz w:val="17"/>
              </w:rPr>
              <w:t>0.6</w:t>
            </w:r>
          </w:p>
        </w:tc>
        <w:tc>
          <w:tcPr>
            <w:tcW w:type="dxa" w:w="1560"/>
            <w:shd w:val="clear" w:color="auto" w:fill="EDF1F5"/>
          </w:tcPr>
          <w:p>
            <w:pPr>
              <w:spacing w:after="0"/>
            </w:pPr>
            <w:r/>
            <w:r>
              <w:rPr>
                <w:sz w:val="17"/>
              </w:rPr>
              <w:t>index</w:t>
            </w:r>
          </w:p>
        </w:tc>
        <w:tc>
          <w:tcPr>
            <w:tcW w:type="dxa" w:w="1560"/>
            <w:shd w:val="clear" w:color="auto" w:fill="EDF1F5"/>
          </w:tcPr>
          <w:p>
            <w:pPr>
              <w:spacing w:after="0"/>
            </w:pPr>
            <w:r/>
            <w:r>
              <w:rPr>
                <w:sz w:val="17"/>
              </w:rPr>
              <w:t>Scenario parameter: foundry/GPU build-out is Hardware-heavy</w:t>
            </w:r>
          </w:p>
        </w:tc>
      </w:tr>
      <w:tr>
        <w:tc>
          <w:tcPr>
            <w:tcW w:type="dxa" w:w="1560"/>
          </w:tcPr>
          <w:p>
            <w:pPr>
              <w:spacing w:after="0"/>
            </w:pPr>
            <w:r/>
            <w:r>
              <w:rPr>
                <w:sz w:val="17"/>
              </w:rPr>
              <w:t>S-CAPX-FO</w:t>
            </w:r>
          </w:p>
        </w:tc>
        <w:tc>
          <w:tcPr>
            <w:tcW w:type="dxa" w:w="1560"/>
          </w:tcPr>
          <w:p>
            <w:pPr>
              <w:spacing w:after="0"/>
            </w:pPr>
            <w:r/>
            <w:r>
              <w:rPr>
                <w:sz w:val="17"/>
              </w:rPr>
              <w:t>Bubble-block scenario</w:t>
            </w:r>
          </w:p>
        </w:tc>
        <w:tc>
          <w:tcPr>
            <w:tcW w:type="dxa" w:w="1560"/>
          </w:tcPr>
          <w:p>
            <w:pPr>
              <w:spacing w:after="0"/>
            </w:pPr>
            <w:r/>
            <w:r>
              <w:rPr>
                <w:sz w:val="17"/>
              </w:rPr>
              <w:t>Capex intensity: Foundation Models</w:t>
            </w:r>
          </w:p>
        </w:tc>
        <w:tc>
          <w:tcPr>
            <w:tcW w:type="dxa" w:w="1560"/>
          </w:tcPr>
          <w:p>
            <w:pPr>
              <w:spacing w:after="0"/>
            </w:pPr>
            <w:r/>
            <w:r>
              <w:rPr>
                <w:sz w:val="17"/>
              </w:rPr>
              <w:t>0.7</w:t>
            </w:r>
          </w:p>
        </w:tc>
        <w:tc>
          <w:tcPr>
            <w:tcW w:type="dxa" w:w="1560"/>
          </w:tcPr>
          <w:p>
            <w:pPr>
              <w:spacing w:after="0"/>
            </w:pPr>
            <w:r/>
            <w:r>
              <w:rPr>
                <w:sz w:val="17"/>
              </w:rPr>
              <w:t>index</w:t>
            </w:r>
          </w:p>
        </w:tc>
        <w:tc>
          <w:tcPr>
            <w:tcW w:type="dxa" w:w="1560"/>
          </w:tcPr>
          <w:p>
            <w:pPr>
              <w:spacing w:after="0"/>
            </w:pPr>
            <w:r/>
            <w:r>
              <w:rPr>
                <w:sz w:val="17"/>
              </w:rPr>
              <w:t>Scenario parameter: foundry/GPU build-out is Hardware-heavy</w:t>
            </w:r>
          </w:p>
        </w:tc>
      </w:tr>
      <w:tr>
        <w:tc>
          <w:tcPr>
            <w:tcW w:type="dxa" w:w="1560"/>
            <w:shd w:val="clear" w:color="auto" w:fill="EDF1F5"/>
          </w:tcPr>
          <w:p>
            <w:pPr>
              <w:spacing w:after="0"/>
            </w:pPr>
            <w:r/>
            <w:r>
              <w:rPr>
                <w:sz w:val="17"/>
              </w:rPr>
              <w:t>S-CAPX-LL</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Capex intensity: LLM Wrappers</w:t>
            </w:r>
          </w:p>
        </w:tc>
        <w:tc>
          <w:tcPr>
            <w:tcW w:type="dxa" w:w="1560"/>
            <w:shd w:val="clear" w:color="auto" w:fill="EDF1F5"/>
          </w:tcPr>
          <w:p>
            <w:pPr>
              <w:spacing w:after="0"/>
            </w:pPr>
            <w:r/>
            <w:r>
              <w:rPr>
                <w:sz w:val="17"/>
              </w:rPr>
              <w:t>0.2</w:t>
            </w:r>
          </w:p>
        </w:tc>
        <w:tc>
          <w:tcPr>
            <w:tcW w:type="dxa" w:w="1560"/>
            <w:shd w:val="clear" w:color="auto" w:fill="EDF1F5"/>
          </w:tcPr>
          <w:p>
            <w:pPr>
              <w:spacing w:after="0"/>
            </w:pPr>
            <w:r/>
            <w:r>
              <w:rPr>
                <w:sz w:val="17"/>
              </w:rPr>
              <w:t>index</w:t>
            </w:r>
          </w:p>
        </w:tc>
        <w:tc>
          <w:tcPr>
            <w:tcW w:type="dxa" w:w="1560"/>
            <w:shd w:val="clear" w:color="auto" w:fill="EDF1F5"/>
          </w:tcPr>
          <w:p>
            <w:pPr>
              <w:spacing w:after="0"/>
            </w:pPr>
            <w:r/>
            <w:r>
              <w:rPr>
                <w:sz w:val="17"/>
              </w:rPr>
              <w:t>Scenario parameter: foundry/GPU build-out is Hardware-heavy</w:t>
            </w:r>
          </w:p>
        </w:tc>
      </w:tr>
      <w:tr>
        <w:tc>
          <w:tcPr>
            <w:tcW w:type="dxa" w:w="1560"/>
          </w:tcPr>
          <w:p>
            <w:pPr>
              <w:spacing w:after="0"/>
            </w:pPr>
            <w:r/>
            <w:r>
              <w:rPr>
                <w:sz w:val="17"/>
              </w:rPr>
              <w:t>S-LOGIT0</w:t>
            </w:r>
          </w:p>
        </w:tc>
        <w:tc>
          <w:tcPr>
            <w:tcW w:type="dxa" w:w="1560"/>
          </w:tcPr>
          <w:p>
            <w:pPr>
              <w:spacing w:after="0"/>
            </w:pPr>
            <w:r/>
            <w:r>
              <w:rPr>
                <w:sz w:val="17"/>
              </w:rPr>
              <w:t>Bubble-block scenario</w:t>
            </w:r>
          </w:p>
        </w:tc>
        <w:tc>
          <w:tcPr>
            <w:tcW w:type="dxa" w:w="1560"/>
          </w:tcPr>
          <w:p>
            <w:pPr>
              <w:spacing w:after="0"/>
            </w:pPr>
            <w:r/>
            <w:r>
              <w:rPr>
                <w:sz w:val="17"/>
              </w:rPr>
              <w:t>Formation logit intercept</w:t>
            </w:r>
          </w:p>
        </w:tc>
        <w:tc>
          <w:tcPr>
            <w:tcW w:type="dxa" w:w="1560"/>
          </w:tcPr>
          <w:p>
            <w:pPr>
              <w:spacing w:after="0"/>
            </w:pPr>
            <w:r/>
            <w:r>
              <w:rPr>
                <w:sz w:val="17"/>
              </w:rPr>
              <w:t>-1.2</w:t>
            </w:r>
          </w:p>
        </w:tc>
        <w:tc>
          <w:tcPr>
            <w:tcW w:type="dxa" w:w="1560"/>
          </w:tcPr>
          <w:p>
            <w:pPr>
              <w:spacing w:after="0"/>
            </w:pPr>
            <w:r/>
            <w:r>
              <w:rPr>
                <w:sz w:val="17"/>
              </w:rPr>
              <w:t>logit</w:t>
            </w:r>
          </w:p>
        </w:tc>
        <w:tc>
          <w:tcPr>
            <w:tcW w:type="dxa" w:w="1560"/>
          </w:tcPr>
          <w:p>
            <w:pPr>
              <w:spacing w:after="0"/>
            </w:pPr>
            <w:r/>
            <w:r>
              <w:rPr>
                <w:sz w:val="17"/>
              </w:rPr>
              <w:t>Judgment weights (see R5/A8); circular exposure dominates by mechanism design</w:t>
            </w:r>
          </w:p>
        </w:tc>
      </w:tr>
      <w:tr>
        <w:tc>
          <w:tcPr>
            <w:tcW w:type="dxa" w:w="1560"/>
            <w:shd w:val="clear" w:color="auto" w:fill="EDF1F5"/>
          </w:tcPr>
          <w:p>
            <w:pPr>
              <w:spacing w:after="0"/>
            </w:pPr>
            <w:r/>
            <w:r>
              <w:rPr>
                <w:sz w:val="17"/>
              </w:rPr>
              <w:t>S-LOGIT-w_circ</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Formation logit w_circ</w:t>
            </w:r>
          </w:p>
        </w:tc>
        <w:tc>
          <w:tcPr>
            <w:tcW w:type="dxa" w:w="1560"/>
            <w:shd w:val="clear" w:color="auto" w:fill="EDF1F5"/>
          </w:tcPr>
          <w:p>
            <w:pPr>
              <w:spacing w:after="0"/>
            </w:pPr>
            <w:r/>
            <w:r>
              <w:rPr>
                <w:sz w:val="17"/>
              </w:rPr>
              <w:t>1.6</w:t>
            </w:r>
          </w:p>
        </w:tc>
        <w:tc>
          <w:tcPr>
            <w:tcW w:type="dxa" w:w="1560"/>
            <w:shd w:val="clear" w:color="auto" w:fill="EDF1F5"/>
          </w:tcPr>
          <w:p>
            <w:pPr>
              <w:spacing w:after="0"/>
            </w:pPr>
            <w:r/>
            <w:r>
              <w:rPr>
                <w:sz w:val="17"/>
              </w:rPr>
              <w:t>logit</w:t>
            </w:r>
          </w:p>
        </w:tc>
        <w:tc>
          <w:tcPr>
            <w:tcW w:type="dxa" w:w="1560"/>
            <w:shd w:val="clear" w:color="auto" w:fill="EDF1F5"/>
          </w:tcPr>
          <w:p>
            <w:pPr>
              <w:spacing w:after="0"/>
            </w:pPr>
            <w:r/>
            <w:r>
              <w:rPr>
                <w:sz w:val="17"/>
              </w:rPr>
              <w:t>Judgment weights (see R5/A8); w_open prices the open-weights channel, scenario-only</w:t>
            </w:r>
          </w:p>
        </w:tc>
      </w:tr>
      <w:tr>
        <w:tc>
          <w:tcPr>
            <w:tcW w:type="dxa" w:w="1560"/>
          </w:tcPr>
          <w:p>
            <w:pPr>
              <w:spacing w:after="0"/>
            </w:pPr>
            <w:r/>
            <w:r>
              <w:rPr>
                <w:sz w:val="17"/>
              </w:rPr>
              <w:t>S-LOGIT-w_capex</w:t>
            </w:r>
          </w:p>
        </w:tc>
        <w:tc>
          <w:tcPr>
            <w:tcW w:type="dxa" w:w="1560"/>
          </w:tcPr>
          <w:p>
            <w:pPr>
              <w:spacing w:after="0"/>
            </w:pPr>
            <w:r/>
            <w:r>
              <w:rPr>
                <w:sz w:val="17"/>
              </w:rPr>
              <w:t>Bubble-block scenario</w:t>
            </w:r>
          </w:p>
        </w:tc>
        <w:tc>
          <w:tcPr>
            <w:tcW w:type="dxa" w:w="1560"/>
          </w:tcPr>
          <w:p>
            <w:pPr>
              <w:spacing w:after="0"/>
            </w:pPr>
            <w:r/>
            <w:r>
              <w:rPr>
                <w:sz w:val="17"/>
              </w:rPr>
              <w:t>Formation logit w_capex</w:t>
            </w:r>
          </w:p>
        </w:tc>
        <w:tc>
          <w:tcPr>
            <w:tcW w:type="dxa" w:w="1560"/>
          </w:tcPr>
          <w:p>
            <w:pPr>
              <w:spacing w:after="0"/>
            </w:pPr>
            <w:r/>
            <w:r>
              <w:rPr>
                <w:sz w:val="17"/>
              </w:rPr>
              <w:t>0.9</w:t>
            </w:r>
          </w:p>
        </w:tc>
        <w:tc>
          <w:tcPr>
            <w:tcW w:type="dxa" w:w="1560"/>
          </w:tcPr>
          <w:p>
            <w:pPr>
              <w:spacing w:after="0"/>
            </w:pPr>
            <w:r/>
            <w:r>
              <w:rPr>
                <w:sz w:val="17"/>
              </w:rPr>
              <w:t>logit</w:t>
            </w:r>
          </w:p>
        </w:tc>
        <w:tc>
          <w:tcPr>
            <w:tcW w:type="dxa" w:w="1560"/>
          </w:tcPr>
          <w:p>
            <w:pPr>
              <w:spacing w:after="0"/>
            </w:pPr>
            <w:r/>
            <w:r>
              <w:rPr>
                <w:sz w:val="17"/>
              </w:rPr>
              <w:t>Judgment weights (see R5/A8); w_open prices the open-weights channel, scenario-only</w:t>
            </w:r>
          </w:p>
        </w:tc>
      </w:tr>
      <w:tr>
        <w:tc>
          <w:tcPr>
            <w:tcW w:type="dxa" w:w="1560"/>
            <w:shd w:val="clear" w:color="auto" w:fill="EDF1F5"/>
          </w:tcPr>
          <w:p>
            <w:pPr>
              <w:spacing w:after="0"/>
            </w:pPr>
            <w:r/>
            <w:r>
              <w:rPr>
                <w:sz w:val="17"/>
              </w:rPr>
              <w:t>S-LOGIT-w_hhi</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Formation logit w_hhi</w:t>
            </w:r>
          </w:p>
        </w:tc>
        <w:tc>
          <w:tcPr>
            <w:tcW w:type="dxa" w:w="1560"/>
            <w:shd w:val="clear" w:color="auto" w:fill="EDF1F5"/>
          </w:tcPr>
          <w:p>
            <w:pPr>
              <w:spacing w:after="0"/>
            </w:pPr>
            <w:r/>
            <w:r>
              <w:rPr>
                <w:sz w:val="17"/>
              </w:rPr>
              <w:t>0.7</w:t>
            </w:r>
          </w:p>
        </w:tc>
        <w:tc>
          <w:tcPr>
            <w:tcW w:type="dxa" w:w="1560"/>
            <w:shd w:val="clear" w:color="auto" w:fill="EDF1F5"/>
          </w:tcPr>
          <w:p>
            <w:pPr>
              <w:spacing w:after="0"/>
            </w:pPr>
            <w:r/>
            <w:r>
              <w:rPr>
                <w:sz w:val="17"/>
              </w:rPr>
              <w:t>logit</w:t>
            </w:r>
          </w:p>
        </w:tc>
        <w:tc>
          <w:tcPr>
            <w:tcW w:type="dxa" w:w="1560"/>
            <w:shd w:val="clear" w:color="auto" w:fill="EDF1F5"/>
          </w:tcPr>
          <w:p>
            <w:pPr>
              <w:spacing w:after="0"/>
            </w:pPr>
            <w:r/>
            <w:r>
              <w:rPr>
                <w:sz w:val="17"/>
              </w:rPr>
              <w:t>Judgment weights (see R5/A8); w_open prices the open-weights channel, scenario-only</w:t>
            </w:r>
          </w:p>
        </w:tc>
      </w:tr>
      <w:tr>
        <w:tc>
          <w:tcPr>
            <w:tcW w:type="dxa" w:w="1560"/>
          </w:tcPr>
          <w:p>
            <w:pPr>
              <w:spacing w:after="0"/>
            </w:pPr>
            <w:r/>
            <w:r>
              <w:rPr>
                <w:sz w:val="17"/>
              </w:rPr>
              <w:t>S-LOGIT-w_exub</w:t>
            </w:r>
          </w:p>
        </w:tc>
        <w:tc>
          <w:tcPr>
            <w:tcW w:type="dxa" w:w="1560"/>
          </w:tcPr>
          <w:p>
            <w:pPr>
              <w:spacing w:after="0"/>
            </w:pPr>
            <w:r/>
            <w:r>
              <w:rPr>
                <w:sz w:val="17"/>
              </w:rPr>
              <w:t>Bubble-block scenario</w:t>
            </w:r>
          </w:p>
        </w:tc>
        <w:tc>
          <w:tcPr>
            <w:tcW w:type="dxa" w:w="1560"/>
          </w:tcPr>
          <w:p>
            <w:pPr>
              <w:spacing w:after="0"/>
            </w:pPr>
            <w:r/>
            <w:r>
              <w:rPr>
                <w:sz w:val="17"/>
              </w:rPr>
              <w:t>Formation logit w_exub</w:t>
            </w:r>
          </w:p>
        </w:tc>
        <w:tc>
          <w:tcPr>
            <w:tcW w:type="dxa" w:w="1560"/>
          </w:tcPr>
          <w:p>
            <w:pPr>
              <w:spacing w:after="0"/>
            </w:pPr>
            <w:r/>
            <w:r>
              <w:rPr>
                <w:sz w:val="17"/>
              </w:rPr>
              <w:t>0.8</w:t>
            </w:r>
          </w:p>
        </w:tc>
        <w:tc>
          <w:tcPr>
            <w:tcW w:type="dxa" w:w="1560"/>
          </w:tcPr>
          <w:p>
            <w:pPr>
              <w:spacing w:after="0"/>
            </w:pPr>
            <w:r/>
            <w:r>
              <w:rPr>
                <w:sz w:val="17"/>
              </w:rPr>
              <w:t>logit</w:t>
            </w:r>
          </w:p>
        </w:tc>
        <w:tc>
          <w:tcPr>
            <w:tcW w:type="dxa" w:w="1560"/>
          </w:tcPr>
          <w:p>
            <w:pPr>
              <w:spacing w:after="0"/>
            </w:pPr>
            <w:r/>
            <w:r>
              <w:rPr>
                <w:sz w:val="17"/>
              </w:rPr>
              <w:t>Judgment weights (see R5/A8); w_open prices the open-weights channel, scenario-only</w:t>
            </w:r>
          </w:p>
        </w:tc>
      </w:tr>
      <w:tr>
        <w:tc>
          <w:tcPr>
            <w:tcW w:type="dxa" w:w="1560"/>
            <w:shd w:val="clear" w:color="auto" w:fill="EDF1F5"/>
          </w:tcPr>
          <w:p>
            <w:pPr>
              <w:spacing w:after="0"/>
            </w:pPr>
            <w:r/>
            <w:r>
              <w:rPr>
                <w:sz w:val="17"/>
              </w:rPr>
              <w:t>S-LOGIT-w_open</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Formation logit w_open</w:t>
            </w:r>
          </w:p>
        </w:tc>
        <w:tc>
          <w:tcPr>
            <w:tcW w:type="dxa" w:w="1560"/>
            <w:shd w:val="clear" w:color="auto" w:fill="EDF1F5"/>
          </w:tcPr>
          <w:p>
            <w:pPr>
              <w:spacing w:after="0"/>
            </w:pPr>
            <w:r/>
            <w:r>
              <w:rPr>
                <w:sz w:val="17"/>
              </w:rPr>
              <w:t>0.6</w:t>
            </w:r>
          </w:p>
        </w:tc>
        <w:tc>
          <w:tcPr>
            <w:tcW w:type="dxa" w:w="1560"/>
            <w:shd w:val="clear" w:color="auto" w:fill="EDF1F5"/>
          </w:tcPr>
          <w:p>
            <w:pPr>
              <w:spacing w:after="0"/>
            </w:pPr>
            <w:r/>
            <w:r>
              <w:rPr>
                <w:sz w:val="17"/>
              </w:rPr>
              <w:t>logit</w:t>
            </w:r>
          </w:p>
        </w:tc>
        <w:tc>
          <w:tcPr>
            <w:tcW w:type="dxa" w:w="1560"/>
            <w:shd w:val="clear" w:color="auto" w:fill="EDF1F5"/>
          </w:tcPr>
          <w:p>
            <w:pPr>
              <w:spacing w:after="0"/>
            </w:pPr>
            <w:r/>
            <w:r>
              <w:rPr>
                <w:sz w:val="17"/>
              </w:rPr>
              <w:t>Judgment weights (see R5/A8); w_open prices the open-weights channel, scenario-only</w:t>
            </w:r>
          </w:p>
        </w:tc>
      </w:tr>
      <w:tr>
        <w:tc>
          <w:tcPr>
            <w:tcW w:type="dxa" w:w="1560"/>
          </w:tcPr>
          <w:p>
            <w:pPr>
              <w:spacing w:after="0"/>
            </w:pPr>
            <w:r/>
            <w:r>
              <w:rPr>
                <w:sz w:val="17"/>
              </w:rPr>
              <w:t>S-LOGIT-band</w:t>
            </w:r>
          </w:p>
        </w:tc>
        <w:tc>
          <w:tcPr>
            <w:tcW w:type="dxa" w:w="1560"/>
          </w:tcPr>
          <w:p>
            <w:pPr>
              <w:spacing w:after="0"/>
            </w:pPr>
            <w:r/>
            <w:r>
              <w:rPr>
                <w:sz w:val="17"/>
              </w:rPr>
              <w:t>Bubble-block scenario</w:t>
            </w:r>
          </w:p>
        </w:tc>
        <w:tc>
          <w:tcPr>
            <w:tcW w:type="dxa" w:w="1560"/>
          </w:tcPr>
          <w:p>
            <w:pPr>
              <w:spacing w:after="0"/>
            </w:pPr>
            <w:r/>
            <w:r>
              <w:rPr>
                <w:sz w:val="17"/>
              </w:rPr>
              <w:t>Formation logit band</w:t>
            </w:r>
          </w:p>
        </w:tc>
        <w:tc>
          <w:tcPr>
            <w:tcW w:type="dxa" w:w="1560"/>
          </w:tcPr>
          <w:p>
            <w:pPr>
              <w:spacing w:after="0"/>
            </w:pPr>
            <w:r/>
            <w:r>
              <w:rPr>
                <w:sz w:val="17"/>
              </w:rPr>
              <w:t>0.4</w:t>
            </w:r>
          </w:p>
        </w:tc>
        <w:tc>
          <w:tcPr>
            <w:tcW w:type="dxa" w:w="1560"/>
          </w:tcPr>
          <w:p>
            <w:pPr>
              <w:spacing w:after="0"/>
            </w:pPr>
            <w:r/>
            <w:r>
              <w:rPr>
                <w:sz w:val="17"/>
              </w:rPr>
              <w:t>logit</w:t>
            </w:r>
          </w:p>
        </w:tc>
        <w:tc>
          <w:tcPr>
            <w:tcW w:type="dxa" w:w="1560"/>
          </w:tcPr>
          <w:p>
            <w:pPr>
              <w:spacing w:after="0"/>
            </w:pPr>
            <w:r/>
            <w:r>
              <w:rPr>
                <w:sz w:val="17"/>
              </w:rPr>
              <w:t>Judgment weights (see R5/A8); w_open prices the open-weights channel, scenario-only</w:t>
            </w:r>
          </w:p>
        </w:tc>
      </w:tr>
      <w:tr>
        <w:tc>
          <w:tcPr>
            <w:tcW w:type="dxa" w:w="1560"/>
            <w:shd w:val="clear" w:color="auto" w:fill="EDF1F5"/>
          </w:tcPr>
          <w:p>
            <w:pPr>
              <w:spacing w:after="0"/>
            </w:pPr>
            <w:r/>
            <w:r>
              <w:rPr>
                <w:sz w:val="17"/>
              </w:rPr>
              <w:t>S-OWM-HA</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Open-weight margin compression: Hardware</w:t>
            </w:r>
          </w:p>
        </w:tc>
        <w:tc>
          <w:tcPr>
            <w:tcW w:type="dxa" w:w="1560"/>
            <w:shd w:val="clear" w:color="auto" w:fill="EDF1F5"/>
          </w:tcPr>
          <w:p>
            <w:pPr>
              <w:spacing w:after="0"/>
            </w:pPr>
            <w:r/>
            <w:r>
              <w:rPr>
                <w:sz w:val="17"/>
              </w:rPr>
              <w:t>0.05</w:t>
            </w:r>
          </w:p>
        </w:tc>
        <w:tc>
          <w:tcPr>
            <w:tcW w:type="dxa" w:w="1560"/>
            <w:shd w:val="clear" w:color="auto" w:fill="EDF1F5"/>
          </w:tcPr>
          <w:p>
            <w:pPr>
              <w:spacing w:after="0"/>
            </w:pPr>
            <w:r/>
            <w:r>
              <w:rPr>
                <w:sz w:val="17"/>
              </w:rPr>
              <w:t>index</w:t>
            </w:r>
          </w:p>
        </w:tc>
        <w:tc>
          <w:tcPr>
            <w:tcW w:type="dxa" w:w="1560"/>
            <w:shd w:val="clear" w:color="auto" w:fill="EDF1F5"/>
          </w:tcPr>
          <w:p>
            <w:pPr>
              <w:spacing w:after="0"/>
            </w:pPr>
            <w:r/>
            <w:r>
              <w:rPr>
                <w:sz w:val="17"/>
              </w:rPr>
              <w:t>Scenario parameter: free frontier weights compress FM API pricing; inference hardware barely exposed</w:t>
            </w:r>
          </w:p>
        </w:tc>
      </w:tr>
      <w:tr>
        <w:tc>
          <w:tcPr>
            <w:tcW w:type="dxa" w:w="1560"/>
          </w:tcPr>
          <w:p>
            <w:pPr>
              <w:spacing w:after="0"/>
            </w:pPr>
            <w:r/>
            <w:r>
              <w:rPr>
                <w:sz w:val="17"/>
              </w:rPr>
              <w:t>S-OWM-CL</w:t>
            </w:r>
          </w:p>
        </w:tc>
        <w:tc>
          <w:tcPr>
            <w:tcW w:type="dxa" w:w="1560"/>
          </w:tcPr>
          <w:p>
            <w:pPr>
              <w:spacing w:after="0"/>
            </w:pPr>
            <w:r/>
            <w:r>
              <w:rPr>
                <w:sz w:val="17"/>
              </w:rPr>
              <w:t>Bubble-block scenario</w:t>
            </w:r>
          </w:p>
        </w:tc>
        <w:tc>
          <w:tcPr>
            <w:tcW w:type="dxa" w:w="1560"/>
          </w:tcPr>
          <w:p>
            <w:pPr>
              <w:spacing w:after="0"/>
            </w:pPr>
            <w:r/>
            <w:r>
              <w:rPr>
                <w:sz w:val="17"/>
              </w:rPr>
              <w:t>Open-weight margin compression: Cloud Providers</w:t>
            </w:r>
          </w:p>
        </w:tc>
        <w:tc>
          <w:tcPr>
            <w:tcW w:type="dxa" w:w="1560"/>
          </w:tcPr>
          <w:p>
            <w:pPr>
              <w:spacing w:after="0"/>
            </w:pPr>
            <w:r/>
            <w:r>
              <w:rPr>
                <w:sz w:val="17"/>
              </w:rPr>
              <w:t>0.10</w:t>
            </w:r>
          </w:p>
        </w:tc>
        <w:tc>
          <w:tcPr>
            <w:tcW w:type="dxa" w:w="1560"/>
          </w:tcPr>
          <w:p>
            <w:pPr>
              <w:spacing w:after="0"/>
            </w:pPr>
            <w:r/>
            <w:r>
              <w:rPr>
                <w:sz w:val="17"/>
              </w:rPr>
              <w:t>index</w:t>
            </w:r>
          </w:p>
        </w:tc>
        <w:tc>
          <w:tcPr>
            <w:tcW w:type="dxa" w:w="1560"/>
          </w:tcPr>
          <w:p>
            <w:pPr>
              <w:spacing w:after="0"/>
            </w:pPr>
            <w:r/>
            <w:r>
              <w:rPr>
                <w:sz w:val="17"/>
              </w:rPr>
              <w:t>Scenario parameter: free frontier weights compress FM API pricing; inference hardware barely exposed</w:t>
            </w:r>
          </w:p>
        </w:tc>
      </w:tr>
      <w:tr>
        <w:tc>
          <w:tcPr>
            <w:tcW w:type="dxa" w:w="1560"/>
            <w:shd w:val="clear" w:color="auto" w:fill="EDF1F5"/>
          </w:tcPr>
          <w:p>
            <w:pPr>
              <w:spacing w:after="0"/>
            </w:pPr>
            <w:r/>
            <w:r>
              <w:rPr>
                <w:sz w:val="17"/>
              </w:rPr>
              <w:t>S-OWM-FO</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Open-weight margin compression: Foundation Models</w:t>
            </w:r>
          </w:p>
        </w:tc>
        <w:tc>
          <w:tcPr>
            <w:tcW w:type="dxa" w:w="1560"/>
            <w:shd w:val="clear" w:color="auto" w:fill="EDF1F5"/>
          </w:tcPr>
          <w:p>
            <w:pPr>
              <w:spacing w:after="0"/>
            </w:pPr>
            <w:r/>
            <w:r>
              <w:rPr>
                <w:sz w:val="17"/>
              </w:rPr>
              <w:t>0.90</w:t>
            </w:r>
          </w:p>
        </w:tc>
        <w:tc>
          <w:tcPr>
            <w:tcW w:type="dxa" w:w="1560"/>
            <w:shd w:val="clear" w:color="auto" w:fill="EDF1F5"/>
          </w:tcPr>
          <w:p>
            <w:pPr>
              <w:spacing w:after="0"/>
            </w:pPr>
            <w:r/>
            <w:r>
              <w:rPr>
                <w:sz w:val="17"/>
              </w:rPr>
              <w:t>index</w:t>
            </w:r>
          </w:p>
        </w:tc>
        <w:tc>
          <w:tcPr>
            <w:tcW w:type="dxa" w:w="1560"/>
            <w:shd w:val="clear" w:color="auto" w:fill="EDF1F5"/>
          </w:tcPr>
          <w:p>
            <w:pPr>
              <w:spacing w:after="0"/>
            </w:pPr>
            <w:r/>
            <w:r>
              <w:rPr>
                <w:sz w:val="17"/>
              </w:rPr>
              <w:t>Scenario parameter: free frontier weights compress FM API pricing; inference hardware barely exposed</w:t>
            </w:r>
          </w:p>
        </w:tc>
      </w:tr>
      <w:tr>
        <w:tc>
          <w:tcPr>
            <w:tcW w:type="dxa" w:w="1560"/>
          </w:tcPr>
          <w:p>
            <w:pPr>
              <w:spacing w:after="0"/>
            </w:pPr>
            <w:r/>
            <w:r>
              <w:rPr>
                <w:sz w:val="17"/>
              </w:rPr>
              <w:t>S-OWM-LL</w:t>
            </w:r>
          </w:p>
        </w:tc>
        <w:tc>
          <w:tcPr>
            <w:tcW w:type="dxa" w:w="1560"/>
          </w:tcPr>
          <w:p>
            <w:pPr>
              <w:spacing w:after="0"/>
            </w:pPr>
            <w:r/>
            <w:r>
              <w:rPr>
                <w:sz w:val="17"/>
              </w:rPr>
              <w:t>Bubble-block scenario</w:t>
            </w:r>
          </w:p>
        </w:tc>
        <w:tc>
          <w:tcPr>
            <w:tcW w:type="dxa" w:w="1560"/>
          </w:tcPr>
          <w:p>
            <w:pPr>
              <w:spacing w:after="0"/>
            </w:pPr>
            <w:r/>
            <w:r>
              <w:rPr>
                <w:sz w:val="17"/>
              </w:rPr>
              <w:t>Open-weight margin compression: LLM Wrappers</w:t>
            </w:r>
          </w:p>
        </w:tc>
        <w:tc>
          <w:tcPr>
            <w:tcW w:type="dxa" w:w="1560"/>
          </w:tcPr>
          <w:p>
            <w:pPr>
              <w:spacing w:after="0"/>
            </w:pPr>
            <w:r/>
            <w:r>
              <w:rPr>
                <w:sz w:val="17"/>
              </w:rPr>
              <w:t>0.45</w:t>
            </w:r>
          </w:p>
        </w:tc>
        <w:tc>
          <w:tcPr>
            <w:tcW w:type="dxa" w:w="1560"/>
          </w:tcPr>
          <w:p>
            <w:pPr>
              <w:spacing w:after="0"/>
            </w:pPr>
            <w:r/>
            <w:r>
              <w:rPr>
                <w:sz w:val="17"/>
              </w:rPr>
              <w:t>index</w:t>
            </w:r>
          </w:p>
        </w:tc>
        <w:tc>
          <w:tcPr>
            <w:tcW w:type="dxa" w:w="1560"/>
          </w:tcPr>
          <w:p>
            <w:pPr>
              <w:spacing w:after="0"/>
            </w:pPr>
            <w:r/>
            <w:r>
              <w:rPr>
                <w:sz w:val="17"/>
              </w:rPr>
              <w:t>Scenario parameter: free frontier weights compress FM API pricing; inference hardware barely exposed</w:t>
            </w:r>
          </w:p>
        </w:tc>
      </w:tr>
      <w:tr>
        <w:tc>
          <w:tcPr>
            <w:tcW w:type="dxa" w:w="1560"/>
            <w:shd w:val="clear" w:color="auto" w:fill="EDF1F5"/>
          </w:tcPr>
          <w:p>
            <w:pPr>
              <w:spacing w:after="0"/>
            </w:pPr>
            <w:r/>
            <w:r>
              <w:rPr>
                <w:sz w:val="17"/>
              </w:rPr>
              <w:t>S-SEV-mild</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Burst severity: mild</w:t>
            </w:r>
          </w:p>
        </w:tc>
        <w:tc>
          <w:tcPr>
            <w:tcW w:type="dxa" w:w="1560"/>
            <w:shd w:val="clear" w:color="auto" w:fill="EDF1F5"/>
          </w:tcPr>
          <w:p>
            <w:pPr>
              <w:spacing w:after="0"/>
            </w:pPr>
            <w:r/>
            <w:r>
              <w:rPr>
                <w:sz w:val="17"/>
              </w:rPr>
              <w:t>impair 0.30 / capex-cut 0.10</w:t>
            </w:r>
          </w:p>
        </w:tc>
        <w:tc>
          <w:tcPr>
            <w:tcW w:type="dxa" w:w="1560"/>
            <w:shd w:val="clear" w:color="auto" w:fill="EDF1F5"/>
          </w:tcPr>
          <w:p>
            <w:pPr>
              <w:spacing w:after="0"/>
            </w:pPr>
            <w:r/>
            <w:r>
              <w:rPr>
                <w:sz w:val="17"/>
              </w:rPr>
              <w:t>shares</w:t>
            </w:r>
          </w:p>
        </w:tc>
        <w:tc>
          <w:tcPr>
            <w:tcW w:type="dxa" w:w="1560"/>
            <w:shd w:val="clear" w:color="auto" w:fill="EDF1F5"/>
          </w:tcPr>
          <w:p>
            <w:pPr>
              <w:spacing w:after="0"/>
            </w:pPr>
            <w:r/>
            <w:r>
              <w:rPr>
                <w:sz w:val="17"/>
              </w:rPr>
              <w:t>Scenario parameters</w:t>
            </w:r>
          </w:p>
        </w:tc>
      </w:tr>
      <w:tr>
        <w:tc>
          <w:tcPr>
            <w:tcW w:type="dxa" w:w="1560"/>
          </w:tcPr>
          <w:p>
            <w:pPr>
              <w:spacing w:after="0"/>
            </w:pPr>
            <w:r/>
            <w:r>
              <w:rPr>
                <w:sz w:val="17"/>
              </w:rPr>
              <w:t>S-SEV-severe</w:t>
            </w:r>
          </w:p>
        </w:tc>
        <w:tc>
          <w:tcPr>
            <w:tcW w:type="dxa" w:w="1560"/>
          </w:tcPr>
          <w:p>
            <w:pPr>
              <w:spacing w:after="0"/>
            </w:pPr>
            <w:r/>
            <w:r>
              <w:rPr>
                <w:sz w:val="17"/>
              </w:rPr>
              <w:t>Bubble-block scenario</w:t>
            </w:r>
          </w:p>
        </w:tc>
        <w:tc>
          <w:tcPr>
            <w:tcW w:type="dxa" w:w="1560"/>
          </w:tcPr>
          <w:p>
            <w:pPr>
              <w:spacing w:after="0"/>
            </w:pPr>
            <w:r/>
            <w:r>
              <w:rPr>
                <w:sz w:val="17"/>
              </w:rPr>
              <w:t>Burst severity: severe</w:t>
            </w:r>
          </w:p>
        </w:tc>
        <w:tc>
          <w:tcPr>
            <w:tcW w:type="dxa" w:w="1560"/>
          </w:tcPr>
          <w:p>
            <w:pPr>
              <w:spacing w:after="0"/>
            </w:pPr>
            <w:r/>
            <w:r>
              <w:rPr>
                <w:sz w:val="17"/>
              </w:rPr>
              <w:t>impair 0.70 / capex-cut 0.30</w:t>
            </w:r>
          </w:p>
        </w:tc>
        <w:tc>
          <w:tcPr>
            <w:tcW w:type="dxa" w:w="1560"/>
          </w:tcPr>
          <w:p>
            <w:pPr>
              <w:spacing w:after="0"/>
            </w:pPr>
            <w:r/>
            <w:r>
              <w:rPr>
                <w:sz w:val="17"/>
              </w:rPr>
              <w:t>shares</w:t>
            </w:r>
          </w:p>
        </w:tc>
        <w:tc>
          <w:tcPr>
            <w:tcW w:type="dxa" w:w="1560"/>
          </w:tcPr>
          <w:p>
            <w:pPr>
              <w:spacing w:after="0"/>
            </w:pPr>
            <w:r/>
            <w:r>
              <w:rPr>
                <w:sz w:val="17"/>
              </w:rPr>
              <w:t>Scenario parameters</w:t>
            </w:r>
          </w:p>
        </w:tc>
      </w:tr>
      <w:tr>
        <w:tc>
          <w:tcPr>
            <w:tcW w:type="dxa" w:w="1560"/>
            <w:shd w:val="clear" w:color="auto" w:fill="EDF1F5"/>
          </w:tcPr>
          <w:p>
            <w:pPr>
              <w:spacing w:after="0"/>
            </w:pPr>
            <w:r/>
            <w:r>
              <w:rPr>
                <w:sz w:val="17"/>
              </w:rPr>
              <w:t>S-MPC</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Wealth MPC out of equity</w:t>
            </w:r>
          </w:p>
        </w:tc>
        <w:tc>
          <w:tcPr>
            <w:tcW w:type="dxa" w:w="1560"/>
            <w:shd w:val="clear" w:color="auto" w:fill="EDF1F5"/>
          </w:tcPr>
          <w:p>
            <w:pPr>
              <w:spacing w:after="0"/>
            </w:pPr>
            <w:r/>
            <w:r>
              <w:rPr>
                <w:sz w:val="17"/>
              </w:rPr>
              <w:t>0.04</w:t>
            </w:r>
          </w:p>
        </w:tc>
        <w:tc>
          <w:tcPr>
            <w:tcW w:type="dxa" w:w="1560"/>
            <w:shd w:val="clear" w:color="auto" w:fill="EDF1F5"/>
          </w:tcPr>
          <w:p>
            <w:pPr>
              <w:spacing w:after="0"/>
            </w:pPr>
            <w:r/>
            <w:r>
              <w:rPr>
                <w:sz w:val="17"/>
              </w:rPr>
              <w:t>$consumption/$wealth</w:t>
            </w:r>
          </w:p>
        </w:tc>
        <w:tc>
          <w:tcPr>
            <w:tcW w:type="dxa" w:w="1560"/>
            <w:shd w:val="clear" w:color="auto" w:fill="EDF1F5"/>
          </w:tcPr>
          <w:p>
            <w:pPr>
              <w:spacing w:after="0"/>
            </w:pPr>
            <w:r/>
            <w:r>
              <w:rPr>
                <w:sz w:val="17"/>
              </w:rPr>
              <w:t>FRB/US &amp; CBO convention 3-5c; upper-range assumption</w:t>
            </w:r>
          </w:p>
        </w:tc>
      </w:tr>
      <w:tr>
        <w:tc>
          <w:tcPr>
            <w:tcW w:type="dxa" w:w="1560"/>
          </w:tcPr>
          <w:p>
            <w:pPr>
              <w:spacing w:after="0"/>
            </w:pPr>
            <w:r/>
            <w:r>
              <w:rPr>
                <w:sz w:val="17"/>
              </w:rPr>
              <w:t>S-TAX-HA</w:t>
            </w:r>
          </w:p>
        </w:tc>
        <w:tc>
          <w:tcPr>
            <w:tcW w:type="dxa" w:w="1560"/>
          </w:tcPr>
          <w:p>
            <w:pPr>
              <w:spacing w:after="0"/>
            </w:pPr>
            <w:r/>
            <w:r>
              <w:rPr>
                <w:sz w:val="17"/>
              </w:rPr>
              <w:t>Category effective tax</w:t>
            </w:r>
          </w:p>
        </w:tc>
        <w:tc>
          <w:tcPr>
            <w:tcW w:type="dxa" w:w="1560"/>
          </w:tcPr>
          <w:p>
            <w:pPr>
              <w:spacing w:after="0"/>
            </w:pPr>
            <w:r/>
            <w:r>
              <w:rPr>
                <w:sz w:val="17"/>
              </w:rPr>
              <w:t>Hardware</w:t>
            </w:r>
          </w:p>
        </w:tc>
        <w:tc>
          <w:tcPr>
            <w:tcW w:type="dxa" w:w="1560"/>
          </w:tcPr>
          <w:p>
            <w:pPr>
              <w:spacing w:after="0"/>
            </w:pPr>
            <w:r/>
            <w:r>
              <w:rPr>
                <w:sz w:val="17"/>
              </w:rPr>
              <w:t>0.17</w:t>
            </w:r>
          </w:p>
        </w:tc>
        <w:tc>
          <w:tcPr>
            <w:tcW w:type="dxa" w:w="1560"/>
          </w:tcPr>
          <w:p>
            <w:pPr>
              <w:spacing w:after="0"/>
            </w:pPr>
            <w:r/>
            <w:r>
              <w:rPr>
                <w:sz w:val="17"/>
              </w:rPr>
              <w:t>rate</w:t>
            </w:r>
          </w:p>
        </w:tc>
        <w:tc>
          <w:tcPr>
            <w:tcW w:type="dxa" w:w="1560"/>
          </w:tcPr>
          <w:p>
            <w:pPr>
              <w:spacing w:after="0"/>
            </w:pPr>
            <w:r/>
            <w:r>
              <w:rPr>
                <w:sz w:val="17"/>
              </w:rPr>
              <w:t>Hardware 17% per NVDA FY27 16-18% guide; others from company filings (conservative)</w:t>
            </w:r>
          </w:p>
        </w:tc>
      </w:tr>
      <w:tr>
        <w:tc>
          <w:tcPr>
            <w:tcW w:type="dxa" w:w="1560"/>
            <w:shd w:val="clear" w:color="auto" w:fill="EDF1F5"/>
          </w:tcPr>
          <w:p>
            <w:pPr>
              <w:spacing w:after="0"/>
            </w:pPr>
            <w:r/>
            <w:r>
              <w:rPr>
                <w:sz w:val="17"/>
              </w:rPr>
              <w:t>S-TAX-CL</w:t>
            </w:r>
          </w:p>
        </w:tc>
        <w:tc>
          <w:tcPr>
            <w:tcW w:type="dxa" w:w="1560"/>
            <w:shd w:val="clear" w:color="auto" w:fill="EDF1F5"/>
          </w:tcPr>
          <w:p>
            <w:pPr>
              <w:spacing w:after="0"/>
            </w:pPr>
            <w:r/>
            <w:r>
              <w:rPr>
                <w:sz w:val="17"/>
              </w:rPr>
              <w:t>Category effective tax</w:t>
            </w:r>
          </w:p>
        </w:tc>
        <w:tc>
          <w:tcPr>
            <w:tcW w:type="dxa" w:w="1560"/>
            <w:shd w:val="clear" w:color="auto" w:fill="EDF1F5"/>
          </w:tcPr>
          <w:p>
            <w:pPr>
              <w:spacing w:after="0"/>
            </w:pPr>
            <w:r/>
            <w:r>
              <w:rPr>
                <w:sz w:val="17"/>
              </w:rPr>
              <w:t>Cloud Providers</w:t>
            </w:r>
          </w:p>
        </w:tc>
        <w:tc>
          <w:tcPr>
            <w:tcW w:type="dxa" w:w="1560"/>
            <w:shd w:val="clear" w:color="auto" w:fill="EDF1F5"/>
          </w:tcPr>
          <w:p>
            <w:pPr>
              <w:spacing w:after="0"/>
            </w:pPr>
            <w:r/>
            <w:r>
              <w:rPr>
                <w:sz w:val="17"/>
              </w:rPr>
              <w:t>0.19</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Hardware 17% per NVDA FY27 16-18% guide; others from company filings (conservative)</w:t>
            </w:r>
          </w:p>
        </w:tc>
      </w:tr>
      <w:tr>
        <w:tc>
          <w:tcPr>
            <w:tcW w:type="dxa" w:w="1560"/>
          </w:tcPr>
          <w:p>
            <w:pPr>
              <w:spacing w:after="0"/>
            </w:pPr>
            <w:r/>
            <w:r>
              <w:rPr>
                <w:sz w:val="17"/>
              </w:rPr>
              <w:t>S-TAX-FO</w:t>
            </w:r>
          </w:p>
        </w:tc>
        <w:tc>
          <w:tcPr>
            <w:tcW w:type="dxa" w:w="1560"/>
          </w:tcPr>
          <w:p>
            <w:pPr>
              <w:spacing w:after="0"/>
            </w:pPr>
            <w:r/>
            <w:r>
              <w:rPr>
                <w:sz w:val="17"/>
              </w:rPr>
              <w:t>Category effective tax</w:t>
            </w:r>
          </w:p>
        </w:tc>
        <w:tc>
          <w:tcPr>
            <w:tcW w:type="dxa" w:w="1560"/>
          </w:tcPr>
          <w:p>
            <w:pPr>
              <w:spacing w:after="0"/>
            </w:pPr>
            <w:r/>
            <w:r>
              <w:rPr>
                <w:sz w:val="17"/>
              </w:rPr>
              <w:t>Foundation Models</w:t>
            </w:r>
          </w:p>
        </w:tc>
        <w:tc>
          <w:tcPr>
            <w:tcW w:type="dxa" w:w="1560"/>
          </w:tcPr>
          <w:p>
            <w:pPr>
              <w:spacing w:after="0"/>
            </w:pPr>
            <w:r/>
            <w:r>
              <w:rPr>
                <w:sz w:val="17"/>
              </w:rPr>
              <w:t>0.22</w:t>
            </w:r>
          </w:p>
        </w:tc>
        <w:tc>
          <w:tcPr>
            <w:tcW w:type="dxa" w:w="1560"/>
          </w:tcPr>
          <w:p>
            <w:pPr>
              <w:spacing w:after="0"/>
            </w:pPr>
            <w:r/>
            <w:r>
              <w:rPr>
                <w:sz w:val="17"/>
              </w:rPr>
              <w:t>rate</w:t>
            </w:r>
          </w:p>
        </w:tc>
        <w:tc>
          <w:tcPr>
            <w:tcW w:type="dxa" w:w="1560"/>
          </w:tcPr>
          <w:p>
            <w:pPr>
              <w:spacing w:after="0"/>
            </w:pPr>
            <w:r/>
            <w:r>
              <w:rPr>
                <w:sz w:val="17"/>
              </w:rPr>
              <w:t>Hardware 17% per NVDA FY27 16-18% guide; others from company filings (conservative)</w:t>
            </w:r>
          </w:p>
        </w:tc>
      </w:tr>
      <w:tr>
        <w:tc>
          <w:tcPr>
            <w:tcW w:type="dxa" w:w="1560"/>
            <w:shd w:val="clear" w:color="auto" w:fill="EDF1F5"/>
          </w:tcPr>
          <w:p>
            <w:pPr>
              <w:spacing w:after="0"/>
            </w:pPr>
            <w:r/>
            <w:r>
              <w:rPr>
                <w:sz w:val="17"/>
              </w:rPr>
              <w:t>S-TAX-LL</w:t>
            </w:r>
          </w:p>
        </w:tc>
        <w:tc>
          <w:tcPr>
            <w:tcW w:type="dxa" w:w="1560"/>
            <w:shd w:val="clear" w:color="auto" w:fill="EDF1F5"/>
          </w:tcPr>
          <w:p>
            <w:pPr>
              <w:spacing w:after="0"/>
            </w:pPr>
            <w:r/>
            <w:r>
              <w:rPr>
                <w:sz w:val="17"/>
              </w:rPr>
              <w:t>Category effective tax</w:t>
            </w:r>
          </w:p>
        </w:tc>
        <w:tc>
          <w:tcPr>
            <w:tcW w:type="dxa" w:w="1560"/>
            <w:shd w:val="clear" w:color="auto" w:fill="EDF1F5"/>
          </w:tcPr>
          <w:p>
            <w:pPr>
              <w:spacing w:after="0"/>
            </w:pPr>
            <w:r/>
            <w:r>
              <w:rPr>
                <w:sz w:val="17"/>
              </w:rPr>
              <w:t>LLM Wrappers</w:t>
            </w:r>
          </w:p>
        </w:tc>
        <w:tc>
          <w:tcPr>
            <w:tcW w:type="dxa" w:w="1560"/>
            <w:shd w:val="clear" w:color="auto" w:fill="EDF1F5"/>
          </w:tcPr>
          <w:p>
            <w:pPr>
              <w:spacing w:after="0"/>
            </w:pPr>
            <w:r/>
            <w:r>
              <w:rPr>
                <w:sz w:val="17"/>
              </w:rPr>
              <w:t>0.18</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Hardware 17% per NVDA FY27 16-18% guide; others from company filings (conservative)</w:t>
            </w:r>
          </w:p>
        </w:tc>
      </w:tr>
      <w:tr>
        <w:tc>
          <w:tcPr>
            <w:tcW w:type="dxa" w:w="1560"/>
          </w:tcPr>
          <w:p>
            <w:pPr>
              <w:spacing w:after="0"/>
            </w:pPr>
            <w:r/>
            <w:r>
              <w:rPr>
                <w:sz w:val="17"/>
              </w:rPr>
              <w:t>S-WACC</w:t>
            </w:r>
          </w:p>
        </w:tc>
        <w:tc>
          <w:tcPr>
            <w:tcW w:type="dxa" w:w="1560"/>
          </w:tcPr>
          <w:p>
            <w:pPr>
              <w:spacing w:after="0"/>
            </w:pPr>
            <w:r/>
            <w:r>
              <w:rPr>
                <w:sz w:val="17"/>
              </w:rPr>
              <w:t>Bubble-block scenario</w:t>
            </w:r>
          </w:p>
        </w:tc>
        <w:tc>
          <w:tcPr>
            <w:tcW w:type="dxa" w:w="1560"/>
          </w:tcPr>
          <w:p>
            <w:pPr>
              <w:spacing w:after="0"/>
            </w:pPr>
            <w:r/>
            <w:r>
              <w:rPr>
                <w:sz w:val="17"/>
              </w:rPr>
              <w:t>Uniform WACC proxy</w:t>
            </w:r>
          </w:p>
        </w:tc>
        <w:tc>
          <w:tcPr>
            <w:tcW w:type="dxa" w:w="1560"/>
          </w:tcPr>
          <w:p>
            <w:pPr>
              <w:spacing w:after="0"/>
            </w:pPr>
            <w:r/>
            <w:r>
              <w:rPr>
                <w:sz w:val="17"/>
              </w:rPr>
              <w:t>0.10</w:t>
            </w:r>
          </w:p>
        </w:tc>
        <w:tc>
          <w:tcPr>
            <w:tcW w:type="dxa" w:w="1560"/>
          </w:tcPr>
          <w:p>
            <w:pPr>
              <w:spacing w:after="0"/>
            </w:pPr>
            <w:r/>
            <w:r>
              <w:rPr>
                <w:sz w:val="17"/>
              </w:rPr>
              <w:t>rate</w:t>
            </w:r>
          </w:p>
        </w:tc>
        <w:tc>
          <w:tcPr>
            <w:tcW w:type="dxa" w:w="1560"/>
          </w:tcPr>
          <w:p>
            <w:pPr>
              <w:spacing w:after="0"/>
            </w:pPr>
            <w:r/>
            <w:r>
              <w:rPr>
                <w:sz w:val="17"/>
              </w:rPr>
              <w:t>Stylized proxy in create_company_financials; CAPM-implied 9.0% at beta 1.0 (Rf 4.8% + ERP 4.2%)</w:t>
            </w:r>
          </w:p>
        </w:tc>
      </w:tr>
      <w:tr>
        <w:tc>
          <w:tcPr>
            <w:tcW w:type="dxa" w:w="1560"/>
            <w:shd w:val="clear" w:color="auto" w:fill="EDF1F5"/>
          </w:tcPr>
          <w:p>
            <w:pPr>
              <w:spacing w:after="0"/>
            </w:pPr>
            <w:r/>
            <w:r>
              <w:rPr>
                <w:sz w:val="17"/>
              </w:rPr>
              <w:t>S-PROXY</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Uniform financial proxies</w:t>
            </w:r>
          </w:p>
        </w:tc>
        <w:tc>
          <w:tcPr>
            <w:tcW w:type="dxa" w:w="1560"/>
            <w:shd w:val="clear" w:color="auto" w:fill="EDF1F5"/>
          </w:tcPr>
          <w:p>
            <w:pPr>
              <w:spacing w:after="0"/>
            </w:pPr>
            <w:r/>
            <w:r>
              <w:rPr>
                <w:sz w:val="17"/>
              </w:rPr>
              <w:t>margin 0.30; beta 1.0; 15x revenue multiple; growth 25%/30%</w:t>
            </w:r>
          </w:p>
        </w:tc>
        <w:tc>
          <w:tcPr>
            <w:tcW w:type="dxa" w:w="1560"/>
            <w:shd w:val="clear" w:color="auto" w:fill="EDF1F5"/>
          </w:tcPr>
          <w:p>
            <w:pPr>
              <w:spacing w:after="0"/>
            </w:pPr>
            <w:r/>
            <w:r>
              <w:rPr>
                <w:sz w:val="17"/>
              </w:rPr>
              <w:t>various</w:t>
            </w:r>
          </w:p>
        </w:tc>
        <w:tc>
          <w:tcPr>
            <w:tcW w:type="dxa" w:w="1560"/>
            <w:shd w:val="clear" w:color="auto" w:fill="EDF1F5"/>
          </w:tcPr>
          <w:p>
            <w:pPr>
              <w:spacing w:after="0"/>
            </w:pPr>
            <w:r/>
            <w:r>
              <w:rPr>
                <w:sz w:val="17"/>
              </w:rPr>
              <w:t>Stylized uniform proxies in create_company_financials (valuation screen only)</w:t>
            </w:r>
          </w:p>
        </w:tc>
      </w:tr>
      <w:tr>
        <w:tc>
          <w:tcPr>
            <w:tcW w:type="dxa" w:w="1560"/>
          </w:tcPr>
          <w:p>
            <w:pPr>
              <w:spacing w:after="0"/>
            </w:pPr>
            <w:r/>
            <w:r>
              <w:rPr>
                <w:sz w:val="17"/>
              </w:rPr>
              <w:t>E-CL</w:t>
            </w:r>
          </w:p>
        </w:tc>
        <w:tc>
          <w:tcPr>
            <w:tcW w:type="dxa" w:w="1560"/>
          </w:tcPr>
          <w:p>
            <w:pPr>
              <w:spacing w:after="0"/>
            </w:pPr>
            <w:r/>
            <w:r>
              <w:rPr>
                <w:sz w:val="17"/>
              </w:rPr>
              <w:t>Demand elasticities</w:t>
            </w:r>
          </w:p>
        </w:tc>
        <w:tc>
          <w:tcPr>
            <w:tcW w:type="dxa" w:w="1560"/>
          </w:tcPr>
          <w:p>
            <w:pPr>
              <w:spacing w:after="0"/>
            </w:pPr>
            <w:r/>
            <w:r>
              <w:rPr>
                <w:sz w:val="17"/>
              </w:rPr>
              <w:t>Cloud Providers price elasticity</w:t>
            </w:r>
          </w:p>
        </w:tc>
        <w:tc>
          <w:tcPr>
            <w:tcW w:type="dxa" w:w="1560"/>
          </w:tcPr>
          <w:p>
            <w:pPr>
              <w:spacing w:after="0"/>
            </w:pPr>
            <w:r/>
            <w:r>
              <w:rPr>
                <w:sz w:val="17"/>
              </w:rPr>
              <w:t>base -1.80 [-2.50, -1.20]</w:t>
            </w:r>
          </w:p>
        </w:tc>
        <w:tc>
          <w:tcPr>
            <w:tcW w:type="dxa" w:w="1560"/>
          </w:tcPr>
          <w:p>
            <w:pPr>
              <w:spacing w:after="0"/>
            </w:pPr>
            <w:r/>
            <w:r>
              <w:rPr>
                <w:sz w:val="17"/>
              </w:rPr>
              <w:t>elasticity</w:t>
            </w:r>
          </w:p>
        </w:tc>
        <w:tc>
          <w:tcPr>
            <w:tcW w:type="dxa" w:w="1560"/>
          </w:tcPr>
          <w:p>
            <w:pPr>
              <w:spacing w:after="0"/>
            </w:pPr>
            <w:r/>
            <w:r>
              <w:rPr>
                <w:sz w:val="17"/>
              </w:rPr>
              <w:t>Conceptual anchor: Shapiro &amp; Varian (1999); Bakos &amp; Brynjolfsson (2000); ranges feed Lerner/markup bands</w:t>
            </w:r>
          </w:p>
        </w:tc>
      </w:tr>
      <w:tr>
        <w:tc>
          <w:tcPr>
            <w:tcW w:type="dxa" w:w="1560"/>
            <w:shd w:val="clear" w:color="auto" w:fill="EDF1F5"/>
          </w:tcPr>
          <w:p>
            <w:pPr>
              <w:spacing w:after="0"/>
            </w:pPr>
            <w:r/>
            <w:r>
              <w:rPr>
                <w:sz w:val="17"/>
              </w:rPr>
              <w:t>E-HA</w:t>
            </w:r>
          </w:p>
        </w:tc>
        <w:tc>
          <w:tcPr>
            <w:tcW w:type="dxa" w:w="1560"/>
            <w:shd w:val="clear" w:color="auto" w:fill="EDF1F5"/>
          </w:tcPr>
          <w:p>
            <w:pPr>
              <w:spacing w:after="0"/>
            </w:pPr>
            <w:r/>
            <w:r>
              <w:rPr>
                <w:sz w:val="17"/>
              </w:rPr>
              <w:t>Demand elasticities</w:t>
            </w:r>
          </w:p>
        </w:tc>
        <w:tc>
          <w:tcPr>
            <w:tcW w:type="dxa" w:w="1560"/>
            <w:shd w:val="clear" w:color="auto" w:fill="EDF1F5"/>
          </w:tcPr>
          <w:p>
            <w:pPr>
              <w:spacing w:after="0"/>
            </w:pPr>
            <w:r/>
            <w:r>
              <w:rPr>
                <w:sz w:val="17"/>
              </w:rPr>
              <w:t>Hardware price elasticity</w:t>
            </w:r>
          </w:p>
        </w:tc>
        <w:tc>
          <w:tcPr>
            <w:tcW w:type="dxa" w:w="1560"/>
            <w:shd w:val="clear" w:color="auto" w:fill="EDF1F5"/>
          </w:tcPr>
          <w:p>
            <w:pPr>
              <w:spacing w:after="0"/>
            </w:pPr>
            <w:r/>
            <w:r>
              <w:rPr>
                <w:sz w:val="17"/>
              </w:rPr>
              <w:t>base -1.50 [-2.00, -1.20]</w:t>
            </w:r>
          </w:p>
        </w:tc>
        <w:tc>
          <w:tcPr>
            <w:tcW w:type="dxa" w:w="1560"/>
            <w:shd w:val="clear" w:color="auto" w:fill="EDF1F5"/>
          </w:tcPr>
          <w:p>
            <w:pPr>
              <w:spacing w:after="0"/>
            </w:pPr>
            <w:r/>
            <w:r>
              <w:rPr>
                <w:sz w:val="17"/>
              </w:rPr>
              <w:t>elasticity</w:t>
            </w:r>
          </w:p>
        </w:tc>
        <w:tc>
          <w:tcPr>
            <w:tcW w:type="dxa" w:w="1560"/>
            <w:shd w:val="clear" w:color="auto" w:fill="EDF1F5"/>
          </w:tcPr>
          <w:p>
            <w:pPr>
              <w:spacing w:after="0"/>
            </w:pPr>
            <w:r/>
            <w:r>
              <w:rPr>
                <w:sz w:val="17"/>
              </w:rPr>
              <w:t>Conceptual anchor: Scherer &amp; Ross (1990); ranges feed Lerner/markup bands</w:t>
            </w:r>
          </w:p>
        </w:tc>
      </w:tr>
      <w:tr>
        <w:tc>
          <w:tcPr>
            <w:tcW w:type="dxa" w:w="1560"/>
          </w:tcPr>
          <w:p>
            <w:pPr>
              <w:spacing w:after="0"/>
            </w:pPr>
            <w:r/>
            <w:r>
              <w:rPr>
                <w:sz w:val="17"/>
              </w:rPr>
              <w:t>E-FO</w:t>
            </w:r>
          </w:p>
        </w:tc>
        <w:tc>
          <w:tcPr>
            <w:tcW w:type="dxa" w:w="1560"/>
          </w:tcPr>
          <w:p>
            <w:pPr>
              <w:spacing w:after="0"/>
            </w:pPr>
            <w:r/>
            <w:r>
              <w:rPr>
                <w:sz w:val="17"/>
              </w:rPr>
              <w:t>Demand elasticities</w:t>
            </w:r>
          </w:p>
        </w:tc>
        <w:tc>
          <w:tcPr>
            <w:tcW w:type="dxa" w:w="1560"/>
          </w:tcPr>
          <w:p>
            <w:pPr>
              <w:spacing w:after="0"/>
            </w:pPr>
            <w:r/>
            <w:r>
              <w:rPr>
                <w:sz w:val="17"/>
              </w:rPr>
              <w:t>Foundation Models price elasticity</w:t>
            </w:r>
          </w:p>
        </w:tc>
        <w:tc>
          <w:tcPr>
            <w:tcW w:type="dxa" w:w="1560"/>
          </w:tcPr>
          <w:p>
            <w:pPr>
              <w:spacing w:after="0"/>
            </w:pPr>
            <w:r/>
            <w:r>
              <w:rPr>
                <w:sz w:val="17"/>
              </w:rPr>
              <w:t>base -2.50 [-3.50, -1.80]</w:t>
            </w:r>
          </w:p>
        </w:tc>
        <w:tc>
          <w:tcPr>
            <w:tcW w:type="dxa" w:w="1560"/>
          </w:tcPr>
          <w:p>
            <w:pPr>
              <w:spacing w:after="0"/>
            </w:pPr>
            <w:r/>
            <w:r>
              <w:rPr>
                <w:sz w:val="17"/>
              </w:rPr>
              <w:t>elasticity</w:t>
            </w:r>
          </w:p>
        </w:tc>
        <w:tc>
          <w:tcPr>
            <w:tcW w:type="dxa" w:w="1560"/>
          </w:tcPr>
          <w:p>
            <w:pPr>
              <w:spacing w:after="0"/>
            </w:pPr>
            <w:r/>
            <w:r>
              <w:rPr>
                <w:sz w:val="17"/>
              </w:rPr>
              <w:t>Conceptual anchor: Farrell &amp; Klemperer (2007); ranges feed Lerner/markup bands</w:t>
            </w:r>
          </w:p>
        </w:tc>
      </w:tr>
      <w:tr>
        <w:tc>
          <w:tcPr>
            <w:tcW w:type="dxa" w:w="1560"/>
            <w:shd w:val="clear" w:color="auto" w:fill="EDF1F5"/>
          </w:tcPr>
          <w:p>
            <w:pPr>
              <w:spacing w:after="0"/>
            </w:pPr>
            <w:r/>
            <w:r>
              <w:rPr>
                <w:sz w:val="17"/>
              </w:rPr>
              <w:t>E-LL</w:t>
            </w:r>
          </w:p>
        </w:tc>
        <w:tc>
          <w:tcPr>
            <w:tcW w:type="dxa" w:w="1560"/>
            <w:shd w:val="clear" w:color="auto" w:fill="EDF1F5"/>
          </w:tcPr>
          <w:p>
            <w:pPr>
              <w:spacing w:after="0"/>
            </w:pPr>
            <w:r/>
            <w:r>
              <w:rPr>
                <w:sz w:val="17"/>
              </w:rPr>
              <w:t>Demand elasticities</w:t>
            </w:r>
          </w:p>
        </w:tc>
        <w:tc>
          <w:tcPr>
            <w:tcW w:type="dxa" w:w="1560"/>
            <w:shd w:val="clear" w:color="auto" w:fill="EDF1F5"/>
          </w:tcPr>
          <w:p>
            <w:pPr>
              <w:spacing w:after="0"/>
            </w:pPr>
            <w:r/>
            <w:r>
              <w:rPr>
                <w:sz w:val="17"/>
              </w:rPr>
              <w:t>LLM Wrappers price elasticity</w:t>
            </w:r>
          </w:p>
        </w:tc>
        <w:tc>
          <w:tcPr>
            <w:tcW w:type="dxa" w:w="1560"/>
            <w:shd w:val="clear" w:color="auto" w:fill="EDF1F5"/>
          </w:tcPr>
          <w:p>
            <w:pPr>
              <w:spacing w:after="0"/>
            </w:pPr>
            <w:r/>
            <w:r>
              <w:rPr>
                <w:sz w:val="17"/>
              </w:rPr>
              <w:t>base -4.00 [-6.00, -3.00]</w:t>
            </w:r>
          </w:p>
        </w:tc>
        <w:tc>
          <w:tcPr>
            <w:tcW w:type="dxa" w:w="1560"/>
            <w:shd w:val="clear" w:color="auto" w:fill="EDF1F5"/>
          </w:tcPr>
          <w:p>
            <w:pPr>
              <w:spacing w:after="0"/>
            </w:pPr>
            <w:r/>
            <w:r>
              <w:rPr>
                <w:sz w:val="17"/>
              </w:rPr>
              <w:t>elasticity</w:t>
            </w:r>
          </w:p>
        </w:tc>
        <w:tc>
          <w:tcPr>
            <w:tcW w:type="dxa" w:w="1560"/>
            <w:shd w:val="clear" w:color="auto" w:fill="EDF1F5"/>
          </w:tcPr>
          <w:p>
            <w:pPr>
              <w:spacing w:after="0"/>
            </w:pPr>
            <w:r/>
            <w:r>
              <w:rPr>
                <w:sz w:val="17"/>
              </w:rPr>
              <w:t>Conceptual anchor: Sutton (1991); ranges feed Lerner/markup bands</w:t>
            </w:r>
          </w:p>
        </w:tc>
      </w:tr>
      <w:tr>
        <w:tc>
          <w:tcPr>
            <w:tcW w:type="dxa" w:w="1560"/>
          </w:tcPr>
          <w:p>
            <w:pPr>
              <w:spacing w:after="0"/>
            </w:pPr>
            <w:r/>
            <w:r>
              <w:rPr>
                <w:sz w:val="17"/>
              </w:rPr>
              <w:t>P-1</w:t>
            </w:r>
          </w:p>
        </w:tc>
        <w:tc>
          <w:tcPr>
            <w:tcW w:type="dxa" w:w="1560"/>
          </w:tcPr>
          <w:p>
            <w:pPr>
              <w:spacing w:after="0"/>
            </w:pPr>
            <w:r/>
            <w:r>
              <w:rPr>
                <w:sz w:val="17"/>
              </w:rPr>
              <w:t>Policy scenarios</w:t>
            </w:r>
          </w:p>
        </w:tc>
        <w:tc>
          <w:tcPr>
            <w:tcW w:type="dxa" w:w="1560"/>
          </w:tcPr>
          <w:p>
            <w:pPr>
              <w:spacing w:after="0"/>
            </w:pPr>
            <w:r/>
            <w:r>
              <w:rPr>
                <w:sz w:val="17"/>
              </w:rPr>
              <w:t>API Interoperability Mandate</w:t>
            </w:r>
          </w:p>
        </w:tc>
        <w:tc>
          <w:tcPr>
            <w:tcW w:type="dxa" w:w="1560"/>
          </w:tcPr>
          <w:p>
            <w:pPr>
              <w:spacing w:after="0"/>
            </w:pPr>
            <w:r/>
            <w:r>
              <w:rPr>
                <w:sz w:val="17"/>
              </w:rPr>
              <w:t>DWL reduction base 0.35 [0.25, 0.45]; cost $5.0B [$3.0B, $7.0B]</w:t>
            </w:r>
          </w:p>
        </w:tc>
        <w:tc>
          <w:tcPr>
            <w:tcW w:type="dxa" w:w="1560"/>
          </w:tcPr>
          <w:p>
            <w:pPr>
              <w:spacing w:after="0"/>
            </w:pPr>
            <w:r/>
            <w:r>
              <w:rPr>
                <w:sz w:val="17"/>
              </w:rPr>
              <w:t>share; $B</w:t>
            </w:r>
          </w:p>
        </w:tc>
        <w:tc>
          <w:tcPr>
            <w:tcW w:type="dxa" w:w="1560"/>
          </w:tcPr>
          <w:p>
            <w:pPr>
              <w:spacing w:after="0"/>
            </w:pPr>
            <w:r/>
            <w:r>
              <w:rPr>
                <w:sz w:val="17"/>
              </w:rPr>
              <w:t>Source: EU Digital Markets Act (European Commission 2022)</w:t>
            </w:r>
          </w:p>
        </w:tc>
      </w:tr>
      <w:tr>
        <w:tc>
          <w:tcPr>
            <w:tcW w:type="dxa" w:w="1560"/>
            <w:shd w:val="clear" w:color="auto" w:fill="EDF1F5"/>
          </w:tcPr>
          <w:p>
            <w:pPr>
              <w:spacing w:after="0"/>
            </w:pPr>
            <w:r/>
            <w:r>
              <w:rPr>
                <w:sz w:val="17"/>
              </w:rPr>
              <w:t>P-2</w:t>
            </w:r>
          </w:p>
        </w:tc>
        <w:tc>
          <w:tcPr>
            <w:tcW w:type="dxa" w:w="1560"/>
            <w:shd w:val="clear" w:color="auto" w:fill="EDF1F5"/>
          </w:tcPr>
          <w:p>
            <w:pPr>
              <w:spacing w:after="0"/>
            </w:pPr>
            <w:r/>
            <w:r>
              <w:rPr>
                <w:sz w:val="17"/>
              </w:rPr>
              <w:t>Policy scenarios</w:t>
            </w:r>
          </w:p>
        </w:tc>
        <w:tc>
          <w:tcPr>
            <w:tcW w:type="dxa" w:w="1560"/>
            <w:shd w:val="clear" w:color="auto" w:fill="EDF1F5"/>
          </w:tcPr>
          <w:p>
            <w:pPr>
              <w:spacing w:after="0"/>
            </w:pPr>
            <w:r/>
            <w:r>
              <w:rPr>
                <w:sz w:val="17"/>
              </w:rPr>
              <w:t>Antitrust Enforcement</w:t>
            </w:r>
          </w:p>
        </w:tc>
        <w:tc>
          <w:tcPr>
            <w:tcW w:type="dxa" w:w="1560"/>
            <w:shd w:val="clear" w:color="auto" w:fill="EDF1F5"/>
          </w:tcPr>
          <w:p>
            <w:pPr>
              <w:spacing w:after="0"/>
            </w:pPr>
            <w:r/>
            <w:r>
              <w:rPr>
                <w:sz w:val="17"/>
              </w:rPr>
              <w:t>DWL reduction base 0.25 [0.15, 0.35]; cost $2.0B [$1.0B, $4.0B]</w:t>
            </w:r>
          </w:p>
        </w:tc>
        <w:tc>
          <w:tcPr>
            <w:tcW w:type="dxa" w:w="1560"/>
            <w:shd w:val="clear" w:color="auto" w:fill="EDF1F5"/>
          </w:tcPr>
          <w:p>
            <w:pPr>
              <w:spacing w:after="0"/>
            </w:pPr>
            <w:r/>
            <w:r>
              <w:rPr>
                <w:sz w:val="17"/>
              </w:rPr>
              <w:t>share; $B</w:t>
            </w:r>
          </w:p>
        </w:tc>
        <w:tc>
          <w:tcPr>
            <w:tcW w:type="dxa" w:w="1560"/>
            <w:shd w:val="clear" w:color="auto" w:fill="EDF1F5"/>
          </w:tcPr>
          <w:p>
            <w:pPr>
              <w:spacing w:after="0"/>
            </w:pPr>
            <w:r/>
            <w:r>
              <w:rPr>
                <w:sz w:val="17"/>
              </w:rPr>
              <w:t>Source: DOJ/FTC costs (Baker 2019)</w:t>
            </w:r>
          </w:p>
        </w:tc>
      </w:tr>
      <w:tr>
        <w:tc>
          <w:tcPr>
            <w:tcW w:type="dxa" w:w="1560"/>
          </w:tcPr>
          <w:p>
            <w:pPr>
              <w:spacing w:after="0"/>
            </w:pPr>
            <w:r/>
            <w:r>
              <w:rPr>
                <w:sz w:val="17"/>
              </w:rPr>
              <w:t>P-3</w:t>
            </w:r>
          </w:p>
        </w:tc>
        <w:tc>
          <w:tcPr>
            <w:tcW w:type="dxa" w:w="1560"/>
          </w:tcPr>
          <w:p>
            <w:pPr>
              <w:spacing w:after="0"/>
            </w:pPr>
            <w:r/>
            <w:r>
              <w:rPr>
                <w:sz w:val="17"/>
              </w:rPr>
              <w:t>Policy scenarios</w:t>
            </w:r>
          </w:p>
        </w:tc>
        <w:tc>
          <w:tcPr>
            <w:tcW w:type="dxa" w:w="1560"/>
          </w:tcPr>
          <w:p>
            <w:pPr>
              <w:spacing w:after="0"/>
            </w:pPr>
            <w:r/>
            <w:r>
              <w:rPr>
                <w:sz w:val="17"/>
              </w:rPr>
              <w:t>Innovation Subsidies</w:t>
            </w:r>
          </w:p>
        </w:tc>
        <w:tc>
          <w:tcPr>
            <w:tcW w:type="dxa" w:w="1560"/>
          </w:tcPr>
          <w:p>
            <w:pPr>
              <w:spacing w:after="0"/>
            </w:pPr>
            <w:r/>
            <w:r>
              <w:rPr>
                <w:sz w:val="17"/>
              </w:rPr>
              <w:t>DWL reduction base midpoint [0.15, 0.30]; cost $8.0B [$5.0B, $12.0B]</w:t>
            </w:r>
          </w:p>
        </w:tc>
        <w:tc>
          <w:tcPr>
            <w:tcW w:type="dxa" w:w="1560"/>
          </w:tcPr>
          <w:p>
            <w:pPr>
              <w:spacing w:after="0"/>
            </w:pPr>
            <w:r/>
            <w:r>
              <w:rPr>
                <w:sz w:val="17"/>
              </w:rPr>
              <w:t>share; $B</w:t>
            </w:r>
          </w:p>
        </w:tc>
        <w:tc>
          <w:tcPr>
            <w:tcW w:type="dxa" w:w="1560"/>
          </w:tcPr>
          <w:p>
            <w:pPr>
              <w:spacing w:after="0"/>
            </w:pPr>
            <w:r/>
            <w:r>
              <w:rPr>
                <w:sz w:val="17"/>
              </w:rPr>
              <w:t>Source: CHIPS Act (CBO Jul 2022 cost estimate) &amp; IRA credits (JCT scores)</w:t>
            </w:r>
          </w:p>
        </w:tc>
      </w:tr>
      <w:tr>
        <w:tc>
          <w:tcPr>
            <w:tcW w:type="dxa" w:w="1560"/>
            <w:shd w:val="clear" w:color="auto" w:fill="EDF1F5"/>
          </w:tcPr>
          <w:p>
            <w:pPr>
              <w:spacing w:after="0"/>
            </w:pPr>
            <w:r/>
            <w:r>
              <w:rPr>
                <w:sz w:val="17"/>
              </w:rPr>
              <w:t>P-4</w:t>
            </w:r>
          </w:p>
        </w:tc>
        <w:tc>
          <w:tcPr>
            <w:tcW w:type="dxa" w:w="1560"/>
            <w:shd w:val="clear" w:color="auto" w:fill="EDF1F5"/>
          </w:tcPr>
          <w:p>
            <w:pPr>
              <w:spacing w:after="0"/>
            </w:pPr>
            <w:r/>
            <w:r>
              <w:rPr>
                <w:sz w:val="17"/>
              </w:rPr>
              <w:t>Policy scenarios</w:t>
            </w:r>
          </w:p>
        </w:tc>
        <w:tc>
          <w:tcPr>
            <w:tcW w:type="dxa" w:w="1560"/>
            <w:shd w:val="clear" w:color="auto" w:fill="EDF1F5"/>
          </w:tcPr>
          <w:p>
            <w:pPr>
              <w:spacing w:after="0"/>
            </w:pPr>
            <w:r/>
            <w:r>
              <w:rPr>
                <w:sz w:val="17"/>
              </w:rPr>
              <w:t>Data Sharing Mandate</w:t>
            </w:r>
          </w:p>
        </w:tc>
        <w:tc>
          <w:tcPr>
            <w:tcW w:type="dxa" w:w="1560"/>
            <w:shd w:val="clear" w:color="auto" w:fill="EDF1F5"/>
          </w:tcPr>
          <w:p>
            <w:pPr>
              <w:spacing w:after="0"/>
            </w:pPr>
            <w:r/>
            <w:r>
              <w:rPr>
                <w:sz w:val="17"/>
              </w:rPr>
              <w:t>DWL reduction base 0.18 [0.12, 0.25]; cost $3.0B [$2.0B, $5.0B]</w:t>
            </w:r>
          </w:p>
        </w:tc>
        <w:tc>
          <w:tcPr>
            <w:tcW w:type="dxa" w:w="1560"/>
            <w:shd w:val="clear" w:color="auto" w:fill="EDF1F5"/>
          </w:tcPr>
          <w:p>
            <w:pPr>
              <w:spacing w:after="0"/>
            </w:pPr>
            <w:r/>
            <w:r>
              <w:rPr>
                <w:sz w:val="17"/>
              </w:rPr>
              <w:t>share; $B</w:t>
            </w:r>
          </w:p>
        </w:tc>
        <w:tc>
          <w:tcPr>
            <w:tcW w:type="dxa" w:w="1560"/>
            <w:shd w:val="clear" w:color="auto" w:fill="EDF1F5"/>
          </w:tcPr>
          <w:p>
            <w:pPr>
              <w:spacing w:after="0"/>
            </w:pPr>
            <w:r/>
            <w:r>
              <w:rPr>
                <w:sz w:val="17"/>
              </w:rPr>
              <w:t>Source: Krämer, Senellart &amp; de Streel (2020), Making Data Portability More Effective, CERRE</w:t>
            </w:r>
          </w:p>
        </w:tc>
      </w:tr>
      <w:tr>
        <w:tc>
          <w:tcPr>
            <w:tcW w:type="dxa" w:w="1560"/>
          </w:tcPr>
          <w:p>
            <w:pPr>
              <w:spacing w:after="0"/>
            </w:pPr>
            <w:r/>
            <w:r>
              <w:rPr>
                <w:sz w:val="17"/>
              </w:rPr>
              <w:t>P-5</w:t>
            </w:r>
          </w:p>
        </w:tc>
        <w:tc>
          <w:tcPr>
            <w:tcW w:type="dxa" w:w="1560"/>
          </w:tcPr>
          <w:p>
            <w:pPr>
              <w:spacing w:after="0"/>
            </w:pPr>
            <w:r/>
            <w:r>
              <w:rPr>
                <w:sz w:val="17"/>
              </w:rPr>
              <w:t>Policy scenarios</w:t>
            </w:r>
          </w:p>
        </w:tc>
        <w:tc>
          <w:tcPr>
            <w:tcW w:type="dxa" w:w="1560"/>
          </w:tcPr>
          <w:p>
            <w:pPr>
              <w:spacing w:after="0"/>
            </w:pPr>
            <w:r/>
            <w:r>
              <w:rPr>
                <w:sz w:val="17"/>
              </w:rPr>
              <w:t>Combined Intervention</w:t>
            </w:r>
          </w:p>
        </w:tc>
        <w:tc>
          <w:tcPr>
            <w:tcW w:type="dxa" w:w="1560"/>
          </w:tcPr>
          <w:p>
            <w:pPr>
              <w:spacing w:after="0"/>
            </w:pPr>
            <w:r/>
            <w:r>
              <w:rPr>
                <w:sz w:val="17"/>
              </w:rPr>
              <w:t>DWL reduction base 0.55 [0.45, 0.65]; cost $15.0B [$12.0B, $20.0B]</w:t>
            </w:r>
          </w:p>
        </w:tc>
        <w:tc>
          <w:tcPr>
            <w:tcW w:type="dxa" w:w="1560"/>
          </w:tcPr>
          <w:p>
            <w:pPr>
              <w:spacing w:after="0"/>
            </w:pPr>
            <w:r/>
            <w:r>
              <w:rPr>
                <w:sz w:val="17"/>
              </w:rPr>
              <w:t>share; $B</w:t>
            </w:r>
          </w:p>
        </w:tc>
        <w:tc>
          <w:tcPr>
            <w:tcW w:type="dxa" w:w="1560"/>
          </w:tcPr>
          <w:p>
            <w:pPr>
              <w:spacing w:after="0"/>
            </w:pPr>
            <w:r/>
            <w:r>
              <w:rPr>
                <w:sz w:val="17"/>
              </w:rPr>
              <w:t>Source: Policy complementarity (Crémer et al. 2019)</w:t>
            </w:r>
          </w:p>
        </w:tc>
      </w:tr>
      <w:tr>
        <w:tc>
          <w:tcPr>
            <w:tcW w:type="dxa" w:w="1560"/>
            <w:shd w:val="clear" w:color="auto" w:fill="EDF1F5"/>
          </w:tcPr>
          <w:p>
            <w:pPr>
              <w:spacing w:after="0"/>
            </w:pPr>
            <w:r/>
            <w:r>
              <w:rPr>
                <w:sz w:val="17"/>
              </w:rPr>
              <w:t>D-01</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OpenAI &lt;- NVIDIA ($105B credit support for Ohio DC)</w:t>
            </w:r>
          </w:p>
        </w:tc>
        <w:tc>
          <w:tcPr>
            <w:tcW w:type="dxa" w:w="1560"/>
            <w:shd w:val="clear" w:color="auto" w:fill="EDF1F5"/>
          </w:tcPr>
          <w:p>
            <w:pPr>
              <w:spacing w:after="0"/>
            </w:pPr>
            <w:r/>
            <w:r>
              <w:rPr>
                <w:sz w:val="17"/>
              </w:rPr>
              <w:t>105.00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Critical; circ factor 0.98; booking committed; source: FinanceFeeds Aug 2026 (contingent residual-value guarantee; pays only on OpenAI lease default)</w:t>
            </w:r>
          </w:p>
        </w:tc>
      </w:tr>
      <w:tr>
        <w:tc>
          <w:tcPr>
            <w:tcW w:type="dxa" w:w="1560"/>
          </w:tcPr>
          <w:p>
            <w:pPr>
              <w:spacing w:after="0"/>
            </w:pPr>
            <w:r/>
            <w:r>
              <w:rPr>
                <w:sz w:val="17"/>
              </w:rPr>
              <w:t>D-02</w:t>
            </w:r>
          </w:p>
        </w:tc>
        <w:tc>
          <w:tcPr>
            <w:tcW w:type="dxa" w:w="1560"/>
          </w:tcPr>
          <w:p>
            <w:pPr>
              <w:spacing w:after="0"/>
            </w:pPr>
            <w:r/>
            <w:r>
              <w:rPr>
                <w:sz w:val="17"/>
              </w:rPr>
              <w:t>Circular deals</w:t>
            </w:r>
          </w:p>
        </w:tc>
        <w:tc>
          <w:tcPr>
            <w:tcW w:type="dxa" w:w="1560"/>
          </w:tcPr>
          <w:p>
            <w:pPr>
              <w:spacing w:after="0"/>
            </w:pPr>
            <w:r/>
            <w:r>
              <w:rPr>
                <w:sz w:val="17"/>
              </w:rPr>
              <w:t>Anthropic &lt;- Nvidia-backed Lambda + Nscale ($80B compute)</w:t>
            </w:r>
          </w:p>
        </w:tc>
        <w:tc>
          <w:tcPr>
            <w:tcW w:type="dxa" w:w="1560"/>
          </w:tcPr>
          <w:p>
            <w:pPr>
              <w:spacing w:after="0"/>
            </w:pPr>
            <w:r/>
            <w:r>
              <w:rPr>
                <w:sz w:val="17"/>
              </w:rPr>
              <w:t>80.00</w:t>
            </w:r>
          </w:p>
        </w:tc>
        <w:tc>
          <w:tcPr>
            <w:tcW w:type="dxa" w:w="1560"/>
          </w:tcPr>
          <w:p>
            <w:pPr>
              <w:spacing w:after="0"/>
            </w:pPr>
            <w:r/>
            <w:r>
              <w:rPr>
                <w:sz w:val="17"/>
              </w:rPr>
              <w:t>$B committed</w:t>
            </w:r>
          </w:p>
        </w:tc>
        <w:tc>
          <w:tcPr>
            <w:tcW w:type="dxa" w:w="1560"/>
          </w:tcPr>
          <w:p>
            <w:pPr>
              <w:spacing w:after="0"/>
            </w:pPr>
            <w:r/>
            <w:r>
              <w:rPr>
                <w:sz w:val="17"/>
              </w:rPr>
              <w:t>Risk Critical; circ factor 0.95; booking committed; source: WSJ/Reuters Aug 30 2026 ($45B Nscale + $35B Lambda compute)</w:t>
            </w:r>
          </w:p>
        </w:tc>
      </w:tr>
      <w:tr>
        <w:tc>
          <w:tcPr>
            <w:tcW w:type="dxa" w:w="1560"/>
            <w:shd w:val="clear" w:color="auto" w:fill="EDF1F5"/>
          </w:tcPr>
          <w:p>
            <w:pPr>
              <w:spacing w:after="0"/>
            </w:pPr>
            <w:r/>
            <w:r>
              <w:rPr>
                <w:sz w:val="17"/>
              </w:rPr>
              <w:t>D-03</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CoreWeave &lt;- NVIDIA (equity + hardware + customers)</w:t>
            </w:r>
          </w:p>
        </w:tc>
        <w:tc>
          <w:tcPr>
            <w:tcW w:type="dxa" w:w="1560"/>
            <w:shd w:val="clear" w:color="auto" w:fill="EDF1F5"/>
          </w:tcPr>
          <w:p>
            <w:pPr>
              <w:spacing w:after="0"/>
            </w:pPr>
            <w:r/>
            <w:r>
              <w:rPr>
                <w:sz w:val="17"/>
              </w:rPr>
              <w:t>2.00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Critical; circ factor 0.98; booking committed; source: Reuters/TechCrunch Jan 26 2026 ($2B at $87.20; prior 24.3M-share stake)</w:t>
            </w:r>
          </w:p>
        </w:tc>
      </w:tr>
      <w:tr>
        <w:tc>
          <w:tcPr>
            <w:tcW w:type="dxa" w:w="1560"/>
          </w:tcPr>
          <w:p>
            <w:pPr>
              <w:spacing w:after="0"/>
            </w:pPr>
            <w:r/>
            <w:r>
              <w:rPr>
                <w:sz w:val="17"/>
              </w:rPr>
              <w:t>D-04</w:t>
            </w:r>
          </w:p>
        </w:tc>
        <w:tc>
          <w:tcPr>
            <w:tcW w:type="dxa" w:w="1560"/>
          </w:tcPr>
          <w:p>
            <w:pPr>
              <w:spacing w:after="0"/>
            </w:pPr>
            <w:r/>
            <w:r>
              <w:rPr>
                <w:sz w:val="17"/>
              </w:rPr>
              <w:t>Circular deals</w:t>
            </w:r>
          </w:p>
        </w:tc>
        <w:tc>
          <w:tcPr>
            <w:tcW w:type="dxa" w:w="1560"/>
          </w:tcPr>
          <w:p>
            <w:pPr>
              <w:spacing w:after="0"/>
            </w:pPr>
            <w:r/>
            <w:r>
              <w:rPr>
                <w:sz w:val="17"/>
              </w:rPr>
              <w:t>Meta &lt;- CoreWeave (5-yr compute contract)</w:t>
            </w:r>
          </w:p>
        </w:tc>
        <w:tc>
          <w:tcPr>
            <w:tcW w:type="dxa" w:w="1560"/>
          </w:tcPr>
          <w:p>
            <w:pPr>
              <w:spacing w:after="0"/>
            </w:pPr>
            <w:r/>
            <w:r>
              <w:rPr>
                <w:sz w:val="17"/>
              </w:rPr>
              <w:t>14.20</w:t>
            </w:r>
          </w:p>
        </w:tc>
        <w:tc>
          <w:tcPr>
            <w:tcW w:type="dxa" w:w="1560"/>
          </w:tcPr>
          <w:p>
            <w:pPr>
              <w:spacing w:after="0"/>
            </w:pPr>
            <w:r/>
            <w:r>
              <w:rPr>
                <w:sz w:val="17"/>
              </w:rPr>
              <w:t>$B committed</w:t>
            </w:r>
          </w:p>
        </w:tc>
        <w:tc>
          <w:tcPr>
            <w:tcW w:type="dxa" w:w="1560"/>
          </w:tcPr>
          <w:p>
            <w:pPr>
              <w:spacing w:after="0"/>
            </w:pPr>
            <w:r/>
            <w:r>
              <w:rPr>
                <w:sz w:val="17"/>
              </w:rPr>
              <w:t>Risk Medium; circ factor 0.6; booking committed; source: CoreWeave SEC filing Sep 30 2025, up to $14.2B (Reuters/WSJ); $21B expansion Apr 2026 disclosed, not added</w:t>
            </w:r>
          </w:p>
        </w:tc>
      </w:tr>
      <w:tr>
        <w:tc>
          <w:tcPr>
            <w:tcW w:type="dxa" w:w="1560"/>
            <w:shd w:val="clear" w:color="auto" w:fill="EDF1F5"/>
          </w:tcPr>
          <w:p>
            <w:pPr>
              <w:spacing w:after="0"/>
            </w:pPr>
            <w:r/>
            <w:r>
              <w:rPr>
                <w:sz w:val="17"/>
              </w:rPr>
              <w:t>D-05</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Microsoft Azure &lt;- OpenAI (equity + model exclusivity)</w:t>
            </w:r>
          </w:p>
        </w:tc>
        <w:tc>
          <w:tcPr>
            <w:tcW w:type="dxa" w:w="1560"/>
            <w:shd w:val="clear" w:color="auto" w:fill="EDF1F5"/>
          </w:tcPr>
          <w:p>
            <w:pPr>
              <w:spacing w:after="0"/>
            </w:pPr>
            <w:r/>
            <w:r>
              <w:rPr>
                <w:sz w:val="17"/>
              </w:rPr>
              <w:t>13.00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0.85; booking committed; source: Cumulative $13B: $1B (2019) + $10B (2023) + extensions (Bloomberg Law/Motley Fool)</w:t>
            </w:r>
          </w:p>
        </w:tc>
      </w:tr>
      <w:tr>
        <w:tc>
          <w:tcPr>
            <w:tcW w:type="dxa" w:w="1560"/>
          </w:tcPr>
          <w:p>
            <w:pPr>
              <w:spacing w:after="0"/>
            </w:pPr>
            <w:r/>
            <w:r>
              <w:rPr>
                <w:sz w:val="17"/>
              </w:rPr>
              <w:t>D-06</w:t>
            </w:r>
          </w:p>
        </w:tc>
        <w:tc>
          <w:tcPr>
            <w:tcW w:type="dxa" w:w="1560"/>
          </w:tcPr>
          <w:p>
            <w:pPr>
              <w:spacing w:after="0"/>
            </w:pPr>
            <w:r/>
            <w:r>
              <w:rPr>
                <w:sz w:val="17"/>
              </w:rPr>
              <w:t>Circular deals</w:t>
            </w:r>
          </w:p>
        </w:tc>
        <w:tc>
          <w:tcPr>
            <w:tcW w:type="dxa" w:w="1560"/>
          </w:tcPr>
          <w:p>
            <w:pPr>
              <w:spacing w:after="0"/>
            </w:pPr>
            <w:r/>
            <w:r>
              <w:rPr>
                <w:sz w:val="17"/>
              </w:rPr>
              <w:t>AWS &lt;- Anthropic (strategic stake + compute buyer)</w:t>
            </w:r>
          </w:p>
        </w:tc>
        <w:tc>
          <w:tcPr>
            <w:tcW w:type="dxa" w:w="1560"/>
          </w:tcPr>
          <w:p>
            <w:pPr>
              <w:spacing w:after="0"/>
            </w:pPr>
            <w:r/>
            <w:r>
              <w:rPr>
                <w:sz w:val="17"/>
              </w:rPr>
              <w:t>13.00</w:t>
            </w:r>
          </w:p>
        </w:tc>
        <w:tc>
          <w:tcPr>
            <w:tcW w:type="dxa" w:w="1560"/>
          </w:tcPr>
          <w:p>
            <w:pPr>
              <w:spacing w:after="0"/>
            </w:pPr>
            <w:r/>
            <w:r>
              <w:rPr>
                <w:sz w:val="17"/>
              </w:rPr>
              <w:t>$B committed</w:t>
            </w:r>
          </w:p>
        </w:tc>
        <w:tc>
          <w:tcPr>
            <w:tcW w:type="dxa" w:w="1560"/>
          </w:tcPr>
          <w:p>
            <w:pPr>
              <w:spacing w:after="0"/>
            </w:pPr>
            <w:r/>
            <w:r>
              <w:rPr>
                <w:sz w:val="17"/>
              </w:rPr>
              <w:t>Risk Medium; circ factor 0.75; booking committed; source: Reuters Apr 20 2026 + Barron’s ($8B 2023-24 + $5B Apr 2026; $20B conditional + $100B/10yr reverse AWS spend disclosed, not added)</w:t>
            </w:r>
          </w:p>
        </w:tc>
      </w:tr>
      <w:tr>
        <w:tc>
          <w:tcPr>
            <w:tcW w:type="dxa" w:w="1560"/>
            <w:shd w:val="clear" w:color="auto" w:fill="EDF1F5"/>
          </w:tcPr>
          <w:p>
            <w:pPr>
              <w:spacing w:after="0"/>
            </w:pPr>
            <w:r/>
            <w:r>
              <w:rPr>
                <w:sz w:val="17"/>
              </w:rPr>
              <w:t>D-07</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NVIDIA GPU Buyers &lt;- NVIDIA + six-platform ($500B+ MOU facility)</w:t>
            </w:r>
          </w:p>
        </w:tc>
        <w:tc>
          <w:tcPr>
            <w:tcW w:type="dxa" w:w="1560"/>
            <w:shd w:val="clear" w:color="auto" w:fill="EDF1F5"/>
          </w:tcPr>
          <w:p>
            <w:pPr>
              <w:spacing w:after="0"/>
            </w:pPr>
            <w:r/>
            <w:r>
              <w:rPr>
                <w:sz w:val="17"/>
              </w:rPr>
              <w:t>500.00</w:t>
            </w:r>
          </w:p>
        </w:tc>
        <w:tc>
          <w:tcPr>
            <w:tcW w:type="dxa" w:w="1560"/>
            <w:shd w:val="clear" w:color="auto" w:fill="EDF1F5"/>
          </w:tcPr>
          <w:p>
            <w:pPr>
              <w:spacing w:after="0"/>
            </w:pPr>
            <w:r/>
            <w:r>
              <w:rPr>
                <w:sz w:val="17"/>
              </w:rPr>
              <w:t>$B prospective (tracked, not in committed total)</w:t>
            </w:r>
          </w:p>
        </w:tc>
        <w:tc>
          <w:tcPr>
            <w:tcW w:type="dxa" w:w="1560"/>
            <w:shd w:val="clear" w:color="auto" w:fill="EDF1F5"/>
          </w:tcPr>
          <w:p>
            <w:pPr>
              <w:spacing w:after="0"/>
            </w:pPr>
            <w:r/>
            <w:r>
              <w:rPr>
                <w:sz w:val="17"/>
              </w:rPr>
              <w:t>Risk Critical; circ factor 0.5; booking prospective; source: NVIDIA newsroom Aug 10 2026 (MOUs to mobilize over $500B over time; prospective)</w:t>
            </w:r>
          </w:p>
        </w:tc>
      </w:tr>
      <w:tr>
        <w:tc>
          <w:tcPr>
            <w:tcW w:type="dxa" w:w="1560"/>
          </w:tcPr>
          <w:p>
            <w:pPr>
              <w:spacing w:after="0"/>
            </w:pPr>
            <w:r/>
            <w:r>
              <w:rPr>
                <w:sz w:val="17"/>
              </w:rPr>
              <w:t>D-08</w:t>
            </w:r>
          </w:p>
        </w:tc>
        <w:tc>
          <w:tcPr>
            <w:tcW w:type="dxa" w:w="1560"/>
          </w:tcPr>
          <w:p>
            <w:pPr>
              <w:spacing w:after="0"/>
            </w:pPr>
            <w:r/>
            <w:r>
              <w:rPr>
                <w:sz w:val="17"/>
              </w:rPr>
              <w:t>Circular deals</w:t>
            </w:r>
          </w:p>
        </w:tc>
        <w:tc>
          <w:tcPr>
            <w:tcW w:type="dxa" w:w="1560"/>
          </w:tcPr>
          <w:p>
            <w:pPr>
              <w:spacing w:after="0"/>
            </w:pPr>
            <w:r/>
            <w:r>
              <w:rPr>
                <w:sz w:val="17"/>
              </w:rPr>
              <w:t>All Frontier Models &lt;- NVIDIA GPU supply (Blackwell/Rubin)</w:t>
            </w:r>
          </w:p>
        </w:tc>
        <w:tc>
          <w:tcPr>
            <w:tcW w:type="dxa" w:w="1560"/>
          </w:tcPr>
          <w:p>
            <w:pPr>
              <w:spacing w:after="0"/>
            </w:pPr>
            <w:r/>
            <w:r>
              <w:rPr>
                <w:sz w:val="17"/>
              </w:rPr>
              <w:t>249.20</w:t>
            </w:r>
          </w:p>
        </w:tc>
        <w:tc>
          <w:tcPr>
            <w:tcW w:type="dxa" w:w="1560"/>
          </w:tcPr>
          <w:p>
            <w:pPr>
              <w:spacing w:after="0"/>
            </w:pPr>
            <w:r/>
            <w:r>
              <w:rPr>
                <w:sz w:val="17"/>
              </w:rPr>
              <w:t>$B committed</w:t>
            </w:r>
          </w:p>
        </w:tc>
        <w:tc>
          <w:tcPr>
            <w:tcW w:type="dxa" w:w="1560"/>
          </w:tcPr>
          <w:p>
            <w:pPr>
              <w:spacing w:after="0"/>
            </w:pPr>
            <w:r/>
            <w:r>
              <w:rPr>
                <w:sz w:val="17"/>
              </w:rPr>
              <w:t>Risk Critical; circ factor 0.95; booking committed; source: NVIDIA company IR Aug 26 2026 (DC rev $62.3B Q2 FY27 x4 run-rate; aggregate supply exposure)</w:t>
            </w:r>
          </w:p>
        </w:tc>
      </w:tr>
      <w:tr>
        <w:tc>
          <w:tcPr>
            <w:tcW w:type="dxa" w:w="1560"/>
            <w:shd w:val="clear" w:color="auto" w:fill="EDF1F5"/>
          </w:tcPr>
          <w:p>
            <w:pPr>
              <w:spacing w:after="0"/>
            </w:pPr>
            <w:r/>
            <w:r>
              <w:rPr>
                <w:sz w:val="17"/>
              </w:rPr>
              <w:t>D-09</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AI Wrappers (Cursor/Perplexity) &lt;- Anthropic/OpenAI (API)</w:t>
            </w:r>
          </w:p>
        </w:tc>
        <w:tc>
          <w:tcPr>
            <w:tcW w:type="dxa" w:w="1560"/>
            <w:shd w:val="clear" w:color="auto" w:fill="EDF1F5"/>
          </w:tcPr>
          <w:p>
            <w:pPr>
              <w:spacing w:after="0"/>
            </w:pPr>
            <w:r/>
            <w:r>
              <w:rPr>
                <w:sz w:val="17"/>
              </w:rPr>
              <w:t>2.00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0.75; booking committed; source: Stylized API-spend flow (not a sourced deal; booked as flow proxy)</w:t>
            </w:r>
          </w:p>
        </w:tc>
      </w:tr>
      <w:tr>
        <w:tc>
          <w:tcPr>
            <w:tcW w:type="dxa" w:w="1560"/>
          </w:tcPr>
          <w:p>
            <w:pPr>
              <w:spacing w:after="0"/>
            </w:pPr>
            <w:r/>
            <w:r>
              <w:rPr>
                <w:sz w:val="17"/>
              </w:rPr>
              <w:t>D-10</w:t>
            </w:r>
          </w:p>
        </w:tc>
        <w:tc>
          <w:tcPr>
            <w:tcW w:type="dxa" w:w="1560"/>
          </w:tcPr>
          <w:p>
            <w:pPr>
              <w:spacing w:after="0"/>
            </w:pPr>
            <w:r/>
            <w:r>
              <w:rPr>
                <w:sz w:val="17"/>
              </w:rPr>
              <w:t>Circular deals</w:t>
            </w:r>
          </w:p>
        </w:tc>
        <w:tc>
          <w:tcPr>
            <w:tcW w:type="dxa" w:w="1560"/>
          </w:tcPr>
          <w:p>
            <w:pPr>
              <w:spacing w:after="0"/>
            </w:pPr>
            <w:r/>
            <w:r>
              <w:rPr>
                <w:sz w:val="17"/>
              </w:rPr>
              <w:t>SB Energy &lt;- OpenAI ($5.5B warrants perk)</w:t>
            </w:r>
          </w:p>
        </w:tc>
        <w:tc>
          <w:tcPr>
            <w:tcW w:type="dxa" w:w="1560"/>
          </w:tcPr>
          <w:p>
            <w:pPr>
              <w:spacing w:after="0"/>
            </w:pPr>
            <w:r/>
            <w:r>
              <w:rPr>
                <w:sz w:val="17"/>
              </w:rPr>
              <w:t>5.50</w:t>
            </w:r>
          </w:p>
        </w:tc>
        <w:tc>
          <w:tcPr>
            <w:tcW w:type="dxa" w:w="1560"/>
          </w:tcPr>
          <w:p>
            <w:pPr>
              <w:spacing w:after="0"/>
            </w:pPr>
            <w:r/>
            <w:r>
              <w:rPr>
                <w:sz w:val="17"/>
              </w:rPr>
              <w:t>$B committed</w:t>
            </w:r>
          </w:p>
        </w:tc>
        <w:tc>
          <w:tcPr>
            <w:tcW w:type="dxa" w:w="1560"/>
          </w:tcPr>
          <w:p>
            <w:pPr>
              <w:spacing w:after="0"/>
            </w:pPr>
            <w:r/>
            <w:r>
              <w:rPr>
                <w:sz w:val="17"/>
              </w:rPr>
              <w:t>Risk Medium; circ factor 0.9; booking committed; source: WSJ Sep 2026 via SB Energy IPO filing (warrants ~$5.5B); OpenAI/SoftBank $500M each Jan 2026 (Reuters)</w:t>
            </w:r>
          </w:p>
        </w:tc>
      </w:tr>
      <w:tr>
        <w:tc>
          <w:tcPr>
            <w:tcW w:type="dxa" w:w="1560"/>
            <w:shd w:val="clear" w:color="auto" w:fill="EDF1F5"/>
          </w:tcPr>
          <w:p>
            <w:pPr>
              <w:spacing w:after="0"/>
            </w:pPr>
            <w:r/>
            <w:r>
              <w:rPr>
                <w:sz w:val="17"/>
              </w:rPr>
              <w:t>D-11</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Hugging Face &lt;- NVIDIA (acquisition target)</w:t>
            </w:r>
          </w:p>
        </w:tc>
        <w:tc>
          <w:tcPr>
            <w:tcW w:type="dxa" w:w="1560"/>
            <w:shd w:val="clear" w:color="auto" w:fill="EDF1F5"/>
          </w:tcPr>
          <w:p>
            <w:pPr>
              <w:spacing w:after="0"/>
            </w:pPr>
            <w:r/>
            <w:r>
              <w:rPr>
                <w:sz w:val="17"/>
              </w:rPr>
              <w:t>12.93</w:t>
            </w:r>
          </w:p>
        </w:tc>
        <w:tc>
          <w:tcPr>
            <w:tcW w:type="dxa" w:w="1560"/>
            <w:shd w:val="clear" w:color="auto" w:fill="EDF1F5"/>
          </w:tcPr>
          <w:p>
            <w:pPr>
              <w:spacing w:after="0"/>
            </w:pPr>
            <w:r/>
            <w:r>
              <w:rPr>
                <w:sz w:val="17"/>
              </w:rPr>
              <w:t>$B vertical-integration (tracked, not in committed total)</w:t>
            </w:r>
          </w:p>
        </w:tc>
        <w:tc>
          <w:tcPr>
            <w:tcW w:type="dxa" w:w="1560"/>
            <w:shd w:val="clear" w:color="auto" w:fill="EDF1F5"/>
          </w:tcPr>
          <w:p>
            <w:pPr>
              <w:spacing w:after="0"/>
            </w:pPr>
            <w:r/>
            <w:r>
              <w:rPr>
                <w:sz w:val="17"/>
              </w:rPr>
              <w:t>Risk Low; circ factor 0.8; booking vertical-integration; source: TechCrunch/CNN/WSJ Sep 3 2026 (acquisition)</w:t>
            </w:r>
          </w:p>
        </w:tc>
      </w:tr>
      <w:tr>
        <w:tc>
          <w:tcPr>
            <w:tcW w:type="dxa" w:w="1560"/>
          </w:tcPr>
          <w:p>
            <w:pPr>
              <w:spacing w:after="0"/>
            </w:pPr>
            <w:r/>
            <w:r>
              <w:rPr>
                <w:sz w:val="17"/>
              </w:rPr>
              <w:t>D-12</w:t>
            </w:r>
          </w:p>
        </w:tc>
        <w:tc>
          <w:tcPr>
            <w:tcW w:type="dxa" w:w="1560"/>
          </w:tcPr>
          <w:p>
            <w:pPr>
              <w:spacing w:after="0"/>
            </w:pPr>
            <w:r/>
            <w:r>
              <w:rPr>
                <w:sz w:val="17"/>
              </w:rPr>
              <w:t>Circular deals</w:t>
            </w:r>
          </w:p>
        </w:tc>
        <w:tc>
          <w:tcPr>
            <w:tcW w:type="dxa" w:w="1560"/>
          </w:tcPr>
          <w:p>
            <w:pPr>
              <w:spacing w:after="0"/>
            </w:pPr>
            <w:r/>
            <w:r>
              <w:rPr>
                <w:sz w:val="17"/>
              </w:rPr>
              <w:t>Nscale/Lambda &lt;- Nvidia (backing + compute demand from AI labs)</w:t>
            </w:r>
          </w:p>
        </w:tc>
        <w:tc>
          <w:tcPr>
            <w:tcW w:type="dxa" w:w="1560"/>
          </w:tcPr>
          <w:p>
            <w:pPr>
              <w:spacing w:after="0"/>
            </w:pPr>
            <w:r/>
            <w:r>
              <w:rPr>
                <w:sz w:val="17"/>
              </w:rPr>
              <w:t>3.50</w:t>
            </w:r>
          </w:p>
        </w:tc>
        <w:tc>
          <w:tcPr>
            <w:tcW w:type="dxa" w:w="1560"/>
          </w:tcPr>
          <w:p>
            <w:pPr>
              <w:spacing w:after="0"/>
            </w:pPr>
            <w:r/>
            <w:r>
              <w:rPr>
                <w:sz w:val="17"/>
              </w:rPr>
              <w:t>$B committed</w:t>
            </w:r>
          </w:p>
        </w:tc>
        <w:tc>
          <w:tcPr>
            <w:tcW w:type="dxa" w:w="1560"/>
          </w:tcPr>
          <w:p>
            <w:pPr>
              <w:spacing w:after="0"/>
            </w:pPr>
            <w:r/>
            <w:r>
              <w:rPr>
                <w:sz w:val="17"/>
              </w:rPr>
              <w:t>Risk High; circ factor 0.95; booking committed; source: Reuters/DCD Sep 4 2026 ($1.5B converts + ~$2B Nvidia; pre-IPO round sought)</w:t>
            </w:r>
          </w:p>
        </w:tc>
      </w:tr>
      <w:tr>
        <w:tc>
          <w:tcPr>
            <w:tcW w:type="dxa" w:w="1560"/>
            <w:shd w:val="clear" w:color="auto" w:fill="EDF1F5"/>
          </w:tcPr>
          <w:p>
            <w:pPr>
              <w:spacing w:after="0"/>
            </w:pPr>
            <w:r/>
            <w:r>
              <w:rPr>
                <w:sz w:val="17"/>
              </w:rPr>
              <w:t>D-13</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OpenAI &lt;- AWS ($38B multi-year cloud agreement)</w:t>
            </w:r>
          </w:p>
        </w:tc>
        <w:tc>
          <w:tcPr>
            <w:tcW w:type="dxa" w:w="1560"/>
            <w:shd w:val="clear" w:color="auto" w:fill="EDF1F5"/>
          </w:tcPr>
          <w:p>
            <w:pPr>
              <w:spacing w:after="0"/>
            </w:pPr>
            <w:r/>
            <w:r>
              <w:rPr>
                <w:sz w:val="17"/>
              </w:rPr>
              <w:t>38.00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0.9; booking committed; source: RTTNews/DCD/GeekWire Nov 2025 (multi-year cloud agreement)</w:t>
            </w:r>
          </w:p>
        </w:tc>
      </w:tr>
      <w:tr>
        <w:tc>
          <w:tcPr>
            <w:tcW w:type="dxa" w:w="1560"/>
          </w:tcPr>
          <w:p>
            <w:pPr>
              <w:spacing w:after="0"/>
            </w:pPr>
            <w:r/>
            <w:r>
              <w:rPr>
                <w:sz w:val="17"/>
              </w:rPr>
              <w:t>D-14</w:t>
            </w:r>
          </w:p>
        </w:tc>
        <w:tc>
          <w:tcPr>
            <w:tcW w:type="dxa" w:w="1560"/>
          </w:tcPr>
          <w:p>
            <w:pPr>
              <w:spacing w:after="0"/>
            </w:pPr>
            <w:r/>
            <w:r>
              <w:rPr>
                <w:sz w:val="17"/>
              </w:rPr>
              <w:t>Circular deals</w:t>
            </w:r>
          </w:p>
        </w:tc>
        <w:tc>
          <w:tcPr>
            <w:tcW w:type="dxa" w:w="1560"/>
          </w:tcPr>
          <w:p>
            <w:pPr>
              <w:spacing w:after="0"/>
            </w:pPr>
            <w:r/>
            <w:r>
              <w:rPr>
                <w:sz w:val="17"/>
              </w:rPr>
              <w:t>Anthropic &lt;- Fluidstack ($50B reported compute)</w:t>
            </w:r>
          </w:p>
        </w:tc>
        <w:tc>
          <w:tcPr>
            <w:tcW w:type="dxa" w:w="1560"/>
          </w:tcPr>
          <w:p>
            <w:pPr>
              <w:spacing w:after="0"/>
            </w:pPr>
            <w:r/>
            <w:r>
              <w:rPr>
                <w:sz w:val="17"/>
              </w:rPr>
              <w:t>50.00</w:t>
            </w:r>
          </w:p>
        </w:tc>
        <w:tc>
          <w:tcPr>
            <w:tcW w:type="dxa" w:w="1560"/>
          </w:tcPr>
          <w:p>
            <w:pPr>
              <w:spacing w:after="0"/>
            </w:pPr>
            <w:r/>
            <w:r>
              <w:rPr>
                <w:sz w:val="17"/>
              </w:rPr>
              <w:t>$B committed</w:t>
            </w:r>
          </w:p>
        </w:tc>
        <w:tc>
          <w:tcPr>
            <w:tcW w:type="dxa" w:w="1560"/>
          </w:tcPr>
          <w:p>
            <w:pPr>
              <w:spacing w:after="0"/>
            </w:pPr>
            <w:r/>
            <w:r>
              <w:rPr>
                <w:sz w:val="17"/>
              </w:rPr>
              <w:t>Risk High; circ factor 0.9; booking committed; source: Bloomberg tally via trade press Aug 2026 (reported compute)</w:t>
            </w:r>
          </w:p>
        </w:tc>
      </w:tr>
      <w:tr>
        <w:tc>
          <w:tcPr>
            <w:tcW w:type="dxa" w:w="1560"/>
            <w:shd w:val="clear" w:color="auto" w:fill="EDF1F5"/>
          </w:tcPr>
          <w:p>
            <w:pPr>
              <w:spacing w:after="0"/>
            </w:pPr>
            <w:r/>
            <w:r>
              <w:rPr>
                <w:sz w:val="17"/>
              </w:rPr>
              <w:t>D-15</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Anthropic &lt;- SpaceX Colossus ($45B reported capacity)</w:t>
            </w:r>
          </w:p>
        </w:tc>
        <w:tc>
          <w:tcPr>
            <w:tcW w:type="dxa" w:w="1560"/>
            <w:shd w:val="clear" w:color="auto" w:fill="EDF1F5"/>
          </w:tcPr>
          <w:p>
            <w:pPr>
              <w:spacing w:after="0"/>
            </w:pPr>
            <w:r/>
            <w:r>
              <w:rPr>
                <w:sz w:val="17"/>
              </w:rPr>
              <w:t>45.00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0.9; booking committed; source: Bloomberg tally via trade press Aug 2026 (reported capacity)</w:t>
            </w:r>
          </w:p>
        </w:tc>
      </w:tr>
      <w:tr>
        <w:tc>
          <w:tcPr>
            <w:tcW w:type="dxa" w:w="1560"/>
          </w:tcPr>
          <w:p>
            <w:pPr>
              <w:spacing w:after="0"/>
            </w:pPr>
            <w:r/>
            <w:r>
              <w:rPr>
                <w:sz w:val="17"/>
              </w:rPr>
              <w:t>D-16</w:t>
            </w:r>
          </w:p>
        </w:tc>
        <w:tc>
          <w:tcPr>
            <w:tcW w:type="dxa" w:w="1560"/>
          </w:tcPr>
          <w:p>
            <w:pPr>
              <w:spacing w:after="0"/>
            </w:pPr>
            <w:r/>
            <w:r>
              <w:rPr>
                <w:sz w:val="17"/>
              </w:rPr>
              <w:t>Circular deals</w:t>
            </w:r>
          </w:p>
        </w:tc>
        <w:tc>
          <w:tcPr>
            <w:tcW w:type="dxa" w:w="1560"/>
          </w:tcPr>
          <w:p>
            <w:pPr>
              <w:spacing w:after="0"/>
            </w:pPr>
            <w:r/>
            <w:r>
              <w:rPr>
                <w:sz w:val="17"/>
              </w:rPr>
              <w:t>Anthropic &lt;- Volta Infra ($10B reported)</w:t>
            </w:r>
          </w:p>
        </w:tc>
        <w:tc>
          <w:tcPr>
            <w:tcW w:type="dxa" w:w="1560"/>
          </w:tcPr>
          <w:p>
            <w:pPr>
              <w:spacing w:after="0"/>
            </w:pPr>
            <w:r/>
            <w:r>
              <w:rPr>
                <w:sz w:val="17"/>
              </w:rPr>
              <w:t>10.00</w:t>
            </w:r>
          </w:p>
        </w:tc>
        <w:tc>
          <w:tcPr>
            <w:tcW w:type="dxa" w:w="1560"/>
          </w:tcPr>
          <w:p>
            <w:pPr>
              <w:spacing w:after="0"/>
            </w:pPr>
            <w:r/>
            <w:r>
              <w:rPr>
                <w:sz w:val="17"/>
              </w:rPr>
              <w:t>$B committed</w:t>
            </w:r>
          </w:p>
        </w:tc>
        <w:tc>
          <w:tcPr>
            <w:tcW w:type="dxa" w:w="1560"/>
          </w:tcPr>
          <w:p>
            <w:pPr>
              <w:spacing w:after="0"/>
            </w:pPr>
            <w:r/>
            <w:r>
              <w:rPr>
                <w:sz w:val="17"/>
              </w:rPr>
              <w:t>Risk Medium; circ factor 0.85; booking committed; source: Bloomberg tally via trade press Aug 2026 (reported)</w:t>
            </w:r>
          </w:p>
        </w:tc>
      </w:tr>
      <w:tr>
        <w:tc>
          <w:tcPr>
            <w:tcW w:type="dxa" w:w="1560"/>
            <w:shd w:val="clear" w:color="auto" w:fill="EDF1F5"/>
          </w:tcPr>
          <w:p>
            <w:pPr>
              <w:spacing w:after="0"/>
            </w:pPr>
            <w:r/>
            <w:r>
              <w:rPr>
                <w:sz w:val="17"/>
              </w:rPr>
              <w:t>D-17</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Anthropic &lt;- Google ($10B now + $30B milestones; TPU/compute)</w:t>
            </w:r>
          </w:p>
        </w:tc>
        <w:tc>
          <w:tcPr>
            <w:tcW w:type="dxa" w:w="1560"/>
            <w:shd w:val="clear" w:color="auto" w:fill="EDF1F5"/>
          </w:tcPr>
          <w:p>
            <w:pPr>
              <w:spacing w:after="0"/>
            </w:pPr>
            <w:r/>
            <w:r>
              <w:rPr>
                <w:sz w:val="17"/>
              </w:rPr>
              <w:t>10.00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0.9; booking committed; source: TechCrunch/Bloomberg Apr 2026 ($10B now + $30B milestones; ~$200B/5yr plan disclosed, not added)</w:t>
            </w:r>
          </w:p>
        </w:tc>
      </w:tr>
      <w:tr>
        <w:tc>
          <w:tcPr>
            <w:tcW w:type="dxa" w:w="1560"/>
          </w:tcPr>
          <w:p>
            <w:pPr>
              <w:spacing w:after="0"/>
            </w:pPr>
            <w:r/>
            <w:r>
              <w:rPr>
                <w:sz w:val="17"/>
              </w:rPr>
              <w:t>D-18</w:t>
            </w:r>
          </w:p>
        </w:tc>
        <w:tc>
          <w:tcPr>
            <w:tcW w:type="dxa" w:w="1560"/>
          </w:tcPr>
          <w:p>
            <w:pPr>
              <w:spacing w:after="0"/>
            </w:pPr>
            <w:r/>
            <w:r>
              <w:rPr>
                <w:sz w:val="17"/>
              </w:rPr>
              <w:t>Circular deals</w:t>
            </w:r>
          </w:p>
        </w:tc>
        <w:tc>
          <w:tcPr>
            <w:tcW w:type="dxa" w:w="1560"/>
          </w:tcPr>
          <w:p>
            <w:pPr>
              <w:spacing w:after="0"/>
            </w:pPr>
            <w:r/>
            <w:r>
              <w:rPr>
                <w:sz w:val="17"/>
              </w:rPr>
              <w:t>Anthropic &lt;- Microsoft ($5B investment; Nov 2025)</w:t>
            </w:r>
          </w:p>
        </w:tc>
        <w:tc>
          <w:tcPr>
            <w:tcW w:type="dxa" w:w="1560"/>
          </w:tcPr>
          <w:p>
            <w:pPr>
              <w:spacing w:after="0"/>
            </w:pPr>
            <w:r/>
            <w:r>
              <w:rPr>
                <w:sz w:val="17"/>
              </w:rPr>
              <w:t>5.00</w:t>
            </w:r>
          </w:p>
        </w:tc>
        <w:tc>
          <w:tcPr>
            <w:tcW w:type="dxa" w:w="1560"/>
          </w:tcPr>
          <w:p>
            <w:pPr>
              <w:spacing w:after="0"/>
            </w:pPr>
            <w:r/>
            <w:r>
              <w:rPr>
                <w:sz w:val="17"/>
              </w:rPr>
              <w:t>$B committed</w:t>
            </w:r>
          </w:p>
        </w:tc>
        <w:tc>
          <w:tcPr>
            <w:tcW w:type="dxa" w:w="1560"/>
          </w:tcPr>
          <w:p>
            <w:pPr>
              <w:spacing w:after="0"/>
            </w:pPr>
            <w:r/>
            <w:r>
              <w:rPr>
                <w:sz w:val="17"/>
              </w:rPr>
              <w:t>Risk High; circ factor 0.9; booking committed; source: GeekWire/Reuters/Morningstar Nov 2025 ($5B; NVDA up-to-$10B disclosed, not added)</w:t>
            </w:r>
          </w:p>
        </w:tc>
      </w:tr>
      <w:tr>
        <w:tc>
          <w:tcPr>
            <w:tcW w:type="dxa" w:w="1560"/>
            <w:shd w:val="clear" w:color="auto" w:fill="EDF1F5"/>
          </w:tcPr>
          <w:p>
            <w:pPr>
              <w:spacing w:after="0"/>
            </w:pPr>
            <w:r/>
            <w:r>
              <w:rPr>
                <w:sz w:val="17"/>
              </w:rPr>
              <w:t>D-19</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Anthropic &lt;- Azure ($30B compute purchase)</w:t>
            </w:r>
          </w:p>
        </w:tc>
        <w:tc>
          <w:tcPr>
            <w:tcW w:type="dxa" w:w="1560"/>
            <w:shd w:val="clear" w:color="auto" w:fill="EDF1F5"/>
          </w:tcPr>
          <w:p>
            <w:pPr>
              <w:spacing w:after="0"/>
            </w:pPr>
            <w:r/>
            <w:r>
              <w:rPr>
                <w:sz w:val="17"/>
              </w:rPr>
              <w:t>30.00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0.9; booking committed; source: Nov 2025 package face value (GeekWire/Reuters/Morningstar; like the $38B OpenAI-AWS row)</w:t>
            </w:r>
          </w:p>
        </w:tc>
      </w:tr>
      <w:tr>
        <w:tc>
          <w:tcPr>
            <w:tcW w:type="dxa" w:w="1560"/>
          </w:tcPr>
          <w:p>
            <w:pPr>
              <w:spacing w:after="0"/>
            </w:pPr>
            <w:r/>
            <w:r>
              <w:rPr>
                <w:sz w:val="17"/>
              </w:rPr>
              <w:t>X-DATA</w:t>
            </w:r>
          </w:p>
        </w:tc>
        <w:tc>
          <w:tcPr>
            <w:tcW w:type="dxa" w:w="1560"/>
          </w:tcPr>
          <w:p>
            <w:pPr>
              <w:spacing w:after="0"/>
            </w:pPr>
            <w:r/>
            <w:r>
              <w:rPr>
                <w:sz w:val="17"/>
              </w:rPr>
              <w:t>Scope: included</w:t>
            </w:r>
          </w:p>
        </w:tc>
        <w:tc>
          <w:tcPr>
            <w:tcW w:type="dxa" w:w="1560"/>
          </w:tcPr>
          <w:p>
            <w:pPr>
              <w:spacing w:after="0"/>
            </w:pPr>
            <w:r/>
            <w:r>
              <w:rPr>
                <w:sz w:val="17"/>
              </w:rPr>
              <w:t>Databricks in LLM Wrappers</w:t>
            </w:r>
          </w:p>
        </w:tc>
        <w:tc>
          <w:tcPr>
            <w:tcW w:type="dxa" w:w="1560"/>
          </w:tcPr>
          <w:p>
            <w:pPr>
              <w:spacing w:after="0"/>
            </w:pPr>
            <w:r/>
            <w:r>
              <w:rPr>
                <w:sz w:val="17"/>
              </w:rPr>
              <w:t>$190B val; ~$7B run-rate</w:t>
            </w:r>
          </w:p>
        </w:tc>
        <w:tc>
          <w:tcPr>
            <w:tcW w:type="dxa" w:w="1560"/>
          </w:tcPr>
          <w:p>
            <w:pPr>
              <w:spacing w:after="0"/>
            </w:pPr>
            <w:r/>
            <w:r>
              <w:rPr>
                <w:sz w:val="17"/>
              </w:rPr>
              <w:t>$B</w:t>
            </w:r>
          </w:p>
        </w:tc>
        <w:tc>
          <w:tcPr>
            <w:tcW w:type="dxa" w:w="1560"/>
          </w:tcPr>
          <w:p>
            <w:pPr>
              <w:spacing w:after="0"/>
            </w:pPr>
            <w:r/>
            <w:r>
              <w:rPr>
                <w:sz w:val="17"/>
              </w:rPr>
              <w:t>$5B round Aug 13 2026 (TechCrunch/Reuters); data/AI platform bucketed with app-layer wrappers</w:t>
            </w:r>
          </w:p>
        </w:tc>
      </w:tr>
      <w:tr>
        <w:tc>
          <w:tcPr>
            <w:tcW w:type="dxa" w:w="1560"/>
            <w:shd w:val="clear" w:color="auto" w:fill="EDF1F5"/>
          </w:tcPr>
          <w:p>
            <w:pPr>
              <w:spacing w:after="0"/>
            </w:pPr>
            <w:r/>
            <w:r>
              <w:rPr>
                <w:sz w:val="17"/>
              </w:rPr>
              <w:t>X-AMZN</w:t>
            </w:r>
          </w:p>
        </w:tc>
        <w:tc>
          <w:tcPr>
            <w:tcW w:type="dxa" w:w="1560"/>
            <w:shd w:val="clear" w:color="auto" w:fill="EDF1F5"/>
          </w:tcPr>
          <w:p>
            <w:pPr>
              <w:spacing w:after="0"/>
            </w:pPr>
            <w:r/>
            <w:r>
              <w:rPr>
                <w:sz w:val="17"/>
              </w:rPr>
              <w:t>Scope: updated</w:t>
            </w:r>
          </w:p>
        </w:tc>
        <w:tc>
          <w:tcPr>
            <w:tcW w:type="dxa" w:w="1560"/>
            <w:shd w:val="clear" w:color="auto" w:fill="EDF1F5"/>
          </w:tcPr>
          <w:p>
            <w:pPr>
              <w:spacing w:after="0"/>
            </w:pPr>
            <w:r/>
            <w:r>
              <w:rPr>
                <w:sz w:val="17"/>
              </w:rPr>
              <w:t>Amazon-Anthropic $13B committed</w:t>
            </w:r>
          </w:p>
        </w:tc>
        <w:tc>
          <w:tcPr>
            <w:tcW w:type="dxa" w:w="1560"/>
            <w:shd w:val="clear" w:color="auto" w:fill="EDF1F5"/>
          </w:tcPr>
          <w:p>
            <w:pPr>
              <w:spacing w:after="0"/>
            </w:pPr>
            <w:r/>
            <w:r>
              <w:rPr>
                <w:sz w:val="17"/>
              </w:rPr>
              <w:t>+$20B conditional; $100B/10yr reverse AWS spend disclosed</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Reuters/Barron's Apr 2026; conditional tranches excluded from frame by convention</w:t>
            </w:r>
          </w:p>
        </w:tc>
      </w:tr>
      <w:tr>
        <w:tc>
          <w:tcPr>
            <w:tcW w:type="dxa" w:w="1560"/>
          </w:tcPr>
          <w:p>
            <w:pPr>
              <w:spacing w:after="0"/>
            </w:pPr>
            <w:r/>
            <w:r>
              <w:rPr>
                <w:sz w:val="17"/>
              </w:rPr>
              <w:t>X-GOOG</w:t>
            </w:r>
          </w:p>
        </w:tc>
        <w:tc>
          <w:tcPr>
            <w:tcW w:type="dxa" w:w="1560"/>
          </w:tcPr>
          <w:p>
            <w:pPr>
              <w:spacing w:after="0"/>
            </w:pPr>
            <w:r/>
            <w:r>
              <w:rPr>
                <w:sz w:val="17"/>
              </w:rPr>
              <w:t>Scope: added</w:t>
            </w:r>
          </w:p>
        </w:tc>
        <w:tc>
          <w:tcPr>
            <w:tcW w:type="dxa" w:w="1560"/>
          </w:tcPr>
          <w:p>
            <w:pPr>
              <w:spacing w:after="0"/>
            </w:pPr>
            <w:r/>
            <w:r>
              <w:rPr>
                <w:sz w:val="17"/>
              </w:rPr>
              <w:t>Google-Anthropic $10B committed</w:t>
            </w:r>
          </w:p>
        </w:tc>
        <w:tc>
          <w:tcPr>
            <w:tcW w:type="dxa" w:w="1560"/>
          </w:tcPr>
          <w:p>
            <w:pPr>
              <w:spacing w:after="0"/>
            </w:pPr>
            <w:r/>
            <w:r>
              <w:rPr>
                <w:sz w:val="17"/>
              </w:rPr>
              <w:t>+$30B conditional; ~$200B/5yr plan disclosed</w:t>
            </w:r>
          </w:p>
        </w:tc>
        <w:tc>
          <w:tcPr>
            <w:tcW w:type="dxa" w:w="1560"/>
          </w:tcPr>
          <w:p>
            <w:pPr>
              <w:spacing w:after="0"/>
            </w:pPr>
            <w:r/>
            <w:r>
              <w:rPr>
                <w:sz w:val="17"/>
              </w:rPr>
              <w:t>$B</w:t>
            </w:r>
          </w:p>
        </w:tc>
        <w:tc>
          <w:tcPr>
            <w:tcW w:type="dxa" w:w="1560"/>
          </w:tcPr>
          <w:p>
            <w:pPr>
              <w:spacing w:after="0"/>
            </w:pPr>
            <w:r/>
            <w:r>
              <w:rPr>
                <w:sz w:val="17"/>
              </w:rPr>
              <w:t>TechCrunch/Bloomberg Apr 2026; reported (uncontracted) plans excluded by convention</w:t>
            </w:r>
          </w:p>
        </w:tc>
      </w:tr>
      <w:tr>
        <w:tc>
          <w:tcPr>
            <w:tcW w:type="dxa" w:w="1560"/>
            <w:shd w:val="clear" w:color="auto" w:fill="EDF1F5"/>
          </w:tcPr>
          <w:p>
            <w:pPr>
              <w:spacing w:after="0"/>
            </w:pPr>
            <w:r/>
            <w:r>
              <w:rPr>
                <w:sz w:val="17"/>
              </w:rPr>
              <w:t>X-MSFT</w:t>
            </w:r>
          </w:p>
        </w:tc>
        <w:tc>
          <w:tcPr>
            <w:tcW w:type="dxa" w:w="1560"/>
            <w:shd w:val="clear" w:color="auto" w:fill="EDF1F5"/>
          </w:tcPr>
          <w:p>
            <w:pPr>
              <w:spacing w:after="0"/>
            </w:pPr>
            <w:r/>
            <w:r>
              <w:rPr>
                <w:sz w:val="17"/>
              </w:rPr>
              <w:t>Scope: added</w:t>
            </w:r>
          </w:p>
        </w:tc>
        <w:tc>
          <w:tcPr>
            <w:tcW w:type="dxa" w:w="1560"/>
            <w:shd w:val="clear" w:color="auto" w:fill="EDF1F5"/>
          </w:tcPr>
          <w:p>
            <w:pPr>
              <w:spacing w:after="0"/>
            </w:pPr>
            <w:r/>
            <w:r>
              <w:rPr>
                <w:sz w:val="17"/>
              </w:rPr>
              <w:t>Microsoft-Anthropic $5B + Anthropic-Azure $30B (Nov 2025 package)</w:t>
            </w:r>
          </w:p>
        </w:tc>
        <w:tc>
          <w:tcPr>
            <w:tcW w:type="dxa" w:w="1560"/>
            <w:shd w:val="clear" w:color="auto" w:fill="EDF1F5"/>
          </w:tcPr>
          <w:p>
            <w:pPr>
              <w:spacing w:after="0"/>
            </w:pPr>
            <w:r/>
            <w:r>
              <w:rPr>
                <w:sz w:val="17"/>
              </w:rPr>
              <w:t>2 rows; NVDA parallel "up to $10B" disclosed, not added</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GeekWire/Reuters/Morningstar Nov 2025; conditional "up to" tranches excluded by convention</w:t>
            </w:r>
          </w:p>
        </w:tc>
      </w:tr>
      <w:tr>
        <w:tc>
          <w:tcPr>
            <w:tcW w:type="dxa" w:w="1560"/>
          </w:tcPr>
          <w:p>
            <w:pPr>
              <w:spacing w:after="0"/>
            </w:pPr>
            <w:r/>
            <w:r>
              <w:rPr>
                <w:sz w:val="17"/>
              </w:rPr>
              <w:t>X-FND</w:t>
            </w:r>
          </w:p>
        </w:tc>
        <w:tc>
          <w:tcPr>
            <w:tcW w:type="dxa" w:w="1560"/>
          </w:tcPr>
          <w:p>
            <w:pPr>
              <w:spacing w:after="0"/>
            </w:pPr>
            <w:r/>
            <w:r>
              <w:rPr>
                <w:sz w:val="17"/>
              </w:rPr>
              <w:t>Scope: excluded</w:t>
            </w:r>
          </w:p>
        </w:tc>
        <w:tc>
          <w:tcPr>
            <w:tcW w:type="dxa" w:w="1560"/>
          </w:tcPr>
          <w:p>
            <w:pPr>
              <w:spacing w:after="0"/>
            </w:pPr>
            <w:r/>
            <w:r>
              <w:rPr>
                <w:sz w:val="17"/>
              </w:rPr>
              <w:t>Foundry/equipment/memory suppliers (TSMC, ASML, HBM makers)</w:t>
            </w:r>
          </w:p>
        </w:tc>
        <w:tc>
          <w:tcPr>
            <w:tcW w:type="dxa" w:w="1560"/>
          </w:tcPr>
          <w:p>
            <w:pPr>
              <w:spacing w:after="0"/>
            </w:pPr>
            <w:r/>
            <w:r>
              <w:rPr>
                <w:sz w:val="17"/>
              </w:rPr>
            </w:r>
          </w:p>
        </w:tc>
        <w:tc>
          <w:tcPr>
            <w:tcW w:type="dxa" w:w="1560"/>
          </w:tcPr>
          <w:p>
            <w:pPr>
              <w:spacing w:after="0"/>
            </w:pPr>
            <w:r/>
            <w:r>
              <w:rPr>
                <w:sz w:val="17"/>
              </w:rPr>
            </w:r>
          </w:p>
        </w:tc>
        <w:tc>
          <w:tcPr>
            <w:tcW w:type="dxa" w:w="1560"/>
          </w:tcPr>
          <w:p>
            <w:pPr>
              <w:spacing w:after="0"/>
            </w:pPr>
            <w:r/>
            <w:r>
              <w:rPr>
                <w:sz w:val="17"/>
              </w:rPr>
              <w:t>Arms-length transactions outside the financing round-trip under study</w:t>
            </w:r>
          </w:p>
        </w:tc>
      </w:tr>
      <w:tr>
        <w:tc>
          <w:tcPr>
            <w:tcW w:type="dxa" w:w="1560"/>
            <w:shd w:val="clear" w:color="auto" w:fill="EDF1F5"/>
          </w:tcPr>
          <w:p>
            <w:pPr>
              <w:spacing w:after="0"/>
            </w:pPr>
            <w:r/>
            <w:r>
              <w:rPr>
                <w:sz w:val="17"/>
              </w:rPr>
              <w:t>X-CON</w:t>
            </w:r>
          </w:p>
        </w:tc>
        <w:tc>
          <w:tcPr>
            <w:tcW w:type="dxa" w:w="1560"/>
            <w:shd w:val="clear" w:color="auto" w:fill="EDF1F5"/>
          </w:tcPr>
          <w:p>
            <w:pPr>
              <w:spacing w:after="0"/>
            </w:pPr>
            <w:r/>
            <w:r>
              <w:rPr>
                <w:sz w:val="17"/>
              </w:rPr>
              <w:t>Scope: excluded</w:t>
            </w:r>
          </w:p>
        </w:tc>
        <w:tc>
          <w:tcPr>
            <w:tcW w:type="dxa" w:w="1560"/>
            <w:shd w:val="clear" w:color="auto" w:fill="EDF1F5"/>
          </w:tcPr>
          <w:p>
            <w:pPr>
              <w:spacing w:after="0"/>
            </w:pPr>
            <w:r/>
            <w:r>
              <w:rPr>
                <w:sz w:val="17"/>
              </w:rPr>
              <w:t>Consumer-edge names (Apple, Tesla)</w:t>
            </w:r>
          </w:p>
        </w:tc>
        <w:tc>
          <w:tcPr>
            <w:tcW w:type="dxa" w:w="1560"/>
            <w:shd w:val="clear" w:color="auto" w:fill="EDF1F5"/>
          </w:tcPr>
          <w:p>
            <w:pPr>
              <w:spacing w:after="0"/>
            </w:pPr>
            <w:r/>
            <w:r>
              <w:rPr>
                <w:sz w:val="17"/>
              </w:rPr>
            </w:r>
          </w:p>
        </w:tc>
        <w:tc>
          <w:tcPr>
            <w:tcW w:type="dxa" w:w="1560"/>
            <w:shd w:val="clear" w:color="auto" w:fill="EDF1F5"/>
          </w:tcPr>
          <w:p>
            <w:pPr>
              <w:spacing w:after="0"/>
            </w:pPr>
            <w:r/>
            <w:r>
              <w:rPr>
                <w:sz w:val="17"/>
              </w:rPr>
            </w:r>
          </w:p>
        </w:tc>
        <w:tc>
          <w:tcPr>
            <w:tcW w:type="dxa" w:w="1560"/>
            <w:shd w:val="clear" w:color="auto" w:fill="EDF1F5"/>
          </w:tcPr>
          <w:p>
            <w:pPr>
              <w:spacing w:after="0"/>
            </w:pPr>
            <w:r/>
            <w:r>
              <w:rPr>
                <w:sz w:val="17"/>
              </w:rPr>
              <w:t>No circular financing participation; minimal AI-capex exposure</w:t>
            </w:r>
          </w:p>
        </w:tc>
      </w:tr>
      <w:tr>
        <w:tc>
          <w:tcPr>
            <w:tcW w:type="dxa" w:w="1560"/>
          </w:tcPr>
          <w:p>
            <w:pPr>
              <w:spacing w:after="0"/>
            </w:pPr>
            <w:r/>
            <w:r>
              <w:rPr>
                <w:sz w:val="17"/>
              </w:rPr>
              <w:t>X-CHN</w:t>
            </w:r>
          </w:p>
        </w:tc>
        <w:tc>
          <w:tcPr>
            <w:tcW w:type="dxa" w:w="1560"/>
          </w:tcPr>
          <w:p>
            <w:pPr>
              <w:spacing w:after="0"/>
            </w:pPr>
            <w:r/>
            <w:r>
              <w:rPr>
                <w:sz w:val="17"/>
              </w:rPr>
              <w:t>Scope: excluded</w:t>
            </w:r>
          </w:p>
        </w:tc>
        <w:tc>
          <w:tcPr>
            <w:tcW w:type="dxa" w:w="1560"/>
          </w:tcPr>
          <w:p>
            <w:pPr>
              <w:spacing w:after="0"/>
            </w:pPr>
            <w:r/>
            <w:r>
              <w:rPr>
                <w:sz w:val="17"/>
              </w:rPr>
              <w:t>China labs (DeepSeek et al.)</w:t>
            </w:r>
          </w:p>
        </w:tc>
        <w:tc>
          <w:tcPr>
            <w:tcW w:type="dxa" w:w="1560"/>
          </w:tcPr>
          <w:p>
            <w:pPr>
              <w:spacing w:after="0"/>
            </w:pPr>
            <w:r/>
            <w:r>
              <w:rPr>
                <w:sz w:val="17"/>
              </w:rPr>
            </w:r>
          </w:p>
        </w:tc>
        <w:tc>
          <w:tcPr>
            <w:tcW w:type="dxa" w:w="1560"/>
          </w:tcPr>
          <w:p>
            <w:pPr>
              <w:spacing w:after="0"/>
            </w:pPr>
            <w:r/>
            <w:r>
              <w:rPr>
                <w:sz w:val="17"/>
              </w:rPr>
            </w:r>
          </w:p>
        </w:tc>
        <w:tc>
          <w:tcPr>
            <w:tcW w:type="dxa" w:w="1560"/>
          </w:tcPr>
          <w:p>
            <w:pPr>
              <w:spacing w:after="0"/>
            </w:pPr>
            <w:r/>
            <w:r>
              <w:rPr>
                <w:sz w:val="17"/>
              </w:rPr>
              <w:t>Outside US-scope model; modeled as downside-risk channel, not firms: formation w_open term (S-LOGIT-w_open, S-OWM-*) + DebtRank open-weights shock</w:t>
            </w:r>
          </w:p>
        </w:tc>
      </w:tr>
      <w:tr>
        <w:tc>
          <w:tcPr>
            <w:tcW w:type="dxa" w:w="1560"/>
            <w:shd w:val="clear" w:color="auto" w:fill="EDF1F5"/>
          </w:tcPr>
          <w:p>
            <w:pPr>
              <w:spacing w:after="0"/>
            </w:pPr>
            <w:r/>
            <w:r>
              <w:rPr>
                <w:sz w:val="17"/>
              </w:rPr>
              <w:t>X-NEO</w:t>
            </w:r>
          </w:p>
        </w:tc>
        <w:tc>
          <w:tcPr>
            <w:tcW w:type="dxa" w:w="1560"/>
            <w:shd w:val="clear" w:color="auto" w:fill="EDF1F5"/>
          </w:tcPr>
          <w:p>
            <w:pPr>
              <w:spacing w:after="0"/>
            </w:pPr>
            <w:r/>
            <w:r>
              <w:rPr>
                <w:sz w:val="17"/>
              </w:rPr>
              <w:t>Scope: covered</w:t>
            </w:r>
          </w:p>
        </w:tc>
        <w:tc>
          <w:tcPr>
            <w:tcW w:type="dxa" w:w="1560"/>
            <w:shd w:val="clear" w:color="auto" w:fill="EDF1F5"/>
          </w:tcPr>
          <w:p>
            <w:pPr>
              <w:spacing w:after="0"/>
            </w:pPr>
            <w:r/>
            <w:r>
              <w:rPr>
                <w:sz w:val="17"/>
              </w:rPr>
              <w:t>Sub-scale neoclouds (Crusoe, IREN)</w:t>
            </w:r>
          </w:p>
        </w:tc>
        <w:tc>
          <w:tcPr>
            <w:tcW w:type="dxa" w:w="1560"/>
            <w:shd w:val="clear" w:color="auto" w:fill="EDF1F5"/>
          </w:tcPr>
          <w:p>
            <w:pPr>
              <w:spacing w:after="0"/>
            </w:pPr>
            <w:r/>
            <w:r>
              <w:rPr>
                <w:sz w:val="17"/>
              </w:rPr>
              <w:t>immaterial</w:t>
            </w:r>
          </w:p>
        </w:tc>
        <w:tc>
          <w:tcPr>
            <w:tcW w:type="dxa" w:w="1560"/>
            <w:shd w:val="clear" w:color="auto" w:fill="EDF1F5"/>
          </w:tcPr>
          <w:p>
            <w:pPr>
              <w:spacing w:after="0"/>
            </w:pPr>
            <w:r/>
            <w:r>
              <w:rPr>
                <w:sz w:val="17"/>
              </w:rPr>
              <w:t>share</w:t>
            </w:r>
          </w:p>
        </w:tc>
        <w:tc>
          <w:tcPr>
            <w:tcW w:type="dxa" w:w="1560"/>
            <w:shd w:val="clear" w:color="auto" w:fill="EDF1F5"/>
          </w:tcPr>
          <w:p>
            <w:pPr>
              <w:spacing w:after="0"/>
            </w:pPr>
            <w:r/>
            <w:r>
              <w:rPr>
                <w:sz w:val="17"/>
              </w:rPr>
              <w:t>Covered by CoreWeave/Nebius/Lambda archetype tails (&lt;1% of Cloud revenue)</w:t>
            </w:r>
          </w:p>
        </w:tc>
      </w:tr>
      <w:tr>
        <w:tc>
          <w:tcPr>
            <w:tcW w:type="dxa" w:w="1560"/>
          </w:tcPr>
          <w:p>
            <w:pPr>
              <w:spacing w:after="0"/>
            </w:pPr>
            <w:r/>
            <w:r>
              <w:rPr>
                <w:sz w:val="17"/>
              </w:rPr>
              <w:t>X-FACILITY</w:t>
            </w:r>
          </w:p>
        </w:tc>
        <w:tc>
          <w:tcPr>
            <w:tcW w:type="dxa" w:w="1560"/>
          </w:tcPr>
          <w:p>
            <w:pPr>
              <w:spacing w:after="0"/>
            </w:pPr>
            <w:r/>
            <w:r>
              <w:rPr>
                <w:sz w:val="17"/>
              </w:rPr>
              <w:t>Booking: prospective</w:t>
            </w:r>
          </w:p>
        </w:tc>
        <w:tc>
          <w:tcPr>
            <w:tcW w:type="dxa" w:w="1560"/>
          </w:tcPr>
          <w:p>
            <w:pPr>
              <w:spacing w:after="0"/>
            </w:pPr>
            <w:r/>
            <w:r>
              <w:rPr>
                <w:sz w:val="17"/>
              </w:rPr>
              <w:t>$500B six-platform MOU facility (NVIDIA + Apollo/BlackRock/Blackstone/Brookfield/Goldman/KKR)</w:t>
            </w:r>
          </w:p>
        </w:tc>
        <w:tc>
          <w:tcPr>
            <w:tcW w:type="dxa" w:w="1560"/>
          </w:tcPr>
          <w:p>
            <w:pPr>
              <w:spacing w:after="0"/>
            </w:pPr>
            <w:r/>
            <w:r>
              <w:rPr>
                <w:sz w:val="17"/>
              </w:rPr>
              <w:t>$500.00</w:t>
            </w:r>
          </w:p>
        </w:tc>
        <w:tc>
          <w:tcPr>
            <w:tcW w:type="dxa" w:w="1560"/>
          </w:tcPr>
          <w:p>
            <w:pPr>
              <w:spacing w:after="0"/>
            </w:pPr>
            <w:r/>
            <w:r>
              <w:rPr>
                <w:sz w:val="17"/>
              </w:rPr>
              <w:t>$B prospective (tracked, not in committed total)</w:t>
            </w:r>
          </w:p>
        </w:tc>
        <w:tc>
          <w:tcPr>
            <w:tcW w:type="dxa" w:w="1560"/>
          </w:tcPr>
          <w:p>
            <w:pPr>
              <w:spacing w:after="0"/>
            </w:pPr>
            <w:r/>
            <w:r>
              <w:rPr>
                <w:sz w:val="17"/>
              </w:rPr>
              <w:t>NVIDIA newsroom Aug 10 2026: MOUs to mobilize over $500B over time; no single committed facility, borrower, or drawdown -- reported as prospective financing-capacity scenario, excluded from committed total and DebtRank propagation by convention</w:t>
            </w:r>
          </w:p>
        </w:tc>
      </w:tr>
      <w:tr>
        <w:tc>
          <w:tcPr>
            <w:tcW w:type="dxa" w:w="1560"/>
            <w:shd w:val="clear" w:color="auto" w:fill="EDF1F5"/>
          </w:tcPr>
          <w:p>
            <w:pPr>
              <w:spacing w:after="0"/>
            </w:pPr>
            <w:r/>
            <w:r>
              <w:rPr>
                <w:sz w:val="17"/>
              </w:rPr>
              <w:t>X-HFVI</w:t>
            </w:r>
          </w:p>
        </w:tc>
        <w:tc>
          <w:tcPr>
            <w:tcW w:type="dxa" w:w="1560"/>
            <w:shd w:val="clear" w:color="auto" w:fill="EDF1F5"/>
          </w:tcPr>
          <w:p>
            <w:pPr>
              <w:spacing w:after="0"/>
            </w:pPr>
            <w:r/>
            <w:r>
              <w:rPr>
                <w:sz w:val="17"/>
              </w:rPr>
              <w:t>Booking: vertical-integration</w:t>
            </w:r>
          </w:p>
        </w:tc>
        <w:tc>
          <w:tcPr>
            <w:tcW w:type="dxa" w:w="1560"/>
            <w:shd w:val="clear" w:color="auto" w:fill="EDF1F5"/>
          </w:tcPr>
          <w:p>
            <w:pPr>
              <w:spacing w:after="0"/>
            </w:pPr>
            <w:r/>
            <w:r>
              <w:rPr>
                <w:sz w:val="17"/>
              </w:rPr>
              <w:t>NVIDIA-Hugging Face $12.93B acquisition</w:t>
            </w:r>
          </w:p>
        </w:tc>
        <w:tc>
          <w:tcPr>
            <w:tcW w:type="dxa" w:w="1560"/>
            <w:shd w:val="clear" w:color="auto" w:fill="EDF1F5"/>
          </w:tcPr>
          <w:p>
            <w:pPr>
              <w:spacing w:after="0"/>
            </w:pPr>
            <w:r/>
            <w:r>
              <w:rPr>
                <w:sz w:val="17"/>
              </w:rPr>
              <w:t>$12.93</w:t>
            </w:r>
          </w:p>
        </w:tc>
        <w:tc>
          <w:tcPr>
            <w:tcW w:type="dxa" w:w="1560"/>
            <w:shd w:val="clear" w:color="auto" w:fill="EDF1F5"/>
          </w:tcPr>
          <w:p>
            <w:pPr>
              <w:spacing w:after="0"/>
            </w:pPr>
            <w:r/>
            <w:r>
              <w:rPr>
                <w:sz w:val="17"/>
              </w:rPr>
              <w:t>$B vertical-integration (tracked, not in committed total)</w:t>
            </w:r>
          </w:p>
        </w:tc>
        <w:tc>
          <w:tcPr>
            <w:tcW w:type="dxa" w:w="1560"/>
            <w:shd w:val="clear" w:color="auto" w:fill="EDF1F5"/>
          </w:tcPr>
          <w:p>
            <w:pPr>
              <w:spacing w:after="0"/>
            </w:pPr>
            <w:r/>
            <w:r>
              <w:rPr>
                <w:sz w:val="17"/>
              </w:rPr>
              <w:t>TechCrunch/CNN/WSJ Sep 3 2026: acquisition, no contractual reverse-spend leg documented -- reclassified from circular financing to control/vertical-integration tracking; excluded from committed total and DebtRank propagation</w:t>
            </w:r>
          </w:p>
        </w:tc>
      </w:tr>
    </w:tbl>
    <w:p>
      <w:pPr>
        <w:spacing w:after="80"/>
      </w:pPr>
      <w:r>
        <w:rPr>
          <w:sz w:val="4"/>
        </w:rPr>
      </w:r>
    </w:p>
    <w:p>
      <w:pPr>
        <w:pStyle w:val="Heading3"/>
      </w:pPr>
      <w:r>
        <w:t>Figures — framework and design</w:t>
      </w:r>
    </w:p>
    <w:p>
      <w:pPr>
        <w:keepNext/>
        <w:spacing w:before="160"/>
        <w:jc w:val="center"/>
      </w:pPr>
      <w:r>
        <w:drawing>
          <wp:inline xmlns:a="http://schemas.openxmlformats.org/drawingml/2006/main" xmlns:pic="http://schemas.openxmlformats.org/drawingml/2006/picture">
            <wp:extent cx="5760720" cy="2851556"/>
            <wp:docPr id="1" name="Picture 1" descr="Figure 1: Framework &amp; Literature Map (schematic)"/>
            <wp:cNvGraphicFramePr>
              <a:graphicFrameLocks noChangeAspect="1"/>
            </wp:cNvGraphicFramePr>
            <a:graphic>
              <a:graphicData uri="http://schemas.openxmlformats.org/drawingml/2006/picture">
                <pic:pic>
                  <pic:nvPicPr>
                    <pic:cNvPr id="0" name="figure_1.jpg"/>
                    <pic:cNvPicPr/>
                  </pic:nvPicPr>
                  <pic:blipFill>
                    <a:blip r:embed="rId11"/>
                    <a:stretch>
                      <a:fillRect/>
                    </a:stretch>
                  </pic:blipFill>
                  <pic:spPr>
                    <a:xfrm>
                      <a:off x="0" y="0"/>
                      <a:ext cx="5760720" cy="2851556"/>
                    </a:xfrm>
                    <a:prstGeom prst="rect"/>
                  </pic:spPr>
                </pic:pic>
              </a:graphicData>
            </a:graphic>
          </wp:inline>
        </w:drawing>
      </w:r>
    </w:p>
    <w:p>
      <w:pPr>
        <w:spacing w:after="200"/>
        <w:jc w:val="center"/>
      </w:pPr>
      <w:r>
        <w:rPr>
          <w:i/>
          <w:color w:val="404040"/>
          <w:sz w:val="18"/>
        </w:rPr>
        <w:t>Figure 1: Framework &amp; Literature Map (schematic)</w:t>
      </w:r>
    </w:p>
    <w:p>
      <w:pPr>
        <w:keepNext/>
        <w:spacing w:before="160"/>
        <w:jc w:val="center"/>
      </w:pPr>
      <w:r>
        <w:drawing>
          <wp:inline xmlns:a="http://schemas.openxmlformats.org/drawingml/2006/main" xmlns:pic="http://schemas.openxmlformats.org/drawingml/2006/picture">
            <wp:extent cx="5760720" cy="2851556"/>
            <wp:docPr id="2" name="Picture 2" descr="Figure 2: Research Design &amp; Stages (schematic)"/>
            <wp:cNvGraphicFramePr>
              <a:graphicFrameLocks noChangeAspect="1"/>
            </wp:cNvGraphicFramePr>
            <a:graphic>
              <a:graphicData uri="http://schemas.openxmlformats.org/drawingml/2006/picture">
                <pic:pic>
                  <pic:nvPicPr>
                    <pic:cNvPr id="0" name="figure_2.jpg"/>
                    <pic:cNvPicPr/>
                  </pic:nvPicPr>
                  <pic:blipFill>
                    <a:blip r:embed="rId12"/>
                    <a:stretch>
                      <a:fillRect/>
                    </a:stretch>
                  </pic:blipFill>
                  <pic:spPr>
                    <a:xfrm>
                      <a:off x="0" y="0"/>
                      <a:ext cx="5760720" cy="2851556"/>
                    </a:xfrm>
                    <a:prstGeom prst="rect"/>
                  </pic:spPr>
                </pic:pic>
              </a:graphicData>
            </a:graphic>
          </wp:inline>
        </w:drawing>
      </w:r>
    </w:p>
    <w:p>
      <w:pPr>
        <w:spacing w:after="200"/>
        <w:jc w:val="center"/>
      </w:pPr>
      <w:r>
        <w:rPr>
          <w:i/>
          <w:color w:val="404040"/>
          <w:sz w:val="18"/>
        </w:rPr>
        <w:t>Figure 2: Research Design &amp; Stages (schematic)</w:t>
      </w:r>
    </w:p>
    <w:p>
      <w:pPr>
        <w:keepNext/>
        <w:spacing w:before="160"/>
        <w:jc w:val="center"/>
      </w:pPr>
      <w:r>
        <w:drawing>
          <wp:inline xmlns:a="http://schemas.openxmlformats.org/drawingml/2006/main" xmlns:pic="http://schemas.openxmlformats.org/drawingml/2006/picture">
            <wp:extent cx="5760720" cy="2617927"/>
            <wp:docPr id="3" name="Picture 3" descr="Figure 4: Value Chain (schematic)"/>
            <wp:cNvGraphicFramePr>
              <a:graphicFrameLocks noChangeAspect="1"/>
            </wp:cNvGraphicFramePr>
            <a:graphic>
              <a:graphicData uri="http://schemas.openxmlformats.org/drawingml/2006/picture">
                <pic:pic>
                  <pic:nvPicPr>
                    <pic:cNvPr id="0" name="figure_4.jpg"/>
                    <pic:cNvPicPr/>
                  </pic:nvPicPr>
                  <pic:blipFill>
                    <a:blip r:embed="rId13"/>
                    <a:stretch>
                      <a:fillRect/>
                    </a:stretch>
                  </pic:blipFill>
                  <pic:spPr>
                    <a:xfrm>
                      <a:off x="0" y="0"/>
                      <a:ext cx="5760720" cy="2617927"/>
                    </a:xfrm>
                    <a:prstGeom prst="rect"/>
                  </pic:spPr>
                </pic:pic>
              </a:graphicData>
            </a:graphic>
          </wp:inline>
        </w:drawing>
      </w:r>
    </w:p>
    <w:p>
      <w:pPr>
        <w:spacing w:after="200"/>
        <w:jc w:val="center"/>
      </w:pPr>
      <w:r>
        <w:rPr>
          <w:i/>
          <w:color w:val="404040"/>
          <w:sz w:val="18"/>
        </w:rPr>
        <w:t>Figure 4: Value Chain (schematic)</w:t>
      </w:r>
    </w:p>
    <w:p>
      <w:r>
        <w:br w:type="page"/>
      </w:r>
    </w:p>
    <w:p>
      <w:pPr>
        <w:pStyle w:val="Heading1"/>
      </w:pPr>
      <w:r>
        <w:t>3.  Market Structure Results</w:t>
      </w:r>
    </w:p>
    <w:p>
      <w:pPr>
        <w:spacing w:after="120"/>
      </w:pPr>
      <w:r>
        <w:rPr>
          <w:b w:val="0"/>
          <w:i w:val="0"/>
          <w:sz w:val="22"/>
        </w:rPr>
        <w:t>Concentration and market-power metrics computed from the revenue distribution across the four archetypes.</w:t>
      </w:r>
    </w:p>
    <w:p>
      <w:pPr>
        <w:keepNext/>
        <w:spacing w:before="200" w:after="40"/>
      </w:pPr>
      <w:r>
        <w:rPr>
          <w:b/>
          <w:color w:val="2C3E50"/>
          <w:sz w:val="20"/>
        </w:rPr>
        <w:t>Exhibit 3.1  Concentration metrics (computed by build_technical_report.py)</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Total market revenue</w:t>
            </w:r>
          </w:p>
        </w:tc>
        <w:tc>
          <w:tcPr>
            <w:tcW w:type="dxa" w:w="4680"/>
          </w:tcPr>
          <w:p>
            <w:pPr>
              <w:spacing w:after="0"/>
            </w:pPr>
            <w:r/>
            <w:r>
              <w:rPr>
                <w:sz w:val="19"/>
              </w:rPr>
              <w:t>$1,034.50B</w:t>
            </w:r>
          </w:p>
        </w:tc>
      </w:tr>
      <w:tr>
        <w:tc>
          <w:tcPr>
            <w:tcW w:type="dxa" w:w="4680"/>
            <w:shd w:val="clear" w:color="auto" w:fill="EDF1F5"/>
          </w:tcPr>
          <w:p>
            <w:pPr>
              <w:spacing w:after="0"/>
            </w:pPr>
            <w:r/>
            <w:r>
              <w:rPr>
                <w:sz w:val="19"/>
              </w:rPr>
              <w:t>HHI</w:t>
            </w:r>
          </w:p>
        </w:tc>
        <w:tc>
          <w:tcPr>
            <w:tcW w:type="dxa" w:w="4680"/>
            <w:shd w:val="clear" w:color="auto" w:fill="EDF1F5"/>
          </w:tcPr>
          <w:p>
            <w:pPr>
              <w:spacing w:after="0"/>
            </w:pPr>
            <w:r/>
            <w:r>
              <w:rPr>
                <w:sz w:val="19"/>
              </w:rPr>
              <w:t>3,851.21  (highly concentrated: &gt;2,500 in 2010, &gt;1,800 in 2023 guidelines)</w:t>
            </w:r>
          </w:p>
        </w:tc>
      </w:tr>
      <w:tr>
        <w:tc>
          <w:tcPr>
            <w:tcW w:type="dxa" w:w="4680"/>
          </w:tcPr>
          <w:p>
            <w:pPr>
              <w:spacing w:after="0"/>
            </w:pPr>
            <w:r/>
            <w:r>
              <w:rPr>
                <w:sz w:val="19"/>
              </w:rPr>
              <w:t>CR4</w:t>
            </w:r>
          </w:p>
        </w:tc>
        <w:tc>
          <w:tcPr>
            <w:tcW w:type="dxa" w:w="4680"/>
          </w:tcPr>
          <w:p>
            <w:pPr>
              <w:spacing w:after="0"/>
            </w:pPr>
            <w:r/>
            <w:r>
              <w:rPr>
                <w:sz w:val="19"/>
              </w:rPr>
              <w:t>100.00%</w:t>
            </w:r>
          </w:p>
        </w:tc>
      </w:tr>
      <w:tr>
        <w:tc>
          <w:tcPr>
            <w:tcW w:type="dxa" w:w="4680"/>
            <w:shd w:val="clear" w:color="auto" w:fill="EDF1F5"/>
          </w:tcPr>
          <w:p>
            <w:pPr>
              <w:spacing w:after="0"/>
            </w:pPr>
            <w:r/>
            <w:r>
              <w:rPr>
                <w:sz w:val="19"/>
              </w:rPr>
              <w:t>Gini coefficient</w:t>
            </w:r>
          </w:p>
        </w:tc>
        <w:tc>
          <w:tcPr>
            <w:tcW w:type="dxa" w:w="4680"/>
            <w:shd w:val="clear" w:color="auto" w:fill="EDF1F5"/>
          </w:tcPr>
          <w:p>
            <w:pPr>
              <w:spacing w:after="0"/>
            </w:pPr>
            <w:r/>
            <w:r>
              <w:rPr>
                <w:sz w:val="19"/>
              </w:rPr>
              <w:t>0.3933</w:t>
            </w:r>
          </w:p>
        </w:tc>
      </w:tr>
    </w:tbl>
    <w:p>
      <w:pPr>
        <w:spacing w:after="80"/>
      </w:pPr>
      <w:r>
        <w:rPr>
          <w:sz w:val="4"/>
        </w:rPr>
      </w:r>
    </w:p>
    <w:p>
      <w:pPr>
        <w:keepNext/>
        <w:spacing w:before="200" w:after="40"/>
      </w:pPr>
      <w:r>
        <w:rPr>
          <w:b/>
          <w:color w:val="2C3E50"/>
          <w:sz w:val="20"/>
        </w:rPr>
        <w:t>Exhibit 3.2  Market shares (computed by build_technical_report.py)</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Player category</w:t>
            </w:r>
          </w:p>
        </w:tc>
        <w:tc>
          <w:tcPr>
            <w:tcW w:type="dxa" w:w="4680"/>
            <w:tblHeader w:val="true"/>
            <w:shd w:val="clear" w:color="auto" w:fill="2C3E50"/>
          </w:tcPr>
          <w:p>
            <w:pPr>
              <w:jc w:val="center"/>
            </w:pPr>
            <w:r/>
            <w:r>
              <w:rPr>
                <w:b/>
                <w:color w:val="FFFFFF"/>
                <w:sz w:val="20"/>
              </w:rPr>
              <w:t>Market share (%)</w:t>
            </w:r>
          </w:p>
        </w:tc>
      </w:tr>
      <w:tr>
        <w:tc>
          <w:tcPr>
            <w:tcW w:type="dxa" w:w="4680"/>
          </w:tcPr>
          <w:p>
            <w:pPr>
              <w:spacing w:after="0"/>
            </w:pPr>
            <w:r/>
            <w:r>
              <w:rPr>
                <w:sz w:val="19"/>
              </w:rPr>
              <w:t>Hardware</w:t>
            </w:r>
          </w:p>
        </w:tc>
        <w:tc>
          <w:tcPr>
            <w:tcW w:type="dxa" w:w="4680"/>
          </w:tcPr>
          <w:p>
            <w:pPr>
              <w:spacing w:after="0"/>
            </w:pPr>
            <w:r/>
            <w:r>
              <w:rPr>
                <w:sz w:val="19"/>
              </w:rPr>
              <w:t>45.92</w:t>
            </w:r>
          </w:p>
        </w:tc>
      </w:tr>
      <w:tr>
        <w:tc>
          <w:tcPr>
            <w:tcW w:type="dxa" w:w="4680"/>
            <w:shd w:val="clear" w:color="auto" w:fill="EDF1F5"/>
          </w:tcPr>
          <w:p>
            <w:pPr>
              <w:spacing w:after="0"/>
            </w:pPr>
            <w:r/>
            <w:r>
              <w:rPr>
                <w:sz w:val="19"/>
              </w:rPr>
              <w:t>Cloud Providers</w:t>
            </w:r>
          </w:p>
        </w:tc>
        <w:tc>
          <w:tcPr>
            <w:tcW w:type="dxa" w:w="4680"/>
            <w:shd w:val="clear" w:color="auto" w:fill="EDF1F5"/>
          </w:tcPr>
          <w:p>
            <w:pPr>
              <w:spacing w:after="0"/>
            </w:pPr>
            <w:r/>
            <w:r>
              <w:rPr>
                <w:sz w:val="19"/>
              </w:rPr>
              <w:t>40.31</w:t>
            </w:r>
          </w:p>
        </w:tc>
      </w:tr>
      <w:tr>
        <w:tc>
          <w:tcPr>
            <w:tcW w:type="dxa" w:w="4680"/>
          </w:tcPr>
          <w:p>
            <w:pPr>
              <w:spacing w:after="0"/>
            </w:pPr>
            <w:r/>
            <w:r>
              <w:rPr>
                <w:sz w:val="19"/>
              </w:rPr>
              <w:t>Foundation Models</w:t>
            </w:r>
          </w:p>
        </w:tc>
        <w:tc>
          <w:tcPr>
            <w:tcW w:type="dxa" w:w="4680"/>
          </w:tcPr>
          <w:p>
            <w:pPr>
              <w:spacing w:after="0"/>
            </w:pPr>
            <w:r/>
            <w:r>
              <w:rPr>
                <w:sz w:val="19"/>
              </w:rPr>
              <w:t>10.29</w:t>
            </w:r>
          </w:p>
        </w:tc>
      </w:tr>
      <w:tr>
        <w:tc>
          <w:tcPr>
            <w:tcW w:type="dxa" w:w="4680"/>
            <w:shd w:val="clear" w:color="auto" w:fill="EDF1F5"/>
          </w:tcPr>
          <w:p>
            <w:pPr>
              <w:spacing w:after="0"/>
            </w:pPr>
            <w:r/>
            <w:r>
              <w:rPr>
                <w:sz w:val="19"/>
              </w:rPr>
              <w:t>LLM Wrappers</w:t>
            </w:r>
          </w:p>
        </w:tc>
        <w:tc>
          <w:tcPr>
            <w:tcW w:type="dxa" w:w="4680"/>
            <w:shd w:val="clear" w:color="auto" w:fill="EDF1F5"/>
          </w:tcPr>
          <w:p>
            <w:pPr>
              <w:spacing w:after="0"/>
            </w:pPr>
            <w:r/>
            <w:r>
              <w:rPr>
                <w:sz w:val="19"/>
              </w:rPr>
              <w:t>3.48</w:t>
            </w:r>
          </w:p>
        </w:tc>
      </w:tr>
    </w:tbl>
    <w:p>
      <w:pPr>
        <w:spacing w:after="80"/>
      </w:pPr>
      <w:r>
        <w:rPr>
          <w:sz w:val="4"/>
        </w:rPr>
      </w:r>
    </w:p>
    <w:p>
      <w:pPr>
        <w:keepNext/>
        <w:spacing w:before="200" w:after="40"/>
      </w:pPr>
      <w:r>
        <w:rPr>
          <w:b/>
          <w:color w:val="2C3E50"/>
          <w:sz w:val="20"/>
        </w:rPr>
        <w:t>Exhibit 3.3  Market power (Lerner-based, computed by build_technical_report.py)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Player category</w:t>
            </w:r>
          </w:p>
        </w:tc>
        <w:tc>
          <w:tcPr>
            <w:tcW w:type="dxa" w:w="1872"/>
            <w:tblHeader w:val="true"/>
            <w:shd w:val="clear" w:color="auto" w:fill="2C3E50"/>
          </w:tcPr>
          <w:p>
            <w:pPr>
              <w:jc w:val="center"/>
            </w:pPr>
            <w:r/>
            <w:r>
              <w:rPr>
                <w:b/>
                <w:color w:val="FFFFFF"/>
                <w:sz w:val="18"/>
              </w:rPr>
              <w:t>Demand elasticity</w:t>
            </w:r>
          </w:p>
        </w:tc>
        <w:tc>
          <w:tcPr>
            <w:tcW w:type="dxa" w:w="1872"/>
            <w:tblHeader w:val="true"/>
            <w:shd w:val="clear" w:color="auto" w:fill="2C3E50"/>
          </w:tcPr>
          <w:p>
            <w:pPr>
              <w:jc w:val="center"/>
            </w:pPr>
            <w:r/>
            <w:r>
              <w:rPr>
                <w:b/>
                <w:color w:val="FFFFFF"/>
                <w:sz w:val="18"/>
              </w:rPr>
              <w:t>Lerner index</w:t>
            </w:r>
          </w:p>
        </w:tc>
        <w:tc>
          <w:tcPr>
            <w:tcW w:type="dxa" w:w="1872"/>
            <w:tblHeader w:val="true"/>
            <w:shd w:val="clear" w:color="auto" w:fill="2C3E50"/>
          </w:tcPr>
          <w:p>
            <w:pPr>
              <w:jc w:val="center"/>
            </w:pPr>
            <w:r/>
            <w:r>
              <w:rPr>
                <w:b/>
                <w:color w:val="FFFFFF"/>
                <w:sz w:val="18"/>
              </w:rPr>
              <w:t>Implied markup</w:t>
            </w:r>
          </w:p>
        </w:tc>
        <w:tc>
          <w:tcPr>
            <w:tcW w:type="dxa" w:w="1872"/>
            <w:tblHeader w:val="true"/>
            <w:shd w:val="clear" w:color="auto" w:fill="2C3E50"/>
          </w:tcPr>
          <w:p>
            <w:pPr>
              <w:jc w:val="center"/>
            </w:pPr>
            <w:r/>
            <w:r>
              <w:rPr>
                <w:b/>
                <w:color w:val="FFFFFF"/>
                <w:sz w:val="18"/>
              </w:rPr>
              <w:t>Power level</w:t>
            </w:r>
          </w:p>
        </w:tc>
      </w:tr>
      <w:tr>
        <w:tc>
          <w:tcPr>
            <w:tcW w:type="dxa" w:w="1872"/>
          </w:tcPr>
          <w:p>
            <w:pPr>
              <w:spacing w:after="0"/>
            </w:pPr>
            <w:r/>
            <w:r>
              <w:rPr>
                <w:sz w:val="17"/>
              </w:rPr>
              <w:t>Hardware</w:t>
            </w:r>
          </w:p>
        </w:tc>
        <w:tc>
          <w:tcPr>
            <w:tcW w:type="dxa" w:w="1872"/>
          </w:tcPr>
          <w:p>
            <w:pPr>
              <w:spacing w:after="0"/>
            </w:pPr>
            <w:r/>
            <w:r>
              <w:rPr>
                <w:sz w:val="17"/>
              </w:rPr>
              <w:t>-1.60</w:t>
            </w:r>
          </w:p>
        </w:tc>
        <w:tc>
          <w:tcPr>
            <w:tcW w:type="dxa" w:w="1872"/>
          </w:tcPr>
          <w:p>
            <w:pPr>
              <w:spacing w:after="0"/>
            </w:pPr>
            <w:r/>
            <w:r>
              <w:rPr>
                <w:sz w:val="17"/>
              </w:rPr>
              <w:t>0.623</w:t>
            </w:r>
          </w:p>
        </w:tc>
        <w:tc>
          <w:tcPr>
            <w:tcW w:type="dxa" w:w="1872"/>
          </w:tcPr>
          <w:p>
            <w:pPr>
              <w:spacing w:after="0"/>
            </w:pPr>
            <w:r/>
            <w:r>
              <w:rPr>
                <w:sz w:val="17"/>
              </w:rPr>
              <w:t>165.4%</w:t>
            </w:r>
          </w:p>
        </w:tc>
        <w:tc>
          <w:tcPr>
            <w:tcW w:type="dxa" w:w="1872"/>
          </w:tcPr>
          <w:p>
            <w:pPr>
              <w:spacing w:after="0"/>
            </w:pPr>
            <w:r/>
            <w:r>
              <w:rPr>
                <w:sz w:val="17"/>
              </w:rPr>
              <w:t>Very High (Approaching Monopoly)</w:t>
            </w:r>
          </w:p>
        </w:tc>
      </w:tr>
      <w:tr>
        <w:tc>
          <w:tcPr>
            <w:tcW w:type="dxa" w:w="1872"/>
            <w:shd w:val="clear" w:color="auto" w:fill="EDF1F5"/>
          </w:tcPr>
          <w:p>
            <w:pPr>
              <w:spacing w:after="0"/>
            </w:pPr>
            <w:r/>
            <w:r>
              <w:rPr>
                <w:sz w:val="17"/>
              </w:rPr>
              <w:t>Cloud Providers</w:t>
            </w:r>
          </w:p>
        </w:tc>
        <w:tc>
          <w:tcPr>
            <w:tcW w:type="dxa" w:w="1872"/>
            <w:shd w:val="clear" w:color="auto" w:fill="EDF1F5"/>
          </w:tcPr>
          <w:p>
            <w:pPr>
              <w:spacing w:after="0"/>
            </w:pPr>
            <w:r/>
            <w:r>
              <w:rPr>
                <w:sz w:val="17"/>
              </w:rPr>
              <w:t>-2.08</w:t>
            </w:r>
          </w:p>
        </w:tc>
        <w:tc>
          <w:tcPr>
            <w:tcW w:type="dxa" w:w="1872"/>
            <w:shd w:val="clear" w:color="auto" w:fill="EDF1F5"/>
          </w:tcPr>
          <w:p>
            <w:pPr>
              <w:spacing w:after="0"/>
            </w:pPr>
            <w:r/>
            <w:r>
              <w:rPr>
                <w:sz w:val="17"/>
              </w:rPr>
              <w:t>0.482</w:t>
            </w:r>
          </w:p>
        </w:tc>
        <w:tc>
          <w:tcPr>
            <w:tcW w:type="dxa" w:w="1872"/>
            <w:shd w:val="clear" w:color="auto" w:fill="EDF1F5"/>
          </w:tcPr>
          <w:p>
            <w:pPr>
              <w:spacing w:after="0"/>
            </w:pPr>
            <w:r/>
            <w:r>
              <w:rPr>
                <w:sz w:val="17"/>
              </w:rPr>
              <w:t>92.9%</w:t>
            </w:r>
          </w:p>
        </w:tc>
        <w:tc>
          <w:tcPr>
            <w:tcW w:type="dxa" w:w="1872"/>
            <w:shd w:val="clear" w:color="auto" w:fill="EDF1F5"/>
          </w:tcPr>
          <w:p>
            <w:pPr>
              <w:spacing w:after="0"/>
            </w:pPr>
            <w:r/>
            <w:r>
              <w:rPr>
                <w:sz w:val="17"/>
              </w:rPr>
              <w:t>High (Strong Oligopoly)</w:t>
            </w:r>
          </w:p>
        </w:tc>
      </w:tr>
      <w:tr>
        <w:tc>
          <w:tcPr>
            <w:tcW w:type="dxa" w:w="1872"/>
          </w:tcPr>
          <w:p>
            <w:pPr>
              <w:spacing w:after="0"/>
            </w:pPr>
            <w:r/>
            <w:r>
              <w:rPr>
                <w:sz w:val="17"/>
              </w:rPr>
              <w:t>Foundation Models</w:t>
            </w:r>
          </w:p>
        </w:tc>
        <w:tc>
          <w:tcPr>
            <w:tcW w:type="dxa" w:w="1872"/>
          </w:tcPr>
          <w:p>
            <w:pPr>
              <w:spacing w:after="0"/>
            </w:pPr>
            <w:r/>
            <w:r>
              <w:rPr>
                <w:sz w:val="17"/>
              </w:rPr>
              <w:t>-3.00</w:t>
            </w:r>
          </w:p>
        </w:tc>
        <w:tc>
          <w:tcPr>
            <w:tcW w:type="dxa" w:w="1872"/>
          </w:tcPr>
          <w:p>
            <w:pPr>
              <w:spacing w:after="0"/>
            </w:pPr>
            <w:r/>
            <w:r>
              <w:rPr>
                <w:sz w:val="17"/>
              </w:rPr>
              <w:t>0.333</w:t>
            </w:r>
          </w:p>
        </w:tc>
        <w:tc>
          <w:tcPr>
            <w:tcW w:type="dxa" w:w="1872"/>
          </w:tcPr>
          <w:p>
            <w:pPr>
              <w:spacing w:after="0"/>
            </w:pPr>
            <w:r/>
            <w:r>
              <w:rPr>
                <w:sz w:val="17"/>
              </w:rPr>
              <w:t>50.0%</w:t>
            </w:r>
          </w:p>
        </w:tc>
        <w:tc>
          <w:tcPr>
            <w:tcW w:type="dxa" w:w="1872"/>
          </w:tcPr>
          <w:p>
            <w:pPr>
              <w:spacing w:after="0"/>
            </w:pPr>
            <w:r/>
            <w:r>
              <w:rPr>
                <w:sz w:val="17"/>
              </w:rPr>
              <w:t>Moderate</w:t>
            </w:r>
          </w:p>
        </w:tc>
      </w:tr>
      <w:tr>
        <w:tc>
          <w:tcPr>
            <w:tcW w:type="dxa" w:w="1872"/>
            <w:shd w:val="clear" w:color="auto" w:fill="EDF1F5"/>
          </w:tcPr>
          <w:p>
            <w:pPr>
              <w:spacing w:after="0"/>
            </w:pPr>
            <w:r/>
            <w:r>
              <w:rPr>
                <w:sz w:val="17"/>
              </w:rPr>
              <w:t>LLM Wrappers</w:t>
            </w:r>
          </w:p>
        </w:tc>
        <w:tc>
          <w:tcPr>
            <w:tcW w:type="dxa" w:w="1872"/>
            <w:shd w:val="clear" w:color="auto" w:fill="EDF1F5"/>
          </w:tcPr>
          <w:p>
            <w:pPr>
              <w:spacing w:after="0"/>
            </w:pPr>
            <w:r/>
            <w:r>
              <w:rPr>
                <w:sz w:val="17"/>
              </w:rPr>
              <w:t>-3.00</w:t>
            </w:r>
          </w:p>
        </w:tc>
        <w:tc>
          <w:tcPr>
            <w:tcW w:type="dxa" w:w="1872"/>
            <w:shd w:val="clear" w:color="auto" w:fill="EDF1F5"/>
          </w:tcPr>
          <w:p>
            <w:pPr>
              <w:spacing w:after="0"/>
            </w:pPr>
            <w:r/>
            <w:r>
              <w:rPr>
                <w:sz w:val="17"/>
              </w:rPr>
              <w:t>0.333</w:t>
            </w:r>
          </w:p>
        </w:tc>
        <w:tc>
          <w:tcPr>
            <w:tcW w:type="dxa" w:w="1872"/>
            <w:shd w:val="clear" w:color="auto" w:fill="EDF1F5"/>
          </w:tcPr>
          <w:p>
            <w:pPr>
              <w:spacing w:after="0"/>
            </w:pPr>
            <w:r/>
            <w:r>
              <w:rPr>
                <w:sz w:val="17"/>
              </w:rPr>
              <w:t>50.0%</w:t>
            </w:r>
          </w:p>
        </w:tc>
        <w:tc>
          <w:tcPr>
            <w:tcW w:type="dxa" w:w="1872"/>
            <w:shd w:val="clear" w:color="auto" w:fill="EDF1F5"/>
          </w:tcPr>
          <w:p>
            <w:pPr>
              <w:spacing w:after="0"/>
            </w:pPr>
            <w:r/>
            <w:r>
              <w:rPr>
                <w:sz w:val="17"/>
              </w:rPr>
              <w:t>Moderate</w:t>
            </w:r>
          </w:p>
        </w:tc>
      </w:tr>
    </w:tbl>
    <w:p>
      <w:pPr>
        <w:spacing w:after="80"/>
      </w:pPr>
      <w:r>
        <w:rPr>
          <w:sz w:val="4"/>
        </w:rPr>
      </w:r>
    </w:p>
    <w:p>
      <w:pPr>
        <w:spacing w:after="120"/>
      </w:pPr>
      <w:r>
        <w:rPr>
          <w:b w:val="0"/>
          <w:i w:val="0"/>
          <w:sz w:val="21"/>
        </w:rPr>
        <w:t>Table 7.17 restates the same pricing power with its elasticity-driven uncertainty bands: the interval between the conservative and aggressive Lerner estimates is the robustness range for any markup claim, and the figure plots the base index against those bands.</w:t>
      </w:r>
    </w:p>
    <w:p>
      <w:pPr>
        <w:keepNext/>
        <w:spacing w:before="200" w:after="40"/>
      </w:pPr>
      <w:r>
        <w:rPr>
          <w:b/>
          <w:color w:val="2C3E50"/>
          <w:sz w:val="20"/>
        </w:rPr>
        <w:t>Table 7.17: Lerner Index &amp; Markup Summary with Uncertainty Bands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Archetype</w:t>
            </w:r>
          </w:p>
        </w:tc>
        <w:tc>
          <w:tcPr>
            <w:tcW w:type="dxa" w:w="1872"/>
            <w:tblHeader w:val="true"/>
            <w:shd w:val="clear" w:color="auto" w:fill="2C3E50"/>
          </w:tcPr>
          <w:p>
            <w:pPr>
              <w:jc w:val="center"/>
            </w:pPr>
            <w:r/>
            <w:r>
              <w:rPr>
                <w:b/>
                <w:color w:val="FFFFFF"/>
                <w:sz w:val="18"/>
              </w:rPr>
              <w:t>Base Lerner</w:t>
            </w:r>
          </w:p>
        </w:tc>
        <w:tc>
          <w:tcPr>
            <w:tcW w:type="dxa" w:w="1872"/>
            <w:tblHeader w:val="true"/>
            <w:shd w:val="clear" w:color="auto" w:fill="2C3E50"/>
          </w:tcPr>
          <w:p>
            <w:pPr>
              <w:jc w:val="center"/>
            </w:pPr>
            <w:r/>
            <w:r>
              <w:rPr>
                <w:b/>
                <w:color w:val="FFFFFF"/>
                <w:sz w:val="18"/>
              </w:rPr>
              <w:t>Lerner Band</w:t>
            </w:r>
          </w:p>
        </w:tc>
        <w:tc>
          <w:tcPr>
            <w:tcW w:type="dxa" w:w="1872"/>
            <w:tblHeader w:val="true"/>
            <w:shd w:val="clear" w:color="auto" w:fill="2C3E50"/>
          </w:tcPr>
          <w:p>
            <w:pPr>
              <w:jc w:val="center"/>
            </w:pPr>
            <w:r/>
            <w:r>
              <w:rPr>
                <w:b/>
                <w:color w:val="FFFFFF"/>
                <w:sz w:val="18"/>
              </w:rPr>
              <w:t>Base Markup (%)</w:t>
            </w:r>
          </w:p>
        </w:tc>
        <w:tc>
          <w:tcPr>
            <w:tcW w:type="dxa" w:w="1872"/>
            <w:tblHeader w:val="true"/>
            <w:shd w:val="clear" w:color="auto" w:fill="2C3E50"/>
          </w:tcPr>
          <w:p>
            <w:pPr>
              <w:jc w:val="center"/>
            </w:pPr>
            <w:r/>
            <w:r>
              <w:rPr>
                <w:b/>
                <w:color w:val="FFFFFF"/>
                <w:sz w:val="18"/>
              </w:rPr>
              <w:t>Markup Band (%)</w:t>
            </w:r>
          </w:p>
        </w:tc>
      </w:tr>
      <w:tr>
        <w:tc>
          <w:tcPr>
            <w:tcW w:type="dxa" w:w="1872"/>
          </w:tcPr>
          <w:p>
            <w:pPr>
              <w:spacing w:after="0"/>
            </w:pPr>
            <w:r/>
            <w:r>
              <w:rPr>
                <w:sz w:val="17"/>
              </w:rPr>
              <w:t>Cloud Providers</w:t>
            </w:r>
          </w:p>
        </w:tc>
        <w:tc>
          <w:tcPr>
            <w:tcW w:type="dxa" w:w="1872"/>
          </w:tcPr>
          <w:p>
            <w:pPr>
              <w:spacing w:after="0"/>
            </w:pPr>
            <w:r/>
            <w:r>
              <w:rPr>
                <w:sz w:val="17"/>
              </w:rPr>
              <w:t>0.56</w:t>
            </w:r>
          </w:p>
        </w:tc>
        <w:tc>
          <w:tcPr>
            <w:tcW w:type="dxa" w:w="1872"/>
          </w:tcPr>
          <w:p>
            <w:pPr>
              <w:spacing w:after="0"/>
            </w:pPr>
            <w:r/>
            <w:r>
              <w:rPr>
                <w:sz w:val="17"/>
              </w:rPr>
              <w:t>0.400–0.833</w:t>
            </w:r>
          </w:p>
        </w:tc>
        <w:tc>
          <w:tcPr>
            <w:tcW w:type="dxa" w:w="1872"/>
          </w:tcPr>
          <w:p>
            <w:pPr>
              <w:spacing w:after="0"/>
            </w:pPr>
            <w:r/>
            <w:r>
              <w:rPr>
                <w:sz w:val="17"/>
              </w:rPr>
              <w:t>125</w:t>
            </w:r>
          </w:p>
        </w:tc>
        <w:tc>
          <w:tcPr>
            <w:tcW w:type="dxa" w:w="1872"/>
          </w:tcPr>
          <w:p>
            <w:pPr>
              <w:spacing w:after="0"/>
            </w:pPr>
            <w:r/>
            <w:r>
              <w:rPr>
                <w:sz w:val="17"/>
              </w:rPr>
              <w:t>66.7–500.0</w:t>
            </w:r>
          </w:p>
        </w:tc>
      </w:tr>
      <w:tr>
        <w:tc>
          <w:tcPr>
            <w:tcW w:type="dxa" w:w="1872"/>
            <w:shd w:val="clear" w:color="auto" w:fill="EDF1F5"/>
          </w:tcPr>
          <w:p>
            <w:pPr>
              <w:spacing w:after="0"/>
            </w:pPr>
            <w:r/>
            <w:r>
              <w:rPr>
                <w:sz w:val="17"/>
              </w:rPr>
              <w:t>Hardware</w:t>
            </w:r>
          </w:p>
        </w:tc>
        <w:tc>
          <w:tcPr>
            <w:tcW w:type="dxa" w:w="1872"/>
            <w:shd w:val="clear" w:color="auto" w:fill="EDF1F5"/>
          </w:tcPr>
          <w:p>
            <w:pPr>
              <w:spacing w:after="0"/>
            </w:pPr>
            <w:r/>
            <w:r>
              <w:rPr>
                <w:sz w:val="17"/>
              </w:rPr>
              <w:t>0.67</w:t>
            </w:r>
          </w:p>
        </w:tc>
        <w:tc>
          <w:tcPr>
            <w:tcW w:type="dxa" w:w="1872"/>
            <w:shd w:val="clear" w:color="auto" w:fill="EDF1F5"/>
          </w:tcPr>
          <w:p>
            <w:pPr>
              <w:spacing w:after="0"/>
            </w:pPr>
            <w:r/>
            <w:r>
              <w:rPr>
                <w:sz w:val="17"/>
              </w:rPr>
              <w:t>0.500–0.833</w:t>
            </w:r>
          </w:p>
        </w:tc>
        <w:tc>
          <w:tcPr>
            <w:tcW w:type="dxa" w:w="1872"/>
            <w:shd w:val="clear" w:color="auto" w:fill="EDF1F5"/>
          </w:tcPr>
          <w:p>
            <w:pPr>
              <w:spacing w:after="0"/>
            </w:pPr>
            <w:r/>
            <w:r>
              <w:rPr>
                <w:sz w:val="17"/>
              </w:rPr>
              <w:t>200</w:t>
            </w:r>
          </w:p>
        </w:tc>
        <w:tc>
          <w:tcPr>
            <w:tcW w:type="dxa" w:w="1872"/>
            <w:shd w:val="clear" w:color="auto" w:fill="EDF1F5"/>
          </w:tcPr>
          <w:p>
            <w:pPr>
              <w:spacing w:after="0"/>
            </w:pPr>
            <w:r/>
            <w:r>
              <w:rPr>
                <w:sz w:val="17"/>
              </w:rPr>
              <w:t>100.0–500.0</w:t>
            </w:r>
          </w:p>
        </w:tc>
      </w:tr>
      <w:tr>
        <w:tc>
          <w:tcPr>
            <w:tcW w:type="dxa" w:w="1872"/>
          </w:tcPr>
          <w:p>
            <w:pPr>
              <w:spacing w:after="0"/>
            </w:pPr>
            <w:r/>
            <w:r>
              <w:rPr>
                <w:sz w:val="17"/>
              </w:rPr>
              <w:t>Foundation Models</w:t>
            </w:r>
          </w:p>
        </w:tc>
        <w:tc>
          <w:tcPr>
            <w:tcW w:type="dxa" w:w="1872"/>
          </w:tcPr>
          <w:p>
            <w:pPr>
              <w:spacing w:after="0"/>
            </w:pPr>
            <w:r/>
            <w:r>
              <w:rPr>
                <w:sz w:val="17"/>
              </w:rPr>
              <w:t>0.40</w:t>
            </w:r>
          </w:p>
        </w:tc>
        <w:tc>
          <w:tcPr>
            <w:tcW w:type="dxa" w:w="1872"/>
          </w:tcPr>
          <w:p>
            <w:pPr>
              <w:spacing w:after="0"/>
            </w:pPr>
            <w:r/>
            <w:r>
              <w:rPr>
                <w:sz w:val="17"/>
              </w:rPr>
              <w:t>0.286–0.556</w:t>
            </w:r>
          </w:p>
        </w:tc>
        <w:tc>
          <w:tcPr>
            <w:tcW w:type="dxa" w:w="1872"/>
          </w:tcPr>
          <w:p>
            <w:pPr>
              <w:spacing w:after="0"/>
            </w:pPr>
            <w:r/>
            <w:r>
              <w:rPr>
                <w:sz w:val="17"/>
              </w:rPr>
              <w:t>66.70</w:t>
            </w:r>
          </w:p>
        </w:tc>
        <w:tc>
          <w:tcPr>
            <w:tcW w:type="dxa" w:w="1872"/>
          </w:tcPr>
          <w:p>
            <w:pPr>
              <w:spacing w:after="0"/>
            </w:pPr>
            <w:r/>
            <w:r>
              <w:rPr>
                <w:sz w:val="17"/>
              </w:rPr>
              <w:t>40.0–125.0</w:t>
            </w:r>
          </w:p>
        </w:tc>
      </w:tr>
      <w:tr>
        <w:tc>
          <w:tcPr>
            <w:tcW w:type="dxa" w:w="1872"/>
            <w:shd w:val="clear" w:color="auto" w:fill="EDF1F5"/>
          </w:tcPr>
          <w:p>
            <w:pPr>
              <w:spacing w:after="0"/>
            </w:pPr>
            <w:r/>
            <w:r>
              <w:rPr>
                <w:sz w:val="17"/>
              </w:rPr>
              <w:t>LLM Wrappers</w:t>
            </w:r>
          </w:p>
        </w:tc>
        <w:tc>
          <w:tcPr>
            <w:tcW w:type="dxa" w:w="1872"/>
            <w:shd w:val="clear" w:color="auto" w:fill="EDF1F5"/>
          </w:tcPr>
          <w:p>
            <w:pPr>
              <w:spacing w:after="0"/>
            </w:pPr>
            <w:r/>
            <w:r>
              <w:rPr>
                <w:sz w:val="17"/>
              </w:rPr>
              <w:t>0.25</w:t>
            </w:r>
          </w:p>
        </w:tc>
        <w:tc>
          <w:tcPr>
            <w:tcW w:type="dxa" w:w="1872"/>
            <w:shd w:val="clear" w:color="auto" w:fill="EDF1F5"/>
          </w:tcPr>
          <w:p>
            <w:pPr>
              <w:spacing w:after="0"/>
            </w:pPr>
            <w:r/>
            <w:r>
              <w:rPr>
                <w:sz w:val="17"/>
              </w:rPr>
              <w:t>0.167–0.333</w:t>
            </w:r>
          </w:p>
        </w:tc>
        <w:tc>
          <w:tcPr>
            <w:tcW w:type="dxa" w:w="1872"/>
            <w:shd w:val="clear" w:color="auto" w:fill="EDF1F5"/>
          </w:tcPr>
          <w:p>
            <w:pPr>
              <w:spacing w:after="0"/>
            </w:pPr>
            <w:r/>
            <w:r>
              <w:rPr>
                <w:sz w:val="17"/>
              </w:rPr>
              <w:t>33.30</w:t>
            </w:r>
          </w:p>
        </w:tc>
        <w:tc>
          <w:tcPr>
            <w:tcW w:type="dxa" w:w="1872"/>
            <w:shd w:val="clear" w:color="auto" w:fill="EDF1F5"/>
          </w:tcPr>
          <w:p>
            <w:pPr>
              <w:spacing w:after="0"/>
            </w:pPr>
            <w:r/>
            <w:r>
              <w:rPr>
                <w:sz w:val="17"/>
              </w:rPr>
              <w:t>20.0–50.0</w:t>
            </w:r>
          </w:p>
        </w:tc>
      </w:tr>
    </w:tbl>
    <w:p>
      <w:pPr>
        <w:spacing w:after="80"/>
      </w:pPr>
      <w:r>
        <w:rPr>
          <w:sz w:val="4"/>
        </w:rPr>
      </w:r>
    </w:p>
    <w:p>
      <w:pPr>
        <w:keepNext/>
        <w:spacing w:before="160"/>
        <w:jc w:val="center"/>
      </w:pPr>
      <w:r>
        <w:drawing>
          <wp:inline xmlns:a="http://schemas.openxmlformats.org/drawingml/2006/main" xmlns:pic="http://schemas.openxmlformats.org/drawingml/2006/picture">
            <wp:extent cx="5760720" cy="3507638"/>
            <wp:docPr id="4" name="Picture 4" descr="Supplemental S2 — Lerner Index with Uncertainty Bands"/>
            <wp:cNvGraphicFramePr>
              <a:graphicFrameLocks noChangeAspect="1"/>
            </wp:cNvGraphicFramePr>
            <a:graphic>
              <a:graphicData uri="http://schemas.openxmlformats.org/drawingml/2006/picture">
                <pic:pic>
                  <pic:nvPicPr>
                    <pic:cNvPr id="0" name="s2_lerner_markup_bands.jpg"/>
                    <pic:cNvPicPr/>
                  </pic:nvPicPr>
                  <pic:blipFill>
                    <a:blip r:embed="rId14"/>
                    <a:stretch>
                      <a:fillRect/>
                    </a:stretch>
                  </pic:blipFill>
                  <pic:spPr>
                    <a:xfrm>
                      <a:off x="0" y="0"/>
                      <a:ext cx="5760720" cy="3507638"/>
                    </a:xfrm>
                    <a:prstGeom prst="rect"/>
                  </pic:spPr>
                </pic:pic>
              </a:graphicData>
            </a:graphic>
          </wp:inline>
        </w:drawing>
      </w:r>
    </w:p>
    <w:p>
      <w:pPr>
        <w:spacing w:after="200"/>
        <w:jc w:val="center"/>
      </w:pPr>
      <w:r>
        <w:rPr>
          <w:i/>
          <w:color w:val="404040"/>
          <w:sz w:val="18"/>
        </w:rPr>
        <w:t>Supplemental S2 — Lerner Index with Uncertainty Bands</w:t>
      </w:r>
    </w:p>
    <w:p>
      <w:pPr>
        <w:keepNext/>
        <w:spacing w:before="200" w:after="40"/>
      </w:pPr>
      <w:r>
        <w:rPr>
          <w:b/>
          <w:color w:val="2C3E50"/>
          <w:sz w:val="20"/>
        </w:rPr>
        <w:t>Exhibit 3.4  Gatekeeper index: who the ecosystem cannot route around (ai_ecosystem_model.py diagnostics)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Archetype</w:t>
            </w:r>
          </w:p>
        </w:tc>
        <w:tc>
          <w:tcPr>
            <w:tcW w:type="dxa" w:w="2340"/>
            <w:tblHeader w:val="true"/>
            <w:shd w:val="clear" w:color="auto" w:fill="2C3E50"/>
          </w:tcPr>
          <w:p>
            <w:pPr>
              <w:jc w:val="center"/>
            </w:pPr>
            <w:r/>
            <w:r>
              <w:rPr>
                <w:b/>
                <w:color w:val="FFFFFF"/>
                <w:sz w:val="20"/>
              </w:rPr>
              <w:t>Dependents_Count</w:t>
            </w:r>
          </w:p>
        </w:tc>
        <w:tc>
          <w:tcPr>
            <w:tcW w:type="dxa" w:w="2340"/>
            <w:tblHeader w:val="true"/>
            <w:shd w:val="clear" w:color="auto" w:fill="2C3E50"/>
          </w:tcPr>
          <w:p>
            <w:pPr>
              <w:jc w:val="center"/>
            </w:pPr>
            <w:r/>
            <w:r>
              <w:rPr>
                <w:b/>
                <w:color w:val="FFFFFF"/>
                <w:sz w:val="20"/>
              </w:rPr>
              <w:t>Inbound ($B)</w:t>
            </w:r>
          </w:p>
        </w:tc>
        <w:tc>
          <w:tcPr>
            <w:tcW w:type="dxa" w:w="2340"/>
            <w:tblHeader w:val="true"/>
            <w:shd w:val="clear" w:color="auto" w:fill="2C3E50"/>
          </w:tcPr>
          <w:p>
            <w:pPr>
              <w:jc w:val="center"/>
            </w:pPr>
            <w:r/>
            <w:r>
              <w:rPr>
                <w:b/>
                <w:color w:val="FFFFFF"/>
                <w:sz w:val="20"/>
              </w:rPr>
              <w:t>Gatekeeper share</w:t>
            </w:r>
          </w:p>
        </w:tc>
      </w:tr>
      <w:tr>
        <w:tc>
          <w:tcPr>
            <w:tcW w:type="dxa" w:w="2340"/>
          </w:tcPr>
          <w:p>
            <w:pPr>
              <w:spacing w:after="0"/>
            </w:pPr>
            <w:r/>
            <w:r>
              <w:rPr>
                <w:sz w:val="19"/>
              </w:rPr>
              <w:t>Hardware</w:t>
            </w:r>
          </w:p>
        </w:tc>
        <w:tc>
          <w:tcPr>
            <w:tcW w:type="dxa" w:w="2340"/>
          </w:tcPr>
          <w:p>
            <w:pPr>
              <w:spacing w:after="0"/>
            </w:pPr>
            <w:r/>
            <w:r>
              <w:rPr>
                <w:sz w:val="19"/>
              </w:rPr>
              <w:t>4</w:t>
            </w:r>
          </w:p>
        </w:tc>
        <w:tc>
          <w:tcPr>
            <w:tcW w:type="dxa" w:w="2340"/>
          </w:tcPr>
          <w:p>
            <w:pPr>
              <w:spacing w:after="0"/>
            </w:pPr>
            <w:r/>
            <w:r>
              <w:rPr>
                <w:sz w:val="19"/>
              </w:rPr>
              <w:t>359.7</w:t>
            </w:r>
          </w:p>
        </w:tc>
        <w:tc>
          <w:tcPr>
            <w:tcW w:type="dxa" w:w="2340"/>
          </w:tcPr>
          <w:p>
            <w:pPr>
              <w:spacing w:after="0"/>
            </w:pPr>
            <w:r/>
            <w:r>
              <w:rPr>
                <w:sz w:val="19"/>
              </w:rPr>
              <w:t>53.3%</w:t>
            </w:r>
          </w:p>
        </w:tc>
      </w:tr>
      <w:tr>
        <w:tc>
          <w:tcPr>
            <w:tcW w:type="dxa" w:w="2340"/>
            <w:shd w:val="clear" w:color="auto" w:fill="EDF1F5"/>
          </w:tcPr>
          <w:p>
            <w:pPr>
              <w:spacing w:after="0"/>
            </w:pPr>
            <w:r/>
            <w:r>
              <w:rPr>
                <w:sz w:val="19"/>
              </w:rPr>
              <w:t>Cloud Providers</w:t>
            </w:r>
          </w:p>
        </w:tc>
        <w:tc>
          <w:tcPr>
            <w:tcW w:type="dxa" w:w="2340"/>
            <w:shd w:val="clear" w:color="auto" w:fill="EDF1F5"/>
          </w:tcPr>
          <w:p>
            <w:pPr>
              <w:spacing w:after="0"/>
            </w:pPr>
            <w:r/>
            <w:r>
              <w:rPr>
                <w:sz w:val="19"/>
              </w:rPr>
              <w:t>6</w:t>
            </w:r>
          </w:p>
        </w:tc>
        <w:tc>
          <w:tcPr>
            <w:tcW w:type="dxa" w:w="2340"/>
            <w:shd w:val="clear" w:color="auto" w:fill="EDF1F5"/>
          </w:tcPr>
          <w:p>
            <w:pPr>
              <w:spacing w:after="0"/>
            </w:pPr>
            <w:r/>
            <w:r>
              <w:rPr>
                <w:sz w:val="19"/>
              </w:rPr>
              <w:t>177.2</w:t>
            </w:r>
          </w:p>
        </w:tc>
        <w:tc>
          <w:tcPr>
            <w:tcW w:type="dxa" w:w="2340"/>
            <w:shd w:val="clear" w:color="auto" w:fill="EDF1F5"/>
          </w:tcPr>
          <w:p>
            <w:pPr>
              <w:spacing w:after="0"/>
            </w:pPr>
            <w:r/>
            <w:r>
              <w:rPr>
                <w:sz w:val="19"/>
              </w:rPr>
              <w:t>26.2%</w:t>
            </w:r>
          </w:p>
        </w:tc>
      </w:tr>
      <w:tr>
        <w:tc>
          <w:tcPr>
            <w:tcW w:type="dxa" w:w="2340"/>
          </w:tcPr>
          <w:p>
            <w:pPr>
              <w:spacing w:after="0"/>
            </w:pPr>
            <w:r/>
            <w:r>
              <w:rPr>
                <w:sz w:val="19"/>
              </w:rPr>
              <w:t>Fluidstack (external)</w:t>
            </w:r>
          </w:p>
        </w:tc>
        <w:tc>
          <w:tcPr>
            <w:tcW w:type="dxa" w:w="2340"/>
          </w:tcPr>
          <w:p>
            <w:pPr>
              <w:spacing w:after="0"/>
            </w:pPr>
            <w:r/>
            <w:r>
              <w:rPr>
                <w:sz w:val="19"/>
              </w:rPr>
              <w:t>1</w:t>
            </w:r>
          </w:p>
        </w:tc>
        <w:tc>
          <w:tcPr>
            <w:tcW w:type="dxa" w:w="2340"/>
          </w:tcPr>
          <w:p>
            <w:pPr>
              <w:spacing w:after="0"/>
            </w:pPr>
            <w:r/>
            <w:r>
              <w:rPr>
                <w:sz w:val="19"/>
              </w:rPr>
              <w:t>50.0</w:t>
            </w:r>
          </w:p>
        </w:tc>
        <w:tc>
          <w:tcPr>
            <w:tcW w:type="dxa" w:w="2340"/>
          </w:tcPr>
          <w:p>
            <w:pPr>
              <w:spacing w:after="0"/>
            </w:pPr>
            <w:r/>
            <w:r>
              <w:rPr>
                <w:sz w:val="19"/>
              </w:rPr>
              <w:t>7.4%</w:t>
            </w:r>
          </w:p>
        </w:tc>
      </w:tr>
      <w:tr>
        <w:tc>
          <w:tcPr>
            <w:tcW w:type="dxa" w:w="2340"/>
            <w:shd w:val="clear" w:color="auto" w:fill="EDF1F5"/>
          </w:tcPr>
          <w:p>
            <w:pPr>
              <w:spacing w:after="0"/>
            </w:pPr>
            <w:r/>
            <w:r>
              <w:rPr>
                <w:sz w:val="19"/>
              </w:rPr>
              <w:t>SpaceX Colossus (external)</w:t>
            </w:r>
          </w:p>
        </w:tc>
        <w:tc>
          <w:tcPr>
            <w:tcW w:type="dxa" w:w="2340"/>
            <w:shd w:val="clear" w:color="auto" w:fill="EDF1F5"/>
          </w:tcPr>
          <w:p>
            <w:pPr>
              <w:spacing w:after="0"/>
            </w:pPr>
            <w:r/>
            <w:r>
              <w:rPr>
                <w:sz w:val="19"/>
              </w:rPr>
              <w:t>1</w:t>
            </w:r>
          </w:p>
        </w:tc>
        <w:tc>
          <w:tcPr>
            <w:tcW w:type="dxa" w:w="2340"/>
            <w:shd w:val="clear" w:color="auto" w:fill="EDF1F5"/>
          </w:tcPr>
          <w:p>
            <w:pPr>
              <w:spacing w:after="0"/>
            </w:pPr>
            <w:r/>
            <w:r>
              <w:rPr>
                <w:sz w:val="19"/>
              </w:rPr>
              <w:t>45.0</w:t>
            </w:r>
          </w:p>
        </w:tc>
        <w:tc>
          <w:tcPr>
            <w:tcW w:type="dxa" w:w="2340"/>
            <w:shd w:val="clear" w:color="auto" w:fill="EDF1F5"/>
          </w:tcPr>
          <w:p>
            <w:pPr>
              <w:spacing w:after="0"/>
            </w:pPr>
            <w:r/>
            <w:r>
              <w:rPr>
                <w:sz w:val="19"/>
              </w:rPr>
              <w:t>6.7%</w:t>
            </w:r>
          </w:p>
        </w:tc>
      </w:tr>
      <w:tr>
        <w:tc>
          <w:tcPr>
            <w:tcW w:type="dxa" w:w="2340"/>
          </w:tcPr>
          <w:p>
            <w:pPr>
              <w:spacing w:after="0"/>
            </w:pPr>
            <w:r/>
            <w:r>
              <w:rPr>
                <w:sz w:val="19"/>
              </w:rPr>
              <w:t>Foundation Models</w:t>
            </w:r>
          </w:p>
        </w:tc>
        <w:tc>
          <w:tcPr>
            <w:tcW w:type="dxa" w:w="2340"/>
          </w:tcPr>
          <w:p>
            <w:pPr>
              <w:spacing w:after="0"/>
            </w:pPr>
            <w:r/>
            <w:r>
              <w:rPr>
                <w:sz w:val="19"/>
              </w:rPr>
              <w:t>4</w:t>
            </w:r>
          </w:p>
        </w:tc>
        <w:tc>
          <w:tcPr>
            <w:tcW w:type="dxa" w:w="2340"/>
          </w:tcPr>
          <w:p>
            <w:pPr>
              <w:spacing w:after="0"/>
            </w:pPr>
            <w:r/>
            <w:r>
              <w:rPr>
                <w:sz w:val="19"/>
              </w:rPr>
              <w:t>33.5</w:t>
            </w:r>
          </w:p>
        </w:tc>
        <w:tc>
          <w:tcPr>
            <w:tcW w:type="dxa" w:w="2340"/>
          </w:tcPr>
          <w:p>
            <w:pPr>
              <w:spacing w:after="0"/>
            </w:pPr>
            <w:r/>
            <w:r>
              <w:rPr>
                <w:sz w:val="19"/>
              </w:rPr>
              <w:t>5.0%</w:t>
            </w:r>
          </w:p>
        </w:tc>
      </w:tr>
    </w:tbl>
    <w:p>
      <w:pPr>
        <w:spacing w:after="80"/>
      </w:pPr>
      <w:r>
        <w:rPr>
          <w:sz w:val="4"/>
        </w:rPr>
      </w:r>
    </w:p>
    <w:p>
      <w:pPr>
        <w:spacing w:after="120"/>
      </w:pPr>
      <w:r>
        <w:rPr>
          <w:b w:val="0"/>
          <w:i w:val="0"/>
          <w:sz w:val="21"/>
        </w:rPr>
        <w:t>Top gatekeeper: Hardware (53.3% of dependency value). Upstream control predetermines downstream outcomes — the World Bank (2026) thesis, named here rather than assumed.</w:t>
      </w:r>
    </w:p>
    <w:p>
      <w:pPr>
        <w:keepNext/>
        <w:spacing w:before="200" w:after="40"/>
      </w:pPr>
      <w:r>
        <w:rPr>
          <w:b/>
          <w:color w:val="184A71"/>
          <w:sz w:val="21"/>
        </w:rPr>
        <w:t>Analytical insights — market structure</w:t>
      </w:r>
    </w:p>
    <w:p>
      <w:pPr>
        <w:spacing w:before="40" w:after="140"/>
        <w:ind w:left="173"/>
        <w:shd w:val="clear" w:color="auto" w:fill="EAF1F8"/>
        <w:pBdr>
          <w:left w:val="single" w:sz="18" w:space="4" w:color="1F4E79"/>
        </w:pBdr>
      </w:pPr>
      <w:r>
        <w:rPr>
          <w:b/>
          <w:color w:val="184A71"/>
          <w:sz w:val="20"/>
        </w:rPr>
        <w:t xml:space="preserve">Antitrust temperature.  </w:t>
      </w:r>
      <w:r>
        <w:rPr>
          <w:color w:val="1A2B3C"/>
          <w:sz w:val="20"/>
        </w:rPr>
        <w:t>The HHI of 3,851 is presumptively concentrated under the DOJ/FTC Merger Guidelines (HHI above 2,500 on the 2010 vintage — and above 1,800 on the current 2023 vintage — invites structural scrutiny), so unilateral conduct by the largest archetypes — let alone further consolidation — would be the first thing a competition authority examines. The top two archetypes — Cloud Providers (40.3%) and Hardware (45.9%) — account for 86.2% of measured revenue (CR4 = 100.0%), a structure consistent with a 'gatekeeper' market in which access, not price, is the competitive margin.</w:t>
      </w:r>
    </w:p>
    <w:p>
      <w:pPr>
        <w:spacing w:before="40" w:after="140"/>
        <w:ind w:left="173"/>
        <w:shd w:val="clear" w:color="auto" w:fill="EAF1F8"/>
        <w:pBdr>
          <w:left w:val="single" w:sz="18" w:space="4" w:color="1F4E79"/>
        </w:pBdr>
      </w:pPr>
      <w:r>
        <w:rPr>
          <w:b/>
          <w:color w:val="184A71"/>
          <w:sz w:val="20"/>
        </w:rPr>
        <w:t xml:space="preserve">Inequality as concentration.  </w:t>
      </w:r>
      <w:r>
        <w:rPr>
          <w:color w:val="1A2B3C"/>
          <w:sz w:val="20"/>
        </w:rPr>
        <w:t>A Gini coefficient of 0.393 (with only four players) shows that the distribution is dominated by the two infrastructure archetypes: the revenue share gap between Cloud/Hardware and the model/wrapper layers is the structural source of the bargaining asymmetries examined later.</w:t>
      </w:r>
    </w:p>
    <w:p>
      <w:pPr>
        <w:spacing w:before="40" w:after="140"/>
        <w:ind w:left="173"/>
        <w:shd w:val="clear" w:color="auto" w:fill="EAF1F8"/>
        <w:pBdr>
          <w:left w:val="single" w:sz="18" w:space="4" w:color="1F4E79"/>
        </w:pBdr>
      </w:pPr>
      <w:r>
        <w:rPr>
          <w:b/>
          <w:color w:val="184A71"/>
          <w:sz w:val="20"/>
        </w:rPr>
        <w:t xml:space="preserve">Where the pricing power sits.  </w:t>
      </w:r>
      <w:r>
        <w:rPr>
          <w:color w:val="1A2B3C"/>
          <w:sz w:val="20"/>
        </w:rPr>
        <w:t>The highest implied Lerner index is 0.623 (Hardware, ~165% markup over marginal cost). A Lerner value in this range implies inelastic demand and strong switching costs — precisely the preconditions for the vertical hold-up games modeled in Section 4.</w:t>
      </w:r>
    </w:p>
    <w:tbl>
      <w:tblPr>
        <w:tblStyle w:val="TableGrid"/>
        <w:tblW w:type="auto" w:w="0"/>
        <w:tblLayout w:type="autofit"/>
        <w:tblLook w:firstColumn="1" w:firstRow="1" w:lastColumn="0" w:lastRow="0" w:noHBand="0" w:noVBand="1" w:val="04A0"/>
      </w:tblPr>
      <w:tblGrid>
        <w:gridCol w:w="4680"/>
        <w:gridCol w:w="4680"/>
      </w:tblGrid>
      <w:tr>
        <w:tc>
          <w:tcPr>
            <w:tcW w:type="dxa" w:w="1800"/>
            <w:shd w:val="clear" w:color="auto" w:fill="EDF1F5"/>
          </w:tcPr>
          <w:p>
            <w:r/>
            <w:r>
              <w:rPr>
                <w:b/>
                <w:color w:val="2C3E50"/>
                <w:sz w:val="20"/>
              </w:rPr>
              <w:t>Module</w:t>
            </w:r>
          </w:p>
        </w:tc>
        <w:tc>
          <w:tcPr>
            <w:tcW w:type="dxa" w:w="7560"/>
          </w:tcPr>
          <w:p>
            <w:r/>
            <w:r>
              <w:rPr>
                <w:sz w:val="20"/>
              </w:rPr>
              <w:t>MarketStructureAnalyzer, ElasticitySensitivityAnalyzer, RevenueProjection</w:t>
            </w:r>
          </w:p>
        </w:tc>
      </w:tr>
      <w:tr>
        <w:tc>
          <w:tcPr>
            <w:tcW w:type="dxa" w:w="1800"/>
            <w:shd w:val="clear" w:color="auto" w:fill="EDF1F5"/>
          </w:tcPr>
          <w:p>
            <w:r/>
            <w:r>
              <w:rPr>
                <w:b/>
                <w:color w:val="2C3E50"/>
                <w:sz w:val="20"/>
              </w:rPr>
              <w:t>Outputs</w:t>
            </w:r>
          </w:p>
        </w:tc>
        <w:tc>
          <w:tcPr>
            <w:tcW w:type="dxa" w:w="7560"/>
          </w:tcPr>
          <w:p>
            <w:r/>
            <w:r>
              <w:rPr>
                <w:sz w:val="20"/>
              </w:rPr>
              <w:t>Tables 1.1 (structure), 1.3 (2030 projections), 7.1 (concentration); Figure 3 (revenue, HHI, shares).</w:t>
            </w:r>
          </w:p>
        </w:tc>
      </w:tr>
      <w:tr>
        <w:tc>
          <w:tcPr>
            <w:tcW w:type="dxa" w:w="1800"/>
            <w:shd w:val="clear" w:color="auto" w:fill="EDF1F5"/>
          </w:tcPr>
          <w:p>
            <w:r/>
            <w:r>
              <w:rPr>
                <w:b/>
                <w:color w:val="2C3E50"/>
                <w:sz w:val="20"/>
              </w:rPr>
              <w:t>Inference</w:t>
            </w:r>
          </w:p>
        </w:tc>
        <w:tc>
          <w:tcPr>
            <w:tcW w:type="dxa" w:w="7560"/>
          </w:tcPr>
          <w:p>
            <w:r/>
            <w:r>
              <w:rPr>
                <w:sz w:val="20"/>
              </w:rPr>
              <w:t>HHI 3,851 on $1,034B revenue with the top two archetypes at 86.2%: a gatekeeper structure where access, not price, is the competitive margin.</w:t>
            </w:r>
          </w:p>
        </w:tc>
      </w:tr>
      <w:tr>
        <w:tc>
          <w:tcPr>
            <w:tcW w:type="dxa" w:w="1800"/>
            <w:shd w:val="clear" w:color="auto" w:fill="EDF1F5"/>
          </w:tcPr>
          <w:p>
            <w:r/>
            <w:r>
              <w:rPr>
                <w:b/>
                <w:color w:val="2C3E50"/>
                <w:sz w:val="20"/>
              </w:rPr>
              <w:t>Implication</w:t>
            </w:r>
          </w:p>
        </w:tc>
        <w:tc>
          <w:tcPr>
            <w:tcW w:type="dxa" w:w="7560"/>
          </w:tcPr>
          <w:p>
            <w:r/>
            <w:r>
              <w:rPr>
                <w:sz w:val="20"/>
              </w:rPr>
              <w:t>Screen consolidation first and price conduct second: interoperability and portability remedies target the access margin directly, while breakup analysis starts from the measured, not assumed, bottleneck.</w:t>
            </w:r>
          </w:p>
        </w:tc>
      </w:tr>
    </w:tbl>
    <w:p>
      <w:pPr>
        <w:spacing w:after="80"/>
      </w:pPr>
    </w:p>
    <w:p>
      <w:pPr>
        <w:keepNext/>
        <w:spacing w:before="200" w:after="40"/>
      </w:pPr>
      <w:r>
        <w:rPr>
          <w:b/>
          <w:color w:val="2C3E50"/>
          <w:sz w:val="20"/>
        </w:rPr>
        <w:t>Table 1.1: Market Structure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Metric</w:t>
            </w:r>
          </w:p>
        </w:tc>
        <w:tc>
          <w:tcPr>
            <w:tcW w:type="dxa" w:w="3120"/>
            <w:tblHeader w:val="true"/>
            <w:shd w:val="clear" w:color="auto" w:fill="2C3E50"/>
          </w:tcPr>
          <w:p>
            <w:pPr>
              <w:jc w:val="center"/>
            </w:pPr>
            <w:r/>
            <w:r>
              <w:rPr>
                <w:b/>
                <w:color w:val="FFFFFF"/>
                <w:sz w:val="20"/>
              </w:rPr>
              <w:t>Value</w:t>
            </w:r>
          </w:p>
        </w:tc>
        <w:tc>
          <w:tcPr>
            <w:tcW w:type="dxa" w:w="3120"/>
            <w:tblHeader w:val="true"/>
            <w:shd w:val="clear" w:color="auto" w:fill="2C3E50"/>
          </w:tcPr>
          <w:p>
            <w:pPr>
              <w:jc w:val="center"/>
            </w:pPr>
            <w:r/>
            <w:r>
              <w:rPr>
                <w:b/>
                <w:color w:val="FFFFFF"/>
                <w:sz w:val="20"/>
              </w:rPr>
              <w:t>Interpretation</w:t>
            </w:r>
          </w:p>
        </w:tc>
      </w:tr>
      <w:tr>
        <w:tc>
          <w:tcPr>
            <w:tcW w:type="dxa" w:w="3120"/>
          </w:tcPr>
          <w:p>
            <w:pPr>
              <w:spacing w:after="0"/>
            </w:pPr>
            <w:r/>
            <w:r>
              <w:rPr>
                <w:sz w:val="19"/>
              </w:rPr>
              <w:t>Total Market Value ($B)</w:t>
            </w:r>
          </w:p>
        </w:tc>
        <w:tc>
          <w:tcPr>
            <w:tcW w:type="dxa" w:w="3120"/>
          </w:tcPr>
          <w:p>
            <w:pPr>
              <w:spacing w:after="0"/>
            </w:pPr>
            <w:r/>
            <w:r>
              <w:rPr>
                <w:sz w:val="19"/>
              </w:rPr>
              <w:t>1,034.50</w:t>
            </w:r>
          </w:p>
        </w:tc>
        <w:tc>
          <w:tcPr>
            <w:tcW w:type="dxa" w:w="3120"/>
          </w:tcPr>
          <w:p>
            <w:pPr>
              <w:spacing w:after="0"/>
            </w:pPr>
            <w:r/>
            <w:r>
              <w:rPr>
                <w:sz w:val="19"/>
              </w:rPr>
              <w:t>-</w:t>
            </w:r>
          </w:p>
        </w:tc>
      </w:tr>
      <w:tr>
        <w:tc>
          <w:tcPr>
            <w:tcW w:type="dxa" w:w="3120"/>
            <w:shd w:val="clear" w:color="auto" w:fill="EDF1F5"/>
          </w:tcPr>
          <w:p>
            <w:pPr>
              <w:spacing w:after="0"/>
            </w:pPr>
            <w:r/>
            <w:r>
              <w:rPr>
                <w:sz w:val="19"/>
              </w:rPr>
              <w:t>HHI</w:t>
            </w:r>
          </w:p>
        </w:tc>
        <w:tc>
          <w:tcPr>
            <w:tcW w:type="dxa" w:w="3120"/>
            <w:shd w:val="clear" w:color="auto" w:fill="EDF1F5"/>
          </w:tcPr>
          <w:p>
            <w:pPr>
              <w:spacing w:after="0"/>
            </w:pPr>
            <w:r/>
            <w:r>
              <w:rPr>
                <w:sz w:val="19"/>
              </w:rPr>
              <w:t>3,851.21</w:t>
            </w:r>
          </w:p>
        </w:tc>
        <w:tc>
          <w:tcPr>
            <w:tcW w:type="dxa" w:w="3120"/>
            <w:shd w:val="clear" w:color="auto" w:fill="EDF1F5"/>
          </w:tcPr>
          <w:p>
            <w:pPr>
              <w:spacing w:after="0"/>
            </w:pPr>
            <w:r/>
            <w:r>
              <w:rPr>
                <w:sz w:val="19"/>
              </w:rPr>
              <w:t>Highly Concentrated</w:t>
            </w:r>
          </w:p>
        </w:tc>
      </w:tr>
      <w:tr>
        <w:tc>
          <w:tcPr>
            <w:tcW w:type="dxa" w:w="3120"/>
          </w:tcPr>
          <w:p>
            <w:pPr>
              <w:spacing w:after="0"/>
            </w:pPr>
            <w:r/>
            <w:r>
              <w:rPr>
                <w:sz w:val="19"/>
              </w:rPr>
              <w:t>Gini Coefficient</w:t>
            </w:r>
          </w:p>
        </w:tc>
        <w:tc>
          <w:tcPr>
            <w:tcW w:type="dxa" w:w="3120"/>
          </w:tcPr>
          <w:p>
            <w:pPr>
              <w:spacing w:after="0"/>
            </w:pPr>
            <w:r/>
            <w:r>
              <w:rPr>
                <w:sz w:val="19"/>
              </w:rPr>
              <w:t>0.39</w:t>
            </w:r>
          </w:p>
        </w:tc>
        <w:tc>
          <w:tcPr>
            <w:tcW w:type="dxa" w:w="3120"/>
          </w:tcPr>
          <w:p>
            <w:pPr>
              <w:spacing w:after="0"/>
            </w:pPr>
            <w:r/>
            <w:r>
              <w:rPr>
                <w:sz w:val="19"/>
              </w:rPr>
              <w:t>Moderate</w:t>
            </w:r>
          </w:p>
        </w:tc>
      </w:tr>
      <w:tr>
        <w:tc>
          <w:tcPr>
            <w:tcW w:type="dxa" w:w="3120"/>
            <w:shd w:val="clear" w:color="auto" w:fill="EDF1F5"/>
          </w:tcPr>
          <w:p>
            <w:pPr>
              <w:spacing w:after="0"/>
            </w:pPr>
            <w:r/>
            <w:r>
              <w:rPr>
                <w:sz w:val="19"/>
              </w:rPr>
              <w:t>CR4 (%)</w:t>
            </w:r>
          </w:p>
        </w:tc>
        <w:tc>
          <w:tcPr>
            <w:tcW w:type="dxa" w:w="3120"/>
            <w:shd w:val="clear" w:color="auto" w:fill="EDF1F5"/>
          </w:tcPr>
          <w:p>
            <w:pPr>
              <w:spacing w:after="0"/>
            </w:pPr>
            <w:r/>
            <w:r>
              <w:rPr>
                <w:sz w:val="19"/>
              </w:rPr>
              <w:t>100</w:t>
            </w:r>
          </w:p>
        </w:tc>
        <w:tc>
          <w:tcPr>
            <w:tcW w:type="dxa" w:w="3120"/>
            <w:shd w:val="clear" w:color="auto" w:fill="EDF1F5"/>
          </w:tcPr>
          <w:p>
            <w:pPr>
              <w:spacing w:after="0"/>
            </w:pPr>
            <w:r/>
            <w:r>
              <w:rPr>
                <w:sz w:val="19"/>
              </w:rPr>
              <w:t>Top 4 Dominated</w:t>
            </w:r>
          </w:p>
        </w:tc>
      </w:tr>
    </w:tbl>
    <w:p>
      <w:pPr>
        <w:spacing w:after="80"/>
      </w:pPr>
      <w:r>
        <w:rPr>
          <w:sz w:val="4"/>
        </w:rPr>
      </w:r>
    </w:p>
    <w:p>
      <w:pPr>
        <w:keepNext/>
        <w:spacing w:before="200" w:after="40"/>
      </w:pPr>
      <w:r>
        <w:rPr>
          <w:b/>
          <w:color w:val="2C3E50"/>
          <w:sz w:val="20"/>
        </w:rPr>
        <w:t>Table 1.3: Revenue Projections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CAGR (%)</w:t>
            </w:r>
          </w:p>
        </w:tc>
        <w:tc>
          <w:tcPr>
            <w:tcW w:type="dxa" w:w="3120"/>
            <w:tblHeader w:val="true"/>
            <w:shd w:val="clear" w:color="auto" w:fill="2C3E50"/>
          </w:tcPr>
          <w:p>
            <w:pPr>
              <w:jc w:val="center"/>
            </w:pPr>
            <w:r/>
            <w:r>
              <w:rPr>
                <w:b/>
                <w:color w:val="FFFFFF"/>
                <w:sz w:val="20"/>
              </w:rPr>
              <w:t>Revenue 2025 ($B)</w:t>
            </w:r>
          </w:p>
        </w:tc>
        <w:tc>
          <w:tcPr>
            <w:tcW w:type="dxa" w:w="3120"/>
            <w:tblHeader w:val="true"/>
            <w:shd w:val="clear" w:color="auto" w:fill="2C3E50"/>
          </w:tcPr>
          <w:p>
            <w:pPr>
              <w:jc w:val="center"/>
            </w:pPr>
            <w:r/>
            <w:r>
              <w:rPr>
                <w:b/>
                <w:color w:val="FFFFFF"/>
                <w:sz w:val="20"/>
              </w:rPr>
              <w:t>Projected Revenue 2030 ($B)</w:t>
            </w:r>
          </w:p>
        </w:tc>
      </w:tr>
      <w:tr>
        <w:tc>
          <w:tcPr>
            <w:tcW w:type="dxa" w:w="3120"/>
          </w:tcPr>
          <w:p>
            <w:pPr>
              <w:spacing w:after="0"/>
            </w:pPr>
            <w:r/>
            <w:r>
              <w:rPr>
                <w:sz w:val="19"/>
              </w:rPr>
              <w:t>29</w:t>
            </w:r>
          </w:p>
        </w:tc>
        <w:tc>
          <w:tcPr>
            <w:tcW w:type="dxa" w:w="3120"/>
          </w:tcPr>
          <w:p>
            <w:pPr>
              <w:spacing w:after="0"/>
            </w:pPr>
            <w:r/>
            <w:r>
              <w:rPr>
                <w:sz w:val="19"/>
              </w:rPr>
              <w:t>475</w:t>
            </w:r>
          </w:p>
        </w:tc>
        <w:tc>
          <w:tcPr>
            <w:tcW w:type="dxa" w:w="3120"/>
          </w:tcPr>
          <w:p>
            <w:pPr>
              <w:spacing w:after="0"/>
            </w:pPr>
            <w:r/>
            <w:r>
              <w:rPr>
                <w:sz w:val="19"/>
              </w:rPr>
              <w:t>1,585.30</w:t>
            </w:r>
          </w:p>
        </w:tc>
      </w:tr>
      <w:tr>
        <w:tc>
          <w:tcPr>
            <w:tcW w:type="dxa" w:w="3120"/>
            <w:shd w:val="clear" w:color="auto" w:fill="EDF1F5"/>
          </w:tcPr>
          <w:p>
            <w:pPr>
              <w:spacing w:after="0"/>
            </w:pPr>
            <w:r/>
            <w:r>
              <w:rPr>
                <w:sz w:val="19"/>
              </w:rPr>
              <w:t>28</w:t>
            </w:r>
          </w:p>
        </w:tc>
        <w:tc>
          <w:tcPr>
            <w:tcW w:type="dxa" w:w="3120"/>
            <w:shd w:val="clear" w:color="auto" w:fill="EDF1F5"/>
          </w:tcPr>
          <w:p>
            <w:pPr>
              <w:spacing w:after="0"/>
            </w:pPr>
            <w:r/>
            <w:r>
              <w:rPr>
                <w:sz w:val="19"/>
              </w:rPr>
              <w:t>417</w:t>
            </w:r>
          </w:p>
        </w:tc>
        <w:tc>
          <w:tcPr>
            <w:tcW w:type="dxa" w:w="3120"/>
            <w:shd w:val="clear" w:color="auto" w:fill="EDF1F5"/>
          </w:tcPr>
          <w:p>
            <w:pPr>
              <w:spacing w:after="0"/>
            </w:pPr>
            <w:r/>
            <w:r>
              <w:rPr>
                <w:sz w:val="19"/>
              </w:rPr>
              <w:t>1,341.10</w:t>
            </w:r>
          </w:p>
        </w:tc>
      </w:tr>
      <w:tr>
        <w:tc>
          <w:tcPr>
            <w:tcW w:type="dxa" w:w="3120"/>
          </w:tcPr>
          <w:p>
            <w:pPr>
              <w:spacing w:after="0"/>
            </w:pPr>
            <w:r/>
            <w:r>
              <w:rPr>
                <w:sz w:val="19"/>
              </w:rPr>
              <w:t>35</w:t>
            </w:r>
          </w:p>
        </w:tc>
        <w:tc>
          <w:tcPr>
            <w:tcW w:type="dxa" w:w="3120"/>
          </w:tcPr>
          <w:p>
            <w:pPr>
              <w:spacing w:after="0"/>
            </w:pPr>
            <w:r/>
            <w:r>
              <w:rPr>
                <w:sz w:val="19"/>
              </w:rPr>
              <w:t>106.50</w:t>
            </w:r>
          </w:p>
        </w:tc>
        <w:tc>
          <w:tcPr>
            <w:tcW w:type="dxa" w:w="3120"/>
          </w:tcPr>
          <w:p>
            <w:pPr>
              <w:spacing w:after="0"/>
            </w:pPr>
            <w:r/>
            <w:r>
              <w:rPr>
                <w:sz w:val="19"/>
              </w:rPr>
              <w:t>441.50</w:t>
            </w:r>
          </w:p>
        </w:tc>
      </w:tr>
      <w:tr>
        <w:tc>
          <w:tcPr>
            <w:tcW w:type="dxa" w:w="3120"/>
            <w:shd w:val="clear" w:color="auto" w:fill="EDF1F5"/>
          </w:tcPr>
          <w:p>
            <w:pPr>
              <w:spacing w:after="0"/>
            </w:pPr>
            <w:r/>
            <w:r>
              <w:rPr>
                <w:sz w:val="19"/>
              </w:rPr>
              <w:t>30</w:t>
            </w:r>
          </w:p>
        </w:tc>
        <w:tc>
          <w:tcPr>
            <w:tcW w:type="dxa" w:w="3120"/>
            <w:shd w:val="clear" w:color="auto" w:fill="EDF1F5"/>
          </w:tcPr>
          <w:p>
            <w:pPr>
              <w:spacing w:after="0"/>
            </w:pPr>
            <w:r/>
            <w:r>
              <w:rPr>
                <w:sz w:val="19"/>
              </w:rPr>
              <w:t>36</w:t>
            </w:r>
          </w:p>
        </w:tc>
        <w:tc>
          <w:tcPr>
            <w:tcW w:type="dxa" w:w="3120"/>
            <w:shd w:val="clear" w:color="auto" w:fill="EDF1F5"/>
          </w:tcPr>
          <w:p>
            <w:pPr>
              <w:spacing w:after="0"/>
            </w:pPr>
            <w:r/>
            <w:r>
              <w:rPr>
                <w:sz w:val="19"/>
              </w:rPr>
              <w:t>124.70</w:t>
            </w:r>
          </w:p>
        </w:tc>
      </w:tr>
    </w:tbl>
    <w:p>
      <w:pPr>
        <w:spacing w:after="80"/>
      </w:pPr>
      <w:r>
        <w:rPr>
          <w:sz w:val="4"/>
        </w:rPr>
      </w:r>
    </w:p>
    <w:p>
      <w:pPr>
        <w:spacing w:after="120"/>
      </w:pPr>
      <w:r>
        <w:rPr>
          <w:b w:val="0"/>
          <w:i w:val="0"/>
          <w:sz w:val="21"/>
        </w:rPr>
        <w:t>Table 7.16 converts the 2025 observed and 2030 projected revenue levels into market shares: the levels say how big the market gets, the shares say who gains weight under diminishing-growth compounding. The figure plots the two vintages side by side.</w:t>
      </w:r>
    </w:p>
    <w:p>
      <w:pPr>
        <w:keepNext/>
        <w:spacing w:before="200" w:after="40"/>
      </w:pPr>
      <w:r>
        <w:rPr>
          <w:b/>
          <w:color w:val="2C3E50"/>
          <w:sz w:val="20"/>
        </w:rPr>
        <w:t>Table 7.16: Market-Share Evolution 2025 vs 2030 (Revenue Projections)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Archetype</w:t>
            </w:r>
          </w:p>
        </w:tc>
        <w:tc>
          <w:tcPr>
            <w:tcW w:type="dxa" w:w="1560"/>
            <w:tblHeader w:val="true"/>
            <w:shd w:val="clear" w:color="auto" w:fill="2C3E50"/>
          </w:tcPr>
          <w:p>
            <w:pPr>
              <w:jc w:val="center"/>
            </w:pPr>
            <w:r/>
            <w:r>
              <w:rPr>
                <w:b/>
                <w:color w:val="FFFFFF"/>
                <w:sz w:val="18"/>
              </w:rPr>
              <w:t>Revenue 2025 ($B)</w:t>
            </w:r>
          </w:p>
        </w:tc>
        <w:tc>
          <w:tcPr>
            <w:tcW w:type="dxa" w:w="1560"/>
            <w:tblHeader w:val="true"/>
            <w:shd w:val="clear" w:color="auto" w:fill="2C3E50"/>
          </w:tcPr>
          <w:p>
            <w:pPr>
              <w:jc w:val="center"/>
            </w:pPr>
            <w:r/>
            <w:r>
              <w:rPr>
                <w:b/>
                <w:color w:val="FFFFFF"/>
                <w:sz w:val="18"/>
              </w:rPr>
              <w:t>Share 2025 (%)</w:t>
            </w:r>
          </w:p>
        </w:tc>
        <w:tc>
          <w:tcPr>
            <w:tcW w:type="dxa" w:w="1560"/>
            <w:tblHeader w:val="true"/>
            <w:shd w:val="clear" w:color="auto" w:fill="2C3E50"/>
          </w:tcPr>
          <w:p>
            <w:pPr>
              <w:jc w:val="center"/>
            </w:pPr>
            <w:r/>
            <w:r>
              <w:rPr>
                <w:b/>
                <w:color w:val="FFFFFF"/>
                <w:sz w:val="18"/>
              </w:rPr>
              <w:t>Revenue 2030 ($B)</w:t>
            </w:r>
          </w:p>
        </w:tc>
        <w:tc>
          <w:tcPr>
            <w:tcW w:type="dxa" w:w="1560"/>
            <w:tblHeader w:val="true"/>
            <w:shd w:val="clear" w:color="auto" w:fill="2C3E50"/>
          </w:tcPr>
          <w:p>
            <w:pPr>
              <w:jc w:val="center"/>
            </w:pPr>
            <w:r/>
            <w:r>
              <w:rPr>
                <w:b/>
                <w:color w:val="FFFFFF"/>
                <w:sz w:val="18"/>
              </w:rPr>
              <w:t>Share 2030 (%)</w:t>
            </w:r>
          </w:p>
        </w:tc>
        <w:tc>
          <w:tcPr>
            <w:tcW w:type="dxa" w:w="1560"/>
            <w:tblHeader w:val="true"/>
            <w:shd w:val="clear" w:color="auto" w:fill="2C3E50"/>
          </w:tcPr>
          <w:p>
            <w:pPr>
              <w:jc w:val="center"/>
            </w:pPr>
            <w:r/>
            <w:r>
              <w:rPr>
                <w:b/>
                <w:color w:val="FFFFFF"/>
                <w:sz w:val="18"/>
              </w:rPr>
              <w:t>Share Change (pp)</w:t>
            </w:r>
          </w:p>
        </w:tc>
      </w:tr>
      <w:tr>
        <w:tc>
          <w:tcPr>
            <w:tcW w:type="dxa" w:w="1560"/>
          </w:tcPr>
          <w:p>
            <w:pPr>
              <w:spacing w:after="0"/>
            </w:pPr>
            <w:r/>
            <w:r>
              <w:rPr>
                <w:sz w:val="17"/>
              </w:rPr>
              <w:t>Hardware</w:t>
            </w:r>
          </w:p>
        </w:tc>
        <w:tc>
          <w:tcPr>
            <w:tcW w:type="dxa" w:w="1560"/>
          </w:tcPr>
          <w:p>
            <w:pPr>
              <w:spacing w:after="0"/>
            </w:pPr>
            <w:r/>
            <w:r>
              <w:rPr>
                <w:sz w:val="17"/>
              </w:rPr>
              <w:t>475</w:t>
            </w:r>
          </w:p>
        </w:tc>
        <w:tc>
          <w:tcPr>
            <w:tcW w:type="dxa" w:w="1560"/>
          </w:tcPr>
          <w:p>
            <w:pPr>
              <w:spacing w:after="0"/>
            </w:pPr>
            <w:r/>
            <w:r>
              <w:rPr>
                <w:sz w:val="17"/>
              </w:rPr>
              <w:t>45.92</w:t>
            </w:r>
          </w:p>
        </w:tc>
        <w:tc>
          <w:tcPr>
            <w:tcW w:type="dxa" w:w="1560"/>
          </w:tcPr>
          <w:p>
            <w:pPr>
              <w:spacing w:after="0"/>
            </w:pPr>
            <w:r/>
            <w:r>
              <w:rPr>
                <w:sz w:val="17"/>
              </w:rPr>
              <w:t>1,585.30</w:t>
            </w:r>
          </w:p>
        </w:tc>
        <w:tc>
          <w:tcPr>
            <w:tcW w:type="dxa" w:w="1560"/>
          </w:tcPr>
          <w:p>
            <w:pPr>
              <w:spacing w:after="0"/>
            </w:pPr>
            <w:r/>
            <w:r>
              <w:rPr>
                <w:sz w:val="17"/>
              </w:rPr>
              <w:t>45.39</w:t>
            </w:r>
          </w:p>
        </w:tc>
        <w:tc>
          <w:tcPr>
            <w:tcW w:type="dxa" w:w="1560"/>
          </w:tcPr>
          <w:p>
            <w:pPr>
              <w:spacing w:after="0"/>
            </w:pPr>
            <w:r/>
            <w:r>
              <w:rPr>
                <w:sz w:val="17"/>
              </w:rPr>
              <w:t>-0.52</w:t>
            </w:r>
          </w:p>
        </w:tc>
      </w:tr>
      <w:tr>
        <w:tc>
          <w:tcPr>
            <w:tcW w:type="dxa" w:w="1560"/>
            <w:shd w:val="clear" w:color="auto" w:fill="EDF1F5"/>
          </w:tcPr>
          <w:p>
            <w:pPr>
              <w:spacing w:after="0"/>
            </w:pPr>
            <w:r/>
            <w:r>
              <w:rPr>
                <w:sz w:val="17"/>
              </w:rPr>
              <w:t>Cloud Providers</w:t>
            </w:r>
          </w:p>
        </w:tc>
        <w:tc>
          <w:tcPr>
            <w:tcW w:type="dxa" w:w="1560"/>
            <w:shd w:val="clear" w:color="auto" w:fill="EDF1F5"/>
          </w:tcPr>
          <w:p>
            <w:pPr>
              <w:spacing w:after="0"/>
            </w:pPr>
            <w:r/>
            <w:r>
              <w:rPr>
                <w:sz w:val="17"/>
              </w:rPr>
              <w:t>417</w:t>
            </w:r>
          </w:p>
        </w:tc>
        <w:tc>
          <w:tcPr>
            <w:tcW w:type="dxa" w:w="1560"/>
            <w:shd w:val="clear" w:color="auto" w:fill="EDF1F5"/>
          </w:tcPr>
          <w:p>
            <w:pPr>
              <w:spacing w:after="0"/>
            </w:pPr>
            <w:r/>
            <w:r>
              <w:rPr>
                <w:sz w:val="17"/>
              </w:rPr>
              <w:t>40.31</w:t>
            </w:r>
          </w:p>
        </w:tc>
        <w:tc>
          <w:tcPr>
            <w:tcW w:type="dxa" w:w="1560"/>
            <w:shd w:val="clear" w:color="auto" w:fill="EDF1F5"/>
          </w:tcPr>
          <w:p>
            <w:pPr>
              <w:spacing w:after="0"/>
            </w:pPr>
            <w:r/>
            <w:r>
              <w:rPr>
                <w:sz w:val="17"/>
              </w:rPr>
              <w:t>1,341.10</w:t>
            </w:r>
          </w:p>
        </w:tc>
        <w:tc>
          <w:tcPr>
            <w:tcW w:type="dxa" w:w="1560"/>
            <w:shd w:val="clear" w:color="auto" w:fill="EDF1F5"/>
          </w:tcPr>
          <w:p>
            <w:pPr>
              <w:spacing w:after="0"/>
            </w:pPr>
            <w:r/>
            <w:r>
              <w:rPr>
                <w:sz w:val="17"/>
              </w:rPr>
              <w:t>38.40</w:t>
            </w:r>
          </w:p>
        </w:tc>
        <w:tc>
          <w:tcPr>
            <w:tcW w:type="dxa" w:w="1560"/>
            <w:shd w:val="clear" w:color="auto" w:fill="EDF1F5"/>
          </w:tcPr>
          <w:p>
            <w:pPr>
              <w:spacing w:after="0"/>
            </w:pPr>
            <w:r/>
            <w:r>
              <w:rPr>
                <w:sz w:val="17"/>
              </w:rPr>
              <w:t>-1.91</w:t>
            </w:r>
          </w:p>
        </w:tc>
      </w:tr>
      <w:tr>
        <w:tc>
          <w:tcPr>
            <w:tcW w:type="dxa" w:w="1560"/>
          </w:tcPr>
          <w:p>
            <w:pPr>
              <w:spacing w:after="0"/>
            </w:pPr>
            <w:r/>
            <w:r>
              <w:rPr>
                <w:sz w:val="17"/>
              </w:rPr>
              <w:t>Foundation Models</w:t>
            </w:r>
          </w:p>
        </w:tc>
        <w:tc>
          <w:tcPr>
            <w:tcW w:type="dxa" w:w="1560"/>
          </w:tcPr>
          <w:p>
            <w:pPr>
              <w:spacing w:after="0"/>
            </w:pPr>
            <w:r/>
            <w:r>
              <w:rPr>
                <w:sz w:val="17"/>
              </w:rPr>
              <w:t>106.50</w:t>
            </w:r>
          </w:p>
        </w:tc>
        <w:tc>
          <w:tcPr>
            <w:tcW w:type="dxa" w:w="1560"/>
          </w:tcPr>
          <w:p>
            <w:pPr>
              <w:spacing w:after="0"/>
            </w:pPr>
            <w:r/>
            <w:r>
              <w:rPr>
                <w:sz w:val="17"/>
              </w:rPr>
              <w:t>10.29</w:t>
            </w:r>
          </w:p>
        </w:tc>
        <w:tc>
          <w:tcPr>
            <w:tcW w:type="dxa" w:w="1560"/>
          </w:tcPr>
          <w:p>
            <w:pPr>
              <w:spacing w:after="0"/>
            </w:pPr>
            <w:r/>
            <w:r>
              <w:rPr>
                <w:sz w:val="17"/>
              </w:rPr>
              <w:t>441.50</w:t>
            </w:r>
          </w:p>
        </w:tc>
        <w:tc>
          <w:tcPr>
            <w:tcW w:type="dxa" w:w="1560"/>
          </w:tcPr>
          <w:p>
            <w:pPr>
              <w:spacing w:after="0"/>
            </w:pPr>
            <w:r/>
            <w:r>
              <w:rPr>
                <w:sz w:val="17"/>
              </w:rPr>
              <w:t>12.64</w:t>
            </w:r>
          </w:p>
        </w:tc>
        <w:tc>
          <w:tcPr>
            <w:tcW w:type="dxa" w:w="1560"/>
          </w:tcPr>
          <w:p>
            <w:pPr>
              <w:spacing w:after="0"/>
            </w:pPr>
            <w:r/>
            <w:r>
              <w:rPr>
                <w:sz w:val="17"/>
              </w:rPr>
              <w:t>2.35</w:t>
            </w:r>
          </w:p>
        </w:tc>
      </w:tr>
      <w:tr>
        <w:tc>
          <w:tcPr>
            <w:tcW w:type="dxa" w:w="1560"/>
            <w:shd w:val="clear" w:color="auto" w:fill="EDF1F5"/>
          </w:tcPr>
          <w:p>
            <w:pPr>
              <w:spacing w:after="0"/>
            </w:pPr>
            <w:r/>
            <w:r>
              <w:rPr>
                <w:sz w:val="17"/>
              </w:rPr>
              <w:t>LLM Wrappers</w:t>
            </w:r>
          </w:p>
        </w:tc>
        <w:tc>
          <w:tcPr>
            <w:tcW w:type="dxa" w:w="1560"/>
            <w:shd w:val="clear" w:color="auto" w:fill="EDF1F5"/>
          </w:tcPr>
          <w:p>
            <w:pPr>
              <w:spacing w:after="0"/>
            </w:pPr>
            <w:r/>
            <w:r>
              <w:rPr>
                <w:sz w:val="17"/>
              </w:rPr>
              <w:t>36</w:t>
            </w:r>
          </w:p>
        </w:tc>
        <w:tc>
          <w:tcPr>
            <w:tcW w:type="dxa" w:w="1560"/>
            <w:shd w:val="clear" w:color="auto" w:fill="EDF1F5"/>
          </w:tcPr>
          <w:p>
            <w:pPr>
              <w:spacing w:after="0"/>
            </w:pPr>
            <w:r/>
            <w:r>
              <w:rPr>
                <w:sz w:val="17"/>
              </w:rPr>
              <w:t>3.48</w:t>
            </w:r>
          </w:p>
        </w:tc>
        <w:tc>
          <w:tcPr>
            <w:tcW w:type="dxa" w:w="1560"/>
            <w:shd w:val="clear" w:color="auto" w:fill="EDF1F5"/>
          </w:tcPr>
          <w:p>
            <w:pPr>
              <w:spacing w:after="0"/>
            </w:pPr>
            <w:r/>
            <w:r>
              <w:rPr>
                <w:sz w:val="17"/>
              </w:rPr>
              <w:t>124.70</w:t>
            </w:r>
          </w:p>
        </w:tc>
        <w:tc>
          <w:tcPr>
            <w:tcW w:type="dxa" w:w="1560"/>
            <w:shd w:val="clear" w:color="auto" w:fill="EDF1F5"/>
          </w:tcPr>
          <w:p>
            <w:pPr>
              <w:spacing w:after="0"/>
            </w:pPr>
            <w:r/>
            <w:r>
              <w:rPr>
                <w:sz w:val="17"/>
              </w:rPr>
              <w:t>3.57</w:t>
            </w:r>
          </w:p>
        </w:tc>
        <w:tc>
          <w:tcPr>
            <w:tcW w:type="dxa" w:w="1560"/>
            <w:shd w:val="clear" w:color="auto" w:fill="EDF1F5"/>
          </w:tcPr>
          <w:p>
            <w:pPr>
              <w:spacing w:after="0"/>
            </w:pPr>
            <w:r/>
            <w:r>
              <w:rPr>
                <w:sz w:val="17"/>
              </w:rPr>
              <w:t>0.09</w:t>
            </w:r>
          </w:p>
        </w:tc>
      </w:tr>
    </w:tbl>
    <w:p>
      <w:pPr>
        <w:spacing w:after="80"/>
      </w:pPr>
      <w:r>
        <w:rPr>
          <w:sz w:val="4"/>
        </w:rPr>
      </w:r>
    </w:p>
    <w:p>
      <w:pPr>
        <w:keepNext/>
        <w:spacing w:before="160"/>
        <w:jc w:val="center"/>
      </w:pPr>
      <w:r>
        <w:drawing>
          <wp:inline xmlns:a="http://schemas.openxmlformats.org/drawingml/2006/main" xmlns:pic="http://schemas.openxmlformats.org/drawingml/2006/picture">
            <wp:extent cx="5760720" cy="3507638"/>
            <wp:docPr id="5" name="Picture 5" descr="Supplemental S1 — Revenue Levels 2025 vs 2030"/>
            <wp:cNvGraphicFramePr>
              <a:graphicFrameLocks noChangeAspect="1"/>
            </wp:cNvGraphicFramePr>
            <a:graphic>
              <a:graphicData uri="http://schemas.openxmlformats.org/drawingml/2006/picture">
                <pic:pic>
                  <pic:nvPicPr>
                    <pic:cNvPr id="0" name="s1_market_share_levels.jpg"/>
                    <pic:cNvPicPr/>
                  </pic:nvPicPr>
                  <pic:blipFill>
                    <a:blip r:embed="rId15"/>
                    <a:stretch>
                      <a:fillRect/>
                    </a:stretch>
                  </pic:blipFill>
                  <pic:spPr>
                    <a:xfrm>
                      <a:off x="0" y="0"/>
                      <a:ext cx="5760720" cy="3507638"/>
                    </a:xfrm>
                    <a:prstGeom prst="rect"/>
                  </pic:spPr>
                </pic:pic>
              </a:graphicData>
            </a:graphic>
          </wp:inline>
        </w:drawing>
      </w:r>
    </w:p>
    <w:p>
      <w:pPr>
        <w:spacing w:after="200"/>
        <w:jc w:val="center"/>
      </w:pPr>
      <w:r>
        <w:rPr>
          <w:i/>
          <w:color w:val="404040"/>
          <w:sz w:val="18"/>
        </w:rPr>
        <w:t>Supplemental S1 — Revenue Levels 2025 vs 2030</w:t>
      </w:r>
    </w:p>
    <w:p>
      <w:pPr>
        <w:keepNext/>
        <w:spacing w:before="160"/>
        <w:jc w:val="center"/>
      </w:pPr>
      <w:r>
        <w:drawing>
          <wp:inline xmlns:a="http://schemas.openxmlformats.org/drawingml/2006/main" xmlns:pic="http://schemas.openxmlformats.org/drawingml/2006/picture">
            <wp:extent cx="5303520" cy="5256378"/>
            <wp:docPr id="6" name="Picture 6" descr="Figure 3: Market Size, Concentration &amp; Shares [Panels: (a), (b), (c)]"/>
            <wp:cNvGraphicFramePr>
              <a:graphicFrameLocks noChangeAspect="1"/>
            </wp:cNvGraphicFramePr>
            <a:graphic>
              <a:graphicData uri="http://schemas.openxmlformats.org/drawingml/2006/picture">
                <pic:pic>
                  <pic:nvPicPr>
                    <pic:cNvPr id="0" name="figure_3.jpg"/>
                    <pic:cNvPicPr/>
                  </pic:nvPicPr>
                  <pic:blipFill>
                    <a:blip r:embed="rId16"/>
                    <a:stretch>
                      <a:fillRect/>
                    </a:stretch>
                  </pic:blipFill>
                  <pic:spPr>
                    <a:xfrm>
                      <a:off x="0" y="0"/>
                      <a:ext cx="5303520" cy="5256378"/>
                    </a:xfrm>
                    <a:prstGeom prst="rect"/>
                  </pic:spPr>
                </pic:pic>
              </a:graphicData>
            </a:graphic>
          </wp:inline>
        </w:drawing>
      </w:r>
    </w:p>
    <w:p>
      <w:pPr>
        <w:spacing w:after="200"/>
        <w:jc w:val="center"/>
      </w:pPr>
      <w:r>
        <w:rPr>
          <w:i/>
          <w:color w:val="404040"/>
          <w:sz w:val="18"/>
        </w:rPr>
        <w:t>Figure 3: Market Size, Concentration &amp; Shares [Panels: (a), (b), (c)]</w:t>
      </w:r>
    </w:p>
    <w:p>
      <w:pPr>
        <w:keepNext/>
        <w:spacing w:before="160"/>
        <w:jc w:val="center"/>
      </w:pPr>
      <w:r>
        <w:drawing>
          <wp:inline xmlns:a="http://schemas.openxmlformats.org/drawingml/2006/main" xmlns:pic="http://schemas.openxmlformats.org/drawingml/2006/picture">
            <wp:extent cx="5760720" cy="3346277"/>
            <wp:docPr id="7" name="Picture 7" descr="Figure 13: Revenue Projections (schematic)"/>
            <wp:cNvGraphicFramePr>
              <a:graphicFrameLocks noChangeAspect="1"/>
            </wp:cNvGraphicFramePr>
            <a:graphic>
              <a:graphicData uri="http://schemas.openxmlformats.org/drawingml/2006/picture">
                <pic:pic>
                  <pic:nvPicPr>
                    <pic:cNvPr id="0" name="figure_13.jpg"/>
                    <pic:cNvPicPr/>
                  </pic:nvPicPr>
                  <pic:blipFill>
                    <a:blip r:embed="rId17"/>
                    <a:stretch>
                      <a:fillRect/>
                    </a:stretch>
                  </pic:blipFill>
                  <pic:spPr>
                    <a:xfrm>
                      <a:off x="0" y="0"/>
                      <a:ext cx="5760720" cy="3346277"/>
                    </a:xfrm>
                    <a:prstGeom prst="rect"/>
                  </pic:spPr>
                </pic:pic>
              </a:graphicData>
            </a:graphic>
          </wp:inline>
        </w:drawing>
      </w:r>
    </w:p>
    <w:p>
      <w:pPr>
        <w:spacing w:after="200"/>
        <w:jc w:val="center"/>
      </w:pPr>
      <w:r>
        <w:rPr>
          <w:i/>
          <w:color w:val="404040"/>
          <w:sz w:val="18"/>
        </w:rPr>
        <w:t>Figure 13: Revenue Projections (schematic)</w:t>
      </w:r>
    </w:p>
    <w:p>
      <w:r>
        <w:br w:type="page"/>
      </w:r>
    </w:p>
    <w:p>
      <w:pPr>
        <w:pStyle w:val="Heading1"/>
      </w:pPr>
      <w:r>
        <w:t>4.  Strategic Interaction and Equilibrium</w:t>
      </w:r>
    </w:p>
    <w:p>
      <w:pPr>
        <w:spacing w:after="120"/>
      </w:pPr>
      <w:r>
        <w:rPr>
          <w:b w:val="0"/>
          <w:i w:val="0"/>
          <w:sz w:val="22"/>
        </w:rPr>
        <w:t>6 bilateral games are solved for pure-strategy Nash equilibria; the table below reports each game's equilibrium, classification, efficiency and deadweight loss.</w:t>
      </w:r>
    </w:p>
    <w:p>
      <w:pPr>
        <w:keepNext/>
        <w:spacing w:before="200" w:after="40"/>
      </w:pPr>
      <w:r>
        <w:rPr>
          <w:b/>
          <w:color w:val="2C3E50"/>
          <w:sz w:val="20"/>
        </w:rPr>
        <w:t>Exhibit 4.1  Nash equilibria across all bilateral games (computed by build_technical_report.py)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index</w:t>
            </w:r>
          </w:p>
        </w:tc>
        <w:tc>
          <w:tcPr>
            <w:tcW w:type="dxa" w:w="1337"/>
            <w:tblHeader w:val="true"/>
            <w:shd w:val="clear" w:color="auto" w:fill="2C3E50"/>
          </w:tcPr>
          <w:p>
            <w:pPr>
              <w:jc w:val="center"/>
            </w:pPr>
            <w:r/>
            <w:r>
              <w:rPr>
                <w:b/>
                <w:color w:val="FFFFFF"/>
                <w:sz w:val="18"/>
              </w:rPr>
              <w:t>Hardware-Cloud Providers</w:t>
            </w:r>
          </w:p>
        </w:tc>
        <w:tc>
          <w:tcPr>
            <w:tcW w:type="dxa" w:w="1337"/>
            <w:tblHeader w:val="true"/>
            <w:shd w:val="clear" w:color="auto" w:fill="2C3E50"/>
          </w:tcPr>
          <w:p>
            <w:pPr>
              <w:jc w:val="center"/>
            </w:pPr>
            <w:r/>
            <w:r>
              <w:rPr>
                <w:b/>
                <w:color w:val="FFFFFF"/>
                <w:sz w:val="18"/>
              </w:rPr>
              <w:t>Hardware-Foundation Models</w:t>
            </w:r>
          </w:p>
        </w:tc>
        <w:tc>
          <w:tcPr>
            <w:tcW w:type="dxa" w:w="1337"/>
            <w:tblHeader w:val="true"/>
            <w:shd w:val="clear" w:color="auto" w:fill="2C3E50"/>
          </w:tcPr>
          <w:p>
            <w:pPr>
              <w:jc w:val="center"/>
            </w:pPr>
            <w:r/>
            <w:r>
              <w:rPr>
                <w:b/>
                <w:color w:val="FFFFFF"/>
                <w:sz w:val="18"/>
              </w:rPr>
              <w:t>Hardware-LLM Wrappers</w:t>
            </w:r>
          </w:p>
        </w:tc>
        <w:tc>
          <w:tcPr>
            <w:tcW w:type="dxa" w:w="1337"/>
            <w:tblHeader w:val="true"/>
            <w:shd w:val="clear" w:color="auto" w:fill="2C3E50"/>
          </w:tcPr>
          <w:p>
            <w:pPr>
              <w:jc w:val="center"/>
            </w:pPr>
            <w:r/>
            <w:r>
              <w:rPr>
                <w:b/>
                <w:color w:val="FFFFFF"/>
                <w:sz w:val="18"/>
              </w:rPr>
              <w:t>Cloud Providers-Foundation Models</w:t>
            </w:r>
          </w:p>
        </w:tc>
        <w:tc>
          <w:tcPr>
            <w:tcW w:type="dxa" w:w="1337"/>
            <w:tblHeader w:val="true"/>
            <w:shd w:val="clear" w:color="auto" w:fill="2C3E50"/>
          </w:tcPr>
          <w:p>
            <w:pPr>
              <w:jc w:val="center"/>
            </w:pPr>
            <w:r/>
            <w:r>
              <w:rPr>
                <w:b/>
                <w:color w:val="FFFFFF"/>
                <w:sz w:val="18"/>
              </w:rPr>
              <w:t>Cloud Providers-LLM Wrappers</w:t>
            </w:r>
          </w:p>
        </w:tc>
        <w:tc>
          <w:tcPr>
            <w:tcW w:type="dxa" w:w="1337"/>
            <w:tblHeader w:val="true"/>
            <w:shd w:val="clear" w:color="auto" w:fill="2C3E50"/>
          </w:tcPr>
          <w:p>
            <w:pPr>
              <w:jc w:val="center"/>
            </w:pPr>
            <w:r/>
            <w:r>
              <w:rPr>
                <w:b/>
                <w:color w:val="FFFFFF"/>
                <w:sz w:val="18"/>
              </w:rPr>
              <w:t>Foundation Models-LLM Wrappers</w:t>
            </w:r>
          </w:p>
        </w:tc>
      </w:tr>
      <w:tr>
        <w:tc>
          <w:tcPr>
            <w:tcW w:type="dxa" w:w="1337"/>
          </w:tcPr>
          <w:p>
            <w:pPr>
              <w:spacing w:after="0"/>
            </w:pPr>
            <w:r/>
            <w:r>
              <w:rPr>
                <w:sz w:val="17"/>
              </w:rPr>
              <w:t>Game type</w:t>
            </w:r>
          </w:p>
        </w:tc>
        <w:tc>
          <w:tcPr>
            <w:tcW w:type="dxa" w:w="1337"/>
          </w:tcPr>
          <w:p>
            <w:pPr>
              <w:spacing w:after="0"/>
            </w:pPr>
            <w:r/>
            <w:r>
              <w:rPr>
                <w:sz w:val="17"/>
              </w:rPr>
              <w:t>Coordination Failure</w:t>
            </w:r>
          </w:p>
        </w:tc>
        <w:tc>
          <w:tcPr>
            <w:tcW w:type="dxa" w:w="1337"/>
          </w:tcPr>
          <w:p>
            <w:pPr>
              <w:spacing w:after="0"/>
            </w:pPr>
            <w:r/>
            <w:r>
              <w:rPr>
                <w:sz w:val="17"/>
              </w:rPr>
              <w:t>Coordination Failure</w:t>
            </w:r>
          </w:p>
        </w:tc>
        <w:tc>
          <w:tcPr>
            <w:tcW w:type="dxa" w:w="1337"/>
          </w:tcPr>
          <w:p>
            <w:pPr>
              <w:spacing w:after="0"/>
            </w:pPr>
            <w:r/>
            <w:r>
              <w:rPr>
                <w:sz w:val="17"/>
              </w:rPr>
              <w:t>Coordination Failure</w:t>
            </w:r>
          </w:p>
        </w:tc>
        <w:tc>
          <w:tcPr>
            <w:tcW w:type="dxa" w:w="1337"/>
          </w:tcPr>
          <w:p>
            <w:pPr>
              <w:spacing w:after="0"/>
            </w:pPr>
            <w:r/>
            <w:r>
              <w:rPr>
                <w:sz w:val="17"/>
              </w:rPr>
              <w:t>Coordination Failure</w:t>
            </w:r>
          </w:p>
        </w:tc>
        <w:tc>
          <w:tcPr>
            <w:tcW w:type="dxa" w:w="1337"/>
          </w:tcPr>
          <w:p>
            <w:pPr>
              <w:spacing w:after="0"/>
            </w:pPr>
            <w:r/>
            <w:r>
              <w:rPr>
                <w:sz w:val="17"/>
              </w:rPr>
              <w:t>Coordination Failure</w:t>
            </w:r>
          </w:p>
        </w:tc>
        <w:tc>
          <w:tcPr>
            <w:tcW w:type="dxa" w:w="1337"/>
          </w:tcPr>
          <w:p>
            <w:pPr>
              <w:spacing w:after="0"/>
            </w:pPr>
            <w:r/>
            <w:r>
              <w:rPr>
                <w:sz w:val="17"/>
              </w:rPr>
              <w:t>Dominant Strategy NE (Inefficient)</w:t>
            </w:r>
          </w:p>
        </w:tc>
      </w:tr>
      <w:tr>
        <w:tc>
          <w:tcPr>
            <w:tcW w:type="dxa" w:w="1337"/>
            <w:shd w:val="clear" w:color="auto" w:fill="EDF1F5"/>
          </w:tcPr>
          <w:p>
            <w:pPr>
              <w:spacing w:after="0"/>
            </w:pPr>
            <w:r/>
            <w:r>
              <w:rPr>
                <w:sz w:val="17"/>
              </w:rPr>
              <w:t>NE strategies</w:t>
            </w:r>
          </w:p>
        </w:tc>
        <w:tc>
          <w:tcPr>
            <w:tcW w:type="dxa" w:w="1337"/>
            <w:shd w:val="clear" w:color="auto" w:fill="EDF1F5"/>
          </w:tcPr>
          <w:p>
            <w:pPr>
              <w:spacing w:after="0"/>
            </w:pPr>
            <w:r/>
            <w:r>
              <w:rPr>
                <w:sz w:val="17"/>
              </w:rPr>
              <w:t>Open Access / Proprietary Stack</w:t>
            </w:r>
          </w:p>
        </w:tc>
        <w:tc>
          <w:tcPr>
            <w:tcW w:type="dxa" w:w="1337"/>
            <w:shd w:val="clear" w:color="auto" w:fill="EDF1F5"/>
          </w:tcPr>
          <w:p>
            <w:pPr>
              <w:spacing w:after="0"/>
            </w:pPr>
            <w:r/>
            <w:r>
              <w:rPr>
                <w:sz w:val="17"/>
              </w:rPr>
              <w:t>Open Access / Exclusive Model</w:t>
            </w:r>
          </w:p>
        </w:tc>
        <w:tc>
          <w:tcPr>
            <w:tcW w:type="dxa" w:w="1337"/>
            <w:shd w:val="clear" w:color="auto" w:fill="EDF1F5"/>
          </w:tcPr>
          <w:p>
            <w:pPr>
              <w:spacing w:after="0"/>
            </w:pPr>
            <w:r/>
            <w:r>
              <w:rPr>
                <w:sz w:val="17"/>
              </w:rPr>
              <w:t>Open Access / Independent App</w:t>
            </w:r>
          </w:p>
        </w:tc>
        <w:tc>
          <w:tcPr>
            <w:tcW w:type="dxa" w:w="1337"/>
            <w:shd w:val="clear" w:color="auto" w:fill="EDF1F5"/>
          </w:tcPr>
          <w:p>
            <w:pPr>
              <w:spacing w:after="0"/>
            </w:pPr>
            <w:r/>
            <w:r>
              <w:rPr>
                <w:sz w:val="17"/>
              </w:rPr>
              <w:t>Interoperable Stack / Exclusive Model</w:t>
            </w:r>
          </w:p>
        </w:tc>
        <w:tc>
          <w:tcPr>
            <w:tcW w:type="dxa" w:w="1337"/>
            <w:shd w:val="clear" w:color="auto" w:fill="EDF1F5"/>
          </w:tcPr>
          <w:p>
            <w:pPr>
              <w:spacing w:after="0"/>
            </w:pPr>
            <w:r/>
            <w:r>
              <w:rPr>
                <w:sz w:val="17"/>
              </w:rPr>
              <w:t>Interoperable Stack / Independent App</w:t>
            </w:r>
          </w:p>
        </w:tc>
        <w:tc>
          <w:tcPr>
            <w:tcW w:type="dxa" w:w="1337"/>
            <w:shd w:val="clear" w:color="auto" w:fill="EDF1F5"/>
          </w:tcPr>
          <w:p>
            <w:pPr>
              <w:spacing w:after="0"/>
            </w:pPr>
            <w:r/>
            <w:r>
              <w:rPr>
                <w:sz w:val="17"/>
              </w:rPr>
              <w:t>Exclusive Model / Independent App</w:t>
            </w:r>
          </w:p>
        </w:tc>
      </w:tr>
      <w:tr>
        <w:tc>
          <w:tcPr>
            <w:tcW w:type="dxa" w:w="1337"/>
          </w:tcPr>
          <w:p>
            <w:pPr>
              <w:spacing w:after="0"/>
            </w:pPr>
            <w:r/>
            <w:r>
              <w:rPr>
                <w:sz w:val="17"/>
              </w:rPr>
              <w:t>NE payoffs ($B)</w:t>
            </w:r>
          </w:p>
        </w:tc>
        <w:tc>
          <w:tcPr>
            <w:tcW w:type="dxa" w:w="1337"/>
          </w:tcPr>
          <w:p>
            <w:pPr>
              <w:spacing w:after="0"/>
            </w:pPr>
            <w:r/>
            <w:r>
              <w:rPr>
                <w:sz w:val="17"/>
              </w:rPr>
              <w:t>(487.9, 606.8)</w:t>
            </w:r>
          </w:p>
        </w:tc>
        <w:tc>
          <w:tcPr>
            <w:tcW w:type="dxa" w:w="1337"/>
          </w:tcPr>
          <w:p>
            <w:pPr>
              <w:spacing w:after="0"/>
            </w:pPr>
            <w:r/>
            <w:r>
              <w:rPr>
                <w:sz w:val="17"/>
              </w:rPr>
              <w:t>(524.8, 146.5)</w:t>
            </w:r>
          </w:p>
        </w:tc>
        <w:tc>
          <w:tcPr>
            <w:tcW w:type="dxa" w:w="1337"/>
          </w:tcPr>
          <w:p>
            <w:pPr>
              <w:spacing w:after="0"/>
            </w:pPr>
            <w:r/>
            <w:r>
              <w:rPr>
                <w:sz w:val="17"/>
              </w:rPr>
              <w:t>(552.6, 56.4)</w:t>
            </w:r>
          </w:p>
        </w:tc>
        <w:tc>
          <w:tcPr>
            <w:tcW w:type="dxa" w:w="1337"/>
          </w:tcPr>
          <w:p>
            <w:pPr>
              <w:spacing w:after="0"/>
            </w:pPr>
            <w:r/>
            <w:r>
              <w:rPr>
                <w:sz w:val="17"/>
              </w:rPr>
              <w:t>(459.0, 145.1)</w:t>
            </w:r>
          </w:p>
        </w:tc>
        <w:tc>
          <w:tcPr>
            <w:tcW w:type="dxa" w:w="1337"/>
          </w:tcPr>
          <w:p>
            <w:pPr>
              <w:spacing w:after="0"/>
            </w:pPr>
            <w:r/>
            <w:r>
              <w:rPr>
                <w:sz w:val="17"/>
              </w:rPr>
              <w:t>(487.9, 56.4)</w:t>
            </w:r>
          </w:p>
        </w:tc>
        <w:tc>
          <w:tcPr>
            <w:tcW w:type="dxa" w:w="1337"/>
          </w:tcPr>
          <w:p>
            <w:pPr>
              <w:spacing w:after="0"/>
            </w:pPr>
            <w:r/>
            <w:r>
              <w:rPr>
                <w:sz w:val="17"/>
              </w:rPr>
              <w:t>(106.5, 36.0)</w:t>
            </w:r>
          </w:p>
        </w:tc>
      </w:tr>
      <w:tr>
        <w:tc>
          <w:tcPr>
            <w:tcW w:type="dxa" w:w="1337"/>
            <w:shd w:val="clear" w:color="auto" w:fill="EDF1F5"/>
          </w:tcPr>
          <w:p>
            <w:pPr>
              <w:spacing w:after="0"/>
            </w:pPr>
            <w:r/>
            <w:r>
              <w:rPr>
                <w:sz w:val="17"/>
              </w:rPr>
              <w:t>Efficiency (%)</w:t>
            </w:r>
          </w:p>
        </w:tc>
        <w:tc>
          <w:tcPr>
            <w:tcW w:type="dxa" w:w="1337"/>
            <w:shd w:val="clear" w:color="auto" w:fill="EDF1F5"/>
          </w:tcPr>
          <w:p>
            <w:pPr>
              <w:spacing w:after="0"/>
            </w:pPr>
            <w:r/>
            <w:r>
              <w:rPr>
                <w:sz w:val="17"/>
              </w:rPr>
              <w:t>94.9</w:t>
            </w:r>
          </w:p>
        </w:tc>
        <w:tc>
          <w:tcPr>
            <w:tcW w:type="dxa" w:w="1337"/>
            <w:shd w:val="clear" w:color="auto" w:fill="EDF1F5"/>
          </w:tcPr>
          <w:p>
            <w:pPr>
              <w:spacing w:after="0"/>
            </w:pPr>
            <w:r/>
            <w:r>
              <w:rPr>
                <w:sz w:val="17"/>
              </w:rPr>
              <w:t>76.6</w:t>
            </w:r>
          </w:p>
        </w:tc>
        <w:tc>
          <w:tcPr>
            <w:tcW w:type="dxa" w:w="1337"/>
            <w:shd w:val="clear" w:color="auto" w:fill="EDF1F5"/>
          </w:tcPr>
          <w:p>
            <w:pPr>
              <w:spacing w:after="0"/>
            </w:pPr>
            <w:r/>
            <w:r>
              <w:rPr>
                <w:sz w:val="17"/>
              </w:rPr>
              <w:t>71.1</w:t>
            </w:r>
          </w:p>
        </w:tc>
        <w:tc>
          <w:tcPr>
            <w:tcW w:type="dxa" w:w="1337"/>
            <w:shd w:val="clear" w:color="auto" w:fill="EDF1F5"/>
          </w:tcPr>
          <w:p>
            <w:pPr>
              <w:spacing w:after="0"/>
            </w:pPr>
            <w:r/>
            <w:r>
              <w:rPr>
                <w:sz w:val="17"/>
              </w:rPr>
              <w:t>81.1</w:t>
            </w:r>
          </w:p>
        </w:tc>
        <w:tc>
          <w:tcPr>
            <w:tcW w:type="dxa" w:w="1337"/>
            <w:shd w:val="clear" w:color="auto" w:fill="EDF1F5"/>
          </w:tcPr>
          <w:p>
            <w:pPr>
              <w:spacing w:after="0"/>
            </w:pPr>
            <w:r/>
            <w:r>
              <w:rPr>
                <w:sz w:val="17"/>
              </w:rPr>
              <w:t>75.1</w:t>
            </w:r>
          </w:p>
        </w:tc>
        <w:tc>
          <w:tcPr>
            <w:tcW w:type="dxa" w:w="1337"/>
            <w:shd w:val="clear" w:color="auto" w:fill="EDF1F5"/>
          </w:tcPr>
          <w:p>
            <w:pPr>
              <w:spacing w:after="0"/>
            </w:pPr>
            <w:r/>
            <w:r>
              <w:rPr>
                <w:sz w:val="17"/>
              </w:rPr>
              <w:t>80.5</w:t>
            </w:r>
          </w:p>
        </w:tc>
      </w:tr>
      <w:tr>
        <w:tc>
          <w:tcPr>
            <w:tcW w:type="dxa" w:w="1337"/>
          </w:tcPr>
          <w:p>
            <w:pPr>
              <w:spacing w:after="0"/>
            </w:pPr>
            <w:r/>
            <w:r>
              <w:rPr>
                <w:sz w:val="17"/>
              </w:rPr>
              <w:t>DWL ($B)</w:t>
            </w:r>
          </w:p>
        </w:tc>
        <w:tc>
          <w:tcPr>
            <w:tcW w:type="dxa" w:w="1337"/>
          </w:tcPr>
          <w:p>
            <w:pPr>
              <w:spacing w:after="0"/>
            </w:pPr>
            <w:r/>
            <w:r>
              <w:rPr>
                <w:sz w:val="17"/>
              </w:rPr>
              <w:t>58.6</w:t>
            </w:r>
          </w:p>
        </w:tc>
        <w:tc>
          <w:tcPr>
            <w:tcW w:type="dxa" w:w="1337"/>
          </w:tcPr>
          <w:p>
            <w:pPr>
              <w:spacing w:after="0"/>
            </w:pPr>
            <w:r/>
            <w:r>
              <w:rPr>
                <w:sz w:val="17"/>
              </w:rPr>
              <w:t>205.6</w:t>
            </w:r>
          </w:p>
        </w:tc>
        <w:tc>
          <w:tcPr>
            <w:tcW w:type="dxa" w:w="1337"/>
          </w:tcPr>
          <w:p>
            <w:pPr>
              <w:spacing w:after="0"/>
            </w:pPr>
            <w:r/>
            <w:r>
              <w:rPr>
                <w:sz w:val="17"/>
              </w:rPr>
              <w:t>247.0</w:t>
            </w:r>
          </w:p>
        </w:tc>
        <w:tc>
          <w:tcPr>
            <w:tcW w:type="dxa" w:w="1337"/>
          </w:tcPr>
          <w:p>
            <w:pPr>
              <w:spacing w:after="0"/>
            </w:pPr>
            <w:r/>
            <w:r>
              <w:rPr>
                <w:sz w:val="17"/>
              </w:rPr>
              <w:t>141.2</w:t>
            </w:r>
          </w:p>
        </w:tc>
        <w:tc>
          <w:tcPr>
            <w:tcW w:type="dxa" w:w="1337"/>
          </w:tcPr>
          <w:p>
            <w:pPr>
              <w:spacing w:after="0"/>
            </w:pPr>
            <w:r/>
            <w:r>
              <w:rPr>
                <w:sz w:val="17"/>
              </w:rPr>
              <w:t>180.7</w:t>
            </w:r>
          </w:p>
        </w:tc>
        <w:tc>
          <w:tcPr>
            <w:tcW w:type="dxa" w:w="1337"/>
          </w:tcPr>
          <w:p>
            <w:pPr>
              <w:spacing w:after="0"/>
            </w:pPr>
            <w:r/>
            <w:r>
              <w:rPr>
                <w:sz w:val="17"/>
              </w:rPr>
              <w:t>34.6</w:t>
            </w:r>
          </w:p>
        </w:tc>
      </w:tr>
      <w:tr>
        <w:tc>
          <w:tcPr>
            <w:tcW w:type="dxa" w:w="1337"/>
            <w:shd w:val="clear" w:color="auto" w:fill="EDF1F5"/>
          </w:tcPr>
          <w:p>
            <w:pPr>
              <w:spacing w:after="0"/>
            </w:pPr>
            <w:r/>
            <w:r>
              <w:rPr>
                <w:sz w:val="17"/>
              </w:rPr>
              <w:t>Coord. failure</w:t>
            </w:r>
          </w:p>
        </w:tc>
        <w:tc>
          <w:tcPr>
            <w:tcW w:type="dxa" w:w="1337"/>
            <w:shd w:val="clear" w:color="auto" w:fill="EDF1F5"/>
          </w:tcPr>
          <w:p>
            <w:pPr>
              <w:spacing w:after="0"/>
            </w:pPr>
            <w:r/>
            <w:r>
              <w:rPr>
                <w:sz w:val="17"/>
              </w:rPr>
              <w:t>Yes</w:t>
            </w:r>
          </w:p>
        </w:tc>
        <w:tc>
          <w:tcPr>
            <w:tcW w:type="dxa" w:w="1337"/>
            <w:shd w:val="clear" w:color="auto" w:fill="EDF1F5"/>
          </w:tcPr>
          <w:p>
            <w:pPr>
              <w:spacing w:after="0"/>
            </w:pPr>
            <w:r/>
            <w:r>
              <w:rPr>
                <w:sz w:val="17"/>
              </w:rPr>
              <w:t>Yes</w:t>
            </w:r>
          </w:p>
        </w:tc>
        <w:tc>
          <w:tcPr>
            <w:tcW w:type="dxa" w:w="1337"/>
            <w:shd w:val="clear" w:color="auto" w:fill="EDF1F5"/>
          </w:tcPr>
          <w:p>
            <w:pPr>
              <w:spacing w:after="0"/>
            </w:pPr>
            <w:r/>
            <w:r>
              <w:rPr>
                <w:sz w:val="17"/>
              </w:rPr>
              <w:t>Yes</w:t>
            </w:r>
          </w:p>
        </w:tc>
        <w:tc>
          <w:tcPr>
            <w:tcW w:type="dxa" w:w="1337"/>
            <w:shd w:val="clear" w:color="auto" w:fill="EDF1F5"/>
          </w:tcPr>
          <w:p>
            <w:pPr>
              <w:spacing w:after="0"/>
            </w:pPr>
            <w:r/>
            <w:r>
              <w:rPr>
                <w:sz w:val="17"/>
              </w:rPr>
              <w:t>Yes</w:t>
            </w:r>
          </w:p>
        </w:tc>
        <w:tc>
          <w:tcPr>
            <w:tcW w:type="dxa" w:w="1337"/>
            <w:shd w:val="clear" w:color="auto" w:fill="EDF1F5"/>
          </w:tcPr>
          <w:p>
            <w:pPr>
              <w:spacing w:after="0"/>
            </w:pPr>
            <w:r/>
            <w:r>
              <w:rPr>
                <w:sz w:val="17"/>
              </w:rPr>
              <w:t>Yes</w:t>
            </w:r>
          </w:p>
        </w:tc>
        <w:tc>
          <w:tcPr>
            <w:tcW w:type="dxa" w:w="1337"/>
            <w:shd w:val="clear" w:color="auto" w:fill="EDF1F5"/>
          </w:tcPr>
          <w:p>
            <w:pPr>
              <w:spacing w:after="0"/>
            </w:pPr>
            <w:r/>
            <w:r>
              <w:rPr>
                <w:sz w:val="17"/>
              </w:rPr>
              <w:t>Yes</w:t>
            </w:r>
          </w:p>
        </w:tc>
      </w:tr>
    </w:tbl>
    <w:p>
      <w:pPr>
        <w:spacing w:after="80"/>
      </w:pPr>
      <w:r>
        <w:rPr>
          <w:sz w:val="4"/>
        </w:rPr>
      </w:r>
    </w:p>
    <w:p>
      <w:pPr>
        <w:keepNext/>
        <w:spacing w:before="200" w:after="40"/>
      </w:pPr>
      <w:r>
        <w:rPr>
          <w:b/>
          <w:color w:val="2C3E50"/>
          <w:sz w:val="20"/>
        </w:rPr>
        <w:t>Exhibit 4.2  Payoff matrix — Hardware-Cloud Providers ($B; row: Hardware, column: Cloud Providers)</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spacing w:after="0"/>
              <w:jc w:val="center"/>
            </w:pPr>
            <w:r/>
            <w:r>
              <w:rPr>
                <w:b/>
                <w:color w:val="FFFFFF"/>
                <w:sz w:val="18"/>
              </w:rPr>
            </w:r>
          </w:p>
        </w:tc>
        <w:tc>
          <w:tcPr>
            <w:tcW w:type="dxa" w:w="3120"/>
            <w:tblHeader w:val="true"/>
            <w:shd w:val="clear" w:color="auto" w:fill="2C3E50"/>
          </w:tcPr>
          <w:p>
            <w:pPr>
              <w:spacing w:after="0"/>
              <w:jc w:val="center"/>
            </w:pPr>
            <w:r/>
            <w:r>
              <w:rPr>
                <w:b/>
                <w:color w:val="FFFFFF"/>
                <w:sz w:val="18"/>
              </w:rPr>
              <w:t>Interoperable Stack</w:t>
            </w:r>
          </w:p>
        </w:tc>
        <w:tc>
          <w:tcPr>
            <w:tcW w:type="dxa" w:w="3120"/>
            <w:tblHeader w:val="true"/>
            <w:shd w:val="clear" w:color="auto" w:fill="2C3E50"/>
          </w:tcPr>
          <w:p>
            <w:pPr>
              <w:spacing w:after="0"/>
              <w:jc w:val="center"/>
            </w:pPr>
            <w:r/>
            <w:r>
              <w:rPr>
                <w:b/>
                <w:color w:val="FFFFFF"/>
                <w:sz w:val="18"/>
              </w:rPr>
              <w:t>Proprietary Stack</w:t>
            </w:r>
          </w:p>
        </w:tc>
      </w:tr>
      <w:tr>
        <w:tc>
          <w:tcPr>
            <w:tcW w:type="dxa" w:w="3120"/>
            <w:shd w:val="clear" w:color="auto" w:fill="2C3E50"/>
          </w:tcPr>
          <w:p>
            <w:pPr>
              <w:spacing w:after="0"/>
              <w:jc w:val="center"/>
            </w:pPr>
            <w:r/>
            <w:r>
              <w:rPr>
                <w:b/>
                <w:color w:val="FFFFFF"/>
                <w:sz w:val="18"/>
              </w:rPr>
              <w:t>Open Access</w:t>
            </w:r>
          </w:p>
        </w:tc>
        <w:tc>
          <w:tcPr>
            <w:tcW w:type="dxa" w:w="3120"/>
            <w:shd w:val="clear" w:color="auto" w:fill="EDF1F5"/>
          </w:tcPr>
          <w:p>
            <w:pPr>
              <w:spacing w:after="0"/>
              <w:jc w:val="center"/>
            </w:pPr>
            <w:r/>
            <w:r>
              <w:rPr>
                <w:sz w:val="18"/>
              </w:rPr>
              <w:t>(559.2, 491.0)</w:t>
            </w:r>
          </w:p>
        </w:tc>
        <w:tc>
          <w:tcPr>
            <w:tcW w:type="dxa" w:w="3120"/>
            <w:shd w:val="clear" w:color="auto" w:fill="1F4E79"/>
          </w:tcPr>
          <w:p>
            <w:pPr>
              <w:spacing w:after="0"/>
              <w:jc w:val="center"/>
            </w:pPr>
            <w:r/>
            <w:r>
              <w:rPr>
                <w:b/>
                <w:color w:val="FFFFFF"/>
                <w:sz w:val="18"/>
              </w:rPr>
              <w:t>(487.9, 606.8) [NE]</w:t>
            </w:r>
          </w:p>
        </w:tc>
      </w:tr>
      <w:tr>
        <w:tc>
          <w:tcPr>
            <w:tcW w:type="dxa" w:w="3120"/>
            <w:shd w:val="clear" w:color="auto" w:fill="2C3E50"/>
          </w:tcPr>
          <w:p>
            <w:pPr>
              <w:spacing w:after="0"/>
              <w:jc w:val="center"/>
            </w:pPr>
            <w:r/>
            <w:r>
              <w:rPr>
                <w:b/>
                <w:color w:val="FFFFFF"/>
                <w:sz w:val="18"/>
              </w:rPr>
              <w:t>Walled Garden</w:t>
            </w:r>
          </w:p>
        </w:tc>
        <w:tc>
          <w:tcPr>
            <w:tcW w:type="dxa" w:w="3120"/>
            <w:shd w:val="clear" w:color="auto" w:fill="D9EAD3"/>
          </w:tcPr>
          <w:p>
            <w:pPr>
              <w:spacing w:after="0"/>
              <w:jc w:val="center"/>
            </w:pPr>
            <w:r/>
            <w:r>
              <w:rPr>
                <w:sz w:val="18"/>
              </w:rPr>
              <w:t>(722.5, 430.8) [Joint-Max (K-H)]</w:t>
            </w:r>
          </w:p>
        </w:tc>
        <w:tc>
          <w:tcPr>
            <w:tcW w:type="dxa" w:w="3120"/>
            <w:shd w:val="clear" w:color="auto" w:fill="EDF1F5"/>
          </w:tcPr>
          <w:p>
            <w:pPr>
              <w:spacing w:after="0"/>
              <w:jc w:val="center"/>
            </w:pPr>
            <w:r/>
            <w:r>
              <w:rPr>
                <w:sz w:val="18"/>
              </w:rPr>
              <w:t>(475.0, 417.0)</w:t>
            </w:r>
          </w:p>
        </w:tc>
      </w:tr>
    </w:tbl>
    <w:p>
      <w:pPr>
        <w:spacing w:after="80"/>
      </w:pPr>
      <w:r>
        <w:rPr>
          <w:sz w:val="4"/>
        </w:rPr>
      </w:r>
    </w:p>
    <w:p>
      <w:pPr>
        <w:keepNext/>
        <w:spacing w:before="200" w:after="40"/>
      </w:pPr>
      <w:r>
        <w:rPr>
          <w:b/>
          <w:color w:val="2C3E50"/>
          <w:sz w:val="20"/>
        </w:rPr>
        <w:t>Exhibit 4.3  Payoff matrix — Hardware-Foundation Models ($B; row: Hardware, column: Foundation Models)</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spacing w:after="0"/>
              <w:jc w:val="center"/>
            </w:pPr>
            <w:r/>
            <w:r>
              <w:rPr>
                <w:b/>
                <w:color w:val="FFFFFF"/>
                <w:sz w:val="18"/>
              </w:rPr>
            </w:r>
          </w:p>
        </w:tc>
        <w:tc>
          <w:tcPr>
            <w:tcW w:type="dxa" w:w="3120"/>
            <w:tblHeader w:val="true"/>
            <w:shd w:val="clear" w:color="auto" w:fill="2C3E50"/>
          </w:tcPr>
          <w:p>
            <w:pPr>
              <w:spacing w:after="0"/>
              <w:jc w:val="center"/>
            </w:pPr>
            <w:r/>
            <w:r>
              <w:rPr>
                <w:b/>
                <w:color w:val="FFFFFF"/>
                <w:sz w:val="18"/>
              </w:rPr>
              <w:t>Collaborate API</w:t>
            </w:r>
          </w:p>
        </w:tc>
        <w:tc>
          <w:tcPr>
            <w:tcW w:type="dxa" w:w="3120"/>
            <w:tblHeader w:val="true"/>
            <w:shd w:val="clear" w:color="auto" w:fill="2C3E50"/>
          </w:tcPr>
          <w:p>
            <w:pPr>
              <w:spacing w:after="0"/>
              <w:jc w:val="center"/>
            </w:pPr>
            <w:r/>
            <w:r>
              <w:rPr>
                <w:b/>
                <w:color w:val="FFFFFF"/>
                <w:sz w:val="18"/>
              </w:rPr>
              <w:t>Exclusive Model</w:t>
            </w:r>
          </w:p>
        </w:tc>
      </w:tr>
      <w:tr>
        <w:tc>
          <w:tcPr>
            <w:tcW w:type="dxa" w:w="3120"/>
            <w:shd w:val="clear" w:color="auto" w:fill="2C3E50"/>
          </w:tcPr>
          <w:p>
            <w:pPr>
              <w:spacing w:after="0"/>
              <w:jc w:val="center"/>
            </w:pPr>
            <w:r/>
            <w:r>
              <w:rPr>
                <w:b/>
                <w:color w:val="FFFFFF"/>
                <w:sz w:val="18"/>
              </w:rPr>
              <w:t>Open Access</w:t>
            </w:r>
          </w:p>
        </w:tc>
        <w:tc>
          <w:tcPr>
            <w:tcW w:type="dxa" w:w="3120"/>
            <w:shd w:val="clear" w:color="auto" w:fill="EDF1F5"/>
          </w:tcPr>
          <w:p>
            <w:pPr>
              <w:spacing w:after="0"/>
              <w:jc w:val="center"/>
            </w:pPr>
            <w:r/>
            <w:r>
              <w:rPr>
                <w:sz w:val="18"/>
              </w:rPr>
              <w:t>(601.4, 134.9)</w:t>
            </w:r>
          </w:p>
        </w:tc>
        <w:tc>
          <w:tcPr>
            <w:tcW w:type="dxa" w:w="3120"/>
            <w:shd w:val="clear" w:color="auto" w:fill="1F4E79"/>
          </w:tcPr>
          <w:p>
            <w:pPr>
              <w:spacing w:after="0"/>
              <w:jc w:val="center"/>
            </w:pPr>
            <w:r/>
            <w:r>
              <w:rPr>
                <w:b/>
                <w:color w:val="FFFFFF"/>
                <w:sz w:val="18"/>
              </w:rPr>
              <w:t>(524.8, 146.5) [NE]</w:t>
            </w:r>
          </w:p>
        </w:tc>
      </w:tr>
      <w:tr>
        <w:tc>
          <w:tcPr>
            <w:tcW w:type="dxa" w:w="3120"/>
            <w:shd w:val="clear" w:color="auto" w:fill="2C3E50"/>
          </w:tcPr>
          <w:p>
            <w:pPr>
              <w:spacing w:after="0"/>
              <w:jc w:val="center"/>
            </w:pPr>
            <w:r/>
            <w:r>
              <w:rPr>
                <w:b/>
                <w:color w:val="FFFFFF"/>
                <w:sz w:val="18"/>
              </w:rPr>
              <w:t>Walled Garden</w:t>
            </w:r>
          </w:p>
        </w:tc>
        <w:tc>
          <w:tcPr>
            <w:tcW w:type="dxa" w:w="3120"/>
            <w:shd w:val="clear" w:color="auto" w:fill="D9EAD3"/>
          </w:tcPr>
          <w:p>
            <w:pPr>
              <w:spacing w:after="0"/>
              <w:jc w:val="center"/>
            </w:pPr>
            <w:r/>
            <w:r>
              <w:rPr>
                <w:sz w:val="18"/>
              </w:rPr>
              <w:t>(777.1, 99.8) [Joint-Max (K-H)]</w:t>
            </w:r>
          </w:p>
        </w:tc>
        <w:tc>
          <w:tcPr>
            <w:tcW w:type="dxa" w:w="3120"/>
            <w:shd w:val="clear" w:color="auto" w:fill="EDF1F5"/>
          </w:tcPr>
          <w:p>
            <w:pPr>
              <w:spacing w:after="0"/>
              <w:jc w:val="center"/>
            </w:pPr>
            <w:r/>
            <w:r>
              <w:rPr>
                <w:sz w:val="18"/>
              </w:rPr>
              <w:t>(475.0, 106.5)</w:t>
            </w:r>
          </w:p>
        </w:tc>
      </w:tr>
    </w:tbl>
    <w:p>
      <w:pPr>
        <w:spacing w:after="80"/>
      </w:pPr>
      <w:r>
        <w:rPr>
          <w:sz w:val="4"/>
        </w:rPr>
      </w:r>
    </w:p>
    <w:p>
      <w:pPr>
        <w:keepNext/>
        <w:spacing w:before="200" w:after="40"/>
      </w:pPr>
      <w:r>
        <w:rPr>
          <w:b/>
          <w:color w:val="2C3E50"/>
          <w:sz w:val="20"/>
        </w:rPr>
        <w:t>Exhibit 4.4  Payoff matrix — Hardware-LLM Wrappers ($B; row: Hardware, column: LLM Wrappers)</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spacing w:after="0"/>
              <w:jc w:val="center"/>
            </w:pPr>
            <w:r/>
            <w:r>
              <w:rPr>
                <w:b/>
                <w:color w:val="FFFFFF"/>
                <w:sz w:val="18"/>
              </w:rPr>
            </w:r>
          </w:p>
        </w:tc>
        <w:tc>
          <w:tcPr>
            <w:tcW w:type="dxa" w:w="3120"/>
            <w:tblHeader w:val="true"/>
            <w:shd w:val="clear" w:color="auto" w:fill="2C3E50"/>
          </w:tcPr>
          <w:p>
            <w:pPr>
              <w:spacing w:after="0"/>
              <w:jc w:val="center"/>
            </w:pPr>
            <w:r/>
            <w:r>
              <w:rPr>
                <w:b/>
                <w:color w:val="FFFFFF"/>
                <w:sz w:val="18"/>
              </w:rPr>
              <w:t>Deep Integration</w:t>
            </w:r>
          </w:p>
        </w:tc>
        <w:tc>
          <w:tcPr>
            <w:tcW w:type="dxa" w:w="3120"/>
            <w:tblHeader w:val="true"/>
            <w:shd w:val="clear" w:color="auto" w:fill="2C3E50"/>
          </w:tcPr>
          <w:p>
            <w:pPr>
              <w:spacing w:after="0"/>
              <w:jc w:val="center"/>
            </w:pPr>
            <w:r/>
            <w:r>
              <w:rPr>
                <w:b/>
                <w:color w:val="FFFFFF"/>
                <w:sz w:val="18"/>
              </w:rPr>
              <w:t>Independent App</w:t>
            </w:r>
          </w:p>
        </w:tc>
      </w:tr>
      <w:tr>
        <w:tc>
          <w:tcPr>
            <w:tcW w:type="dxa" w:w="3120"/>
            <w:shd w:val="clear" w:color="auto" w:fill="2C3E50"/>
          </w:tcPr>
          <w:p>
            <w:pPr>
              <w:spacing w:after="0"/>
              <w:jc w:val="center"/>
            </w:pPr>
            <w:r/>
            <w:r>
              <w:rPr>
                <w:b/>
                <w:color w:val="FFFFFF"/>
                <w:sz w:val="18"/>
              </w:rPr>
              <w:t>Open Access</w:t>
            </w:r>
          </w:p>
        </w:tc>
        <w:tc>
          <w:tcPr>
            <w:tcW w:type="dxa" w:w="3120"/>
            <w:shd w:val="clear" w:color="auto" w:fill="EDF1F5"/>
          </w:tcPr>
          <w:p>
            <w:pPr>
              <w:spacing w:after="0"/>
              <w:jc w:val="center"/>
            </w:pPr>
            <w:r/>
            <w:r>
              <w:rPr>
                <w:sz w:val="18"/>
              </w:rPr>
              <w:t>(633.3, 48.0)</w:t>
            </w:r>
          </w:p>
        </w:tc>
        <w:tc>
          <w:tcPr>
            <w:tcW w:type="dxa" w:w="3120"/>
            <w:shd w:val="clear" w:color="auto" w:fill="1F4E79"/>
          </w:tcPr>
          <w:p>
            <w:pPr>
              <w:spacing w:after="0"/>
              <w:jc w:val="center"/>
            </w:pPr>
            <w:r/>
            <w:r>
              <w:rPr>
                <w:b/>
                <w:color w:val="FFFFFF"/>
                <w:sz w:val="18"/>
              </w:rPr>
              <w:t>(552.6, 56.4) [NE]</w:t>
            </w:r>
          </w:p>
        </w:tc>
      </w:tr>
      <w:tr>
        <w:tc>
          <w:tcPr>
            <w:tcW w:type="dxa" w:w="3120"/>
            <w:shd w:val="clear" w:color="auto" w:fill="2C3E50"/>
          </w:tcPr>
          <w:p>
            <w:pPr>
              <w:spacing w:after="0"/>
              <w:jc w:val="center"/>
            </w:pPr>
            <w:r/>
            <w:r>
              <w:rPr>
                <w:b/>
                <w:color w:val="FFFFFF"/>
                <w:sz w:val="18"/>
              </w:rPr>
              <w:t>Walled Garden</w:t>
            </w:r>
          </w:p>
        </w:tc>
        <w:tc>
          <w:tcPr>
            <w:tcW w:type="dxa" w:w="3120"/>
            <w:shd w:val="clear" w:color="auto" w:fill="D9EAD3"/>
          </w:tcPr>
          <w:p>
            <w:pPr>
              <w:spacing w:after="0"/>
              <w:jc w:val="center"/>
            </w:pPr>
            <w:r/>
            <w:r>
              <w:rPr>
                <w:sz w:val="18"/>
              </w:rPr>
              <w:t>(818.3, 37.8) [Joint-Max (K-H)]</w:t>
            </w:r>
          </w:p>
        </w:tc>
        <w:tc>
          <w:tcPr>
            <w:tcW w:type="dxa" w:w="3120"/>
            <w:shd w:val="clear" w:color="auto" w:fill="EDF1F5"/>
          </w:tcPr>
          <w:p>
            <w:pPr>
              <w:spacing w:after="0"/>
              <w:jc w:val="center"/>
            </w:pPr>
            <w:r/>
            <w:r>
              <w:rPr>
                <w:sz w:val="18"/>
              </w:rPr>
              <w:t>(475.0, 36.0)</w:t>
            </w:r>
          </w:p>
        </w:tc>
      </w:tr>
    </w:tbl>
    <w:p>
      <w:pPr>
        <w:spacing w:after="80"/>
      </w:pPr>
      <w:r>
        <w:rPr>
          <w:sz w:val="4"/>
        </w:rPr>
      </w:r>
    </w:p>
    <w:p>
      <w:pPr>
        <w:keepNext/>
        <w:spacing w:before="200" w:after="40"/>
      </w:pPr>
      <w:r>
        <w:rPr>
          <w:b/>
          <w:color w:val="2C3E50"/>
          <w:sz w:val="20"/>
        </w:rPr>
        <w:t>Exhibit 4.5  Payoff matrix — Cloud Providers-Foundation Models ($B; row: Cloud Providers, column: Foundation Models)</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spacing w:after="0"/>
              <w:jc w:val="center"/>
            </w:pPr>
            <w:r/>
            <w:r>
              <w:rPr>
                <w:b/>
                <w:color w:val="FFFFFF"/>
                <w:sz w:val="18"/>
              </w:rPr>
            </w:r>
          </w:p>
        </w:tc>
        <w:tc>
          <w:tcPr>
            <w:tcW w:type="dxa" w:w="3120"/>
            <w:tblHeader w:val="true"/>
            <w:shd w:val="clear" w:color="auto" w:fill="2C3E50"/>
          </w:tcPr>
          <w:p>
            <w:pPr>
              <w:spacing w:after="0"/>
              <w:jc w:val="center"/>
            </w:pPr>
            <w:r/>
            <w:r>
              <w:rPr>
                <w:b/>
                <w:color w:val="FFFFFF"/>
                <w:sz w:val="18"/>
              </w:rPr>
              <w:t>Collaborate API</w:t>
            </w:r>
          </w:p>
        </w:tc>
        <w:tc>
          <w:tcPr>
            <w:tcW w:type="dxa" w:w="3120"/>
            <w:tblHeader w:val="true"/>
            <w:shd w:val="clear" w:color="auto" w:fill="2C3E50"/>
          </w:tcPr>
          <w:p>
            <w:pPr>
              <w:spacing w:after="0"/>
              <w:jc w:val="center"/>
            </w:pPr>
            <w:r/>
            <w:r>
              <w:rPr>
                <w:b/>
                <w:color w:val="FFFFFF"/>
                <w:sz w:val="18"/>
              </w:rPr>
              <w:t>Exclusive Model</w:t>
            </w:r>
          </w:p>
        </w:tc>
      </w:tr>
      <w:tr>
        <w:tc>
          <w:tcPr>
            <w:tcW w:type="dxa" w:w="3120"/>
            <w:shd w:val="clear" w:color="auto" w:fill="2C3E50"/>
          </w:tcPr>
          <w:p>
            <w:pPr>
              <w:spacing w:after="0"/>
              <w:jc w:val="center"/>
            </w:pPr>
            <w:r/>
            <w:r>
              <w:rPr>
                <w:b/>
                <w:color w:val="FFFFFF"/>
                <w:sz w:val="18"/>
              </w:rPr>
              <w:t>Interoperable Stack</w:t>
            </w:r>
          </w:p>
        </w:tc>
        <w:tc>
          <w:tcPr>
            <w:tcW w:type="dxa" w:w="3120"/>
            <w:shd w:val="clear" w:color="auto" w:fill="EDF1F5"/>
          </w:tcPr>
          <w:p>
            <w:pPr>
              <w:spacing w:after="0"/>
              <w:jc w:val="center"/>
            </w:pPr>
            <w:r/>
            <w:r>
              <w:rPr>
                <w:sz w:val="18"/>
              </w:rPr>
              <w:t>(523.1, 133.6)</w:t>
            </w:r>
          </w:p>
        </w:tc>
        <w:tc>
          <w:tcPr>
            <w:tcW w:type="dxa" w:w="3120"/>
            <w:shd w:val="clear" w:color="auto" w:fill="1F4E79"/>
          </w:tcPr>
          <w:p>
            <w:pPr>
              <w:spacing w:after="0"/>
              <w:jc w:val="center"/>
            </w:pPr>
            <w:r/>
            <w:r>
              <w:rPr>
                <w:b/>
                <w:color w:val="FFFFFF"/>
                <w:sz w:val="18"/>
              </w:rPr>
              <w:t>(459.0, 145.1) [NE]</w:t>
            </w:r>
          </w:p>
        </w:tc>
      </w:tr>
      <w:tr>
        <w:tc>
          <w:tcPr>
            <w:tcW w:type="dxa" w:w="3120"/>
            <w:shd w:val="clear" w:color="auto" w:fill="2C3E50"/>
          </w:tcPr>
          <w:p>
            <w:pPr>
              <w:spacing w:after="0"/>
              <w:jc w:val="center"/>
            </w:pPr>
            <w:r/>
            <w:r>
              <w:rPr>
                <w:b/>
                <w:color w:val="FFFFFF"/>
                <w:sz w:val="18"/>
              </w:rPr>
              <w:t>Proprietary Stack</w:t>
            </w:r>
          </w:p>
        </w:tc>
        <w:tc>
          <w:tcPr>
            <w:tcW w:type="dxa" w:w="3120"/>
            <w:shd w:val="clear" w:color="auto" w:fill="D9EAD3"/>
          </w:tcPr>
          <w:p>
            <w:pPr>
              <w:spacing w:after="0"/>
              <w:jc w:val="center"/>
            </w:pPr>
            <w:r/>
            <w:r>
              <w:rPr>
                <w:sz w:val="18"/>
              </w:rPr>
              <w:t>(646.5, 98.9) [Joint-Max (K-H)]</w:t>
            </w:r>
          </w:p>
        </w:tc>
        <w:tc>
          <w:tcPr>
            <w:tcW w:type="dxa" w:w="3120"/>
            <w:shd w:val="clear" w:color="auto" w:fill="EDF1F5"/>
          </w:tcPr>
          <w:p>
            <w:pPr>
              <w:spacing w:after="0"/>
              <w:jc w:val="center"/>
            </w:pPr>
            <w:r/>
            <w:r>
              <w:rPr>
                <w:sz w:val="18"/>
              </w:rPr>
              <w:t>(417.0, 106.5)</w:t>
            </w:r>
          </w:p>
        </w:tc>
      </w:tr>
    </w:tbl>
    <w:p>
      <w:pPr>
        <w:spacing w:after="80"/>
      </w:pPr>
      <w:r>
        <w:rPr>
          <w:sz w:val="4"/>
        </w:rPr>
      </w:r>
    </w:p>
    <w:p>
      <w:pPr>
        <w:keepNext/>
        <w:spacing w:before="200" w:after="40"/>
      </w:pPr>
      <w:r>
        <w:rPr>
          <w:b/>
          <w:color w:val="2C3E50"/>
          <w:sz w:val="20"/>
        </w:rPr>
        <w:t>Exhibit 4.6  Payoff matrix — Cloud Providers-LLM Wrappers ($B; row: Cloud Providers, column: LLM Wrappers)</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spacing w:after="0"/>
              <w:jc w:val="center"/>
            </w:pPr>
            <w:r/>
            <w:r>
              <w:rPr>
                <w:b/>
                <w:color w:val="FFFFFF"/>
                <w:sz w:val="18"/>
              </w:rPr>
            </w:r>
          </w:p>
        </w:tc>
        <w:tc>
          <w:tcPr>
            <w:tcW w:type="dxa" w:w="3120"/>
            <w:tblHeader w:val="true"/>
            <w:shd w:val="clear" w:color="auto" w:fill="2C3E50"/>
          </w:tcPr>
          <w:p>
            <w:pPr>
              <w:spacing w:after="0"/>
              <w:jc w:val="center"/>
            </w:pPr>
            <w:r/>
            <w:r>
              <w:rPr>
                <w:b/>
                <w:color w:val="FFFFFF"/>
                <w:sz w:val="18"/>
              </w:rPr>
              <w:t>Deep Integration</w:t>
            </w:r>
          </w:p>
        </w:tc>
        <w:tc>
          <w:tcPr>
            <w:tcW w:type="dxa" w:w="3120"/>
            <w:tblHeader w:val="true"/>
            <w:shd w:val="clear" w:color="auto" w:fill="2C3E50"/>
          </w:tcPr>
          <w:p>
            <w:pPr>
              <w:spacing w:after="0"/>
              <w:jc w:val="center"/>
            </w:pPr>
            <w:r/>
            <w:r>
              <w:rPr>
                <w:b/>
                <w:color w:val="FFFFFF"/>
                <w:sz w:val="18"/>
              </w:rPr>
              <w:t>Independent App</w:t>
            </w:r>
          </w:p>
        </w:tc>
      </w:tr>
      <w:tr>
        <w:tc>
          <w:tcPr>
            <w:tcW w:type="dxa" w:w="3120"/>
            <w:shd w:val="clear" w:color="auto" w:fill="2C3E50"/>
          </w:tcPr>
          <w:p>
            <w:pPr>
              <w:spacing w:after="0"/>
              <w:jc w:val="center"/>
            </w:pPr>
            <w:r/>
            <w:r>
              <w:rPr>
                <w:b/>
                <w:color w:val="FFFFFF"/>
                <w:sz w:val="18"/>
              </w:rPr>
              <w:t>Interoperable Stack</w:t>
            </w:r>
          </w:p>
        </w:tc>
        <w:tc>
          <w:tcPr>
            <w:tcW w:type="dxa" w:w="3120"/>
            <w:shd w:val="clear" w:color="auto" w:fill="EDF1F5"/>
          </w:tcPr>
          <w:p>
            <w:pPr>
              <w:spacing w:after="0"/>
              <w:jc w:val="center"/>
            </w:pPr>
            <w:r/>
            <w:r>
              <w:rPr>
                <w:sz w:val="18"/>
              </w:rPr>
              <w:t>(556.0, 48.0)</w:t>
            </w:r>
          </w:p>
        </w:tc>
        <w:tc>
          <w:tcPr>
            <w:tcW w:type="dxa" w:w="3120"/>
            <w:shd w:val="clear" w:color="auto" w:fill="1F4E79"/>
          </w:tcPr>
          <w:p>
            <w:pPr>
              <w:spacing w:after="0"/>
              <w:jc w:val="center"/>
            </w:pPr>
            <w:r/>
            <w:r>
              <w:rPr>
                <w:b/>
                <w:color w:val="FFFFFF"/>
                <w:sz w:val="18"/>
              </w:rPr>
              <w:t>(487.9, 56.4) [NE]</w:t>
            </w:r>
          </w:p>
        </w:tc>
      </w:tr>
      <w:tr>
        <w:tc>
          <w:tcPr>
            <w:tcW w:type="dxa" w:w="3120"/>
            <w:shd w:val="clear" w:color="auto" w:fill="2C3E50"/>
          </w:tcPr>
          <w:p>
            <w:pPr>
              <w:spacing w:after="0"/>
              <w:jc w:val="center"/>
            </w:pPr>
            <w:r/>
            <w:r>
              <w:rPr>
                <w:b/>
                <w:color w:val="FFFFFF"/>
                <w:sz w:val="18"/>
              </w:rPr>
              <w:t>Proprietary Stack</w:t>
            </w:r>
          </w:p>
        </w:tc>
        <w:tc>
          <w:tcPr>
            <w:tcW w:type="dxa" w:w="3120"/>
            <w:shd w:val="clear" w:color="auto" w:fill="D9EAD3"/>
          </w:tcPr>
          <w:p>
            <w:pPr>
              <w:spacing w:after="0"/>
              <w:jc w:val="center"/>
            </w:pPr>
            <w:r/>
            <w:r>
              <w:rPr>
                <w:sz w:val="18"/>
              </w:rPr>
              <w:t>(687.2, 37.8) [Joint-Max (K-H)]</w:t>
            </w:r>
          </w:p>
        </w:tc>
        <w:tc>
          <w:tcPr>
            <w:tcW w:type="dxa" w:w="3120"/>
            <w:shd w:val="clear" w:color="auto" w:fill="EDF1F5"/>
          </w:tcPr>
          <w:p>
            <w:pPr>
              <w:spacing w:after="0"/>
              <w:jc w:val="center"/>
            </w:pPr>
            <w:r/>
            <w:r>
              <w:rPr>
                <w:sz w:val="18"/>
              </w:rPr>
              <w:t>(417.0, 36.0)</w:t>
            </w:r>
          </w:p>
        </w:tc>
      </w:tr>
    </w:tbl>
    <w:p>
      <w:pPr>
        <w:spacing w:after="80"/>
      </w:pPr>
      <w:r>
        <w:rPr>
          <w:sz w:val="4"/>
        </w:rPr>
      </w:r>
    </w:p>
    <w:p>
      <w:pPr>
        <w:keepNext/>
        <w:spacing w:before="200" w:after="40"/>
      </w:pPr>
      <w:r>
        <w:rPr>
          <w:b/>
          <w:color w:val="2C3E50"/>
          <w:sz w:val="20"/>
        </w:rPr>
        <w:t>Exhibit 4.7  Payoff matrix — Foundation Models-LLM Wrappers ($B; row: Foundation Models, column: LLM Wrappers)</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spacing w:after="0"/>
              <w:jc w:val="center"/>
            </w:pPr>
            <w:r/>
            <w:r>
              <w:rPr>
                <w:b/>
                <w:color w:val="FFFFFF"/>
                <w:sz w:val="18"/>
              </w:rPr>
            </w:r>
          </w:p>
        </w:tc>
        <w:tc>
          <w:tcPr>
            <w:tcW w:type="dxa" w:w="3120"/>
            <w:tblHeader w:val="true"/>
            <w:shd w:val="clear" w:color="auto" w:fill="2C3E50"/>
          </w:tcPr>
          <w:p>
            <w:pPr>
              <w:spacing w:after="0"/>
              <w:jc w:val="center"/>
            </w:pPr>
            <w:r/>
            <w:r>
              <w:rPr>
                <w:b/>
                <w:color w:val="FFFFFF"/>
                <w:sz w:val="18"/>
              </w:rPr>
              <w:t>Deep Integration</w:t>
            </w:r>
          </w:p>
        </w:tc>
        <w:tc>
          <w:tcPr>
            <w:tcW w:type="dxa" w:w="3120"/>
            <w:tblHeader w:val="true"/>
            <w:shd w:val="clear" w:color="auto" w:fill="2C3E50"/>
          </w:tcPr>
          <w:p>
            <w:pPr>
              <w:spacing w:after="0"/>
              <w:jc w:val="center"/>
            </w:pPr>
            <w:r/>
            <w:r>
              <w:rPr>
                <w:b/>
                <w:color w:val="FFFFFF"/>
                <w:sz w:val="18"/>
              </w:rPr>
              <w:t>Independent App</w:t>
            </w:r>
          </w:p>
        </w:tc>
      </w:tr>
      <w:tr>
        <w:tc>
          <w:tcPr>
            <w:tcW w:type="dxa" w:w="3120"/>
            <w:shd w:val="clear" w:color="auto" w:fill="2C3E50"/>
          </w:tcPr>
          <w:p>
            <w:pPr>
              <w:spacing w:after="0"/>
              <w:jc w:val="center"/>
            </w:pPr>
            <w:r/>
            <w:r>
              <w:rPr>
                <w:b/>
                <w:color w:val="FFFFFF"/>
                <w:sz w:val="18"/>
              </w:rPr>
              <w:t>Collaborate API</w:t>
            </w:r>
          </w:p>
        </w:tc>
        <w:tc>
          <w:tcPr>
            <w:tcW w:type="dxa" w:w="3120"/>
            <w:shd w:val="clear" w:color="auto" w:fill="EDF1F5"/>
          </w:tcPr>
          <w:p>
            <w:pPr>
              <w:spacing w:after="0"/>
              <w:jc w:val="center"/>
            </w:pPr>
            <w:r/>
            <w:r>
              <w:rPr>
                <w:sz w:val="18"/>
              </w:rPr>
              <w:t>(131.0, 44.3)</w:t>
            </w:r>
          </w:p>
        </w:tc>
        <w:tc>
          <w:tcPr>
            <w:tcW w:type="dxa" w:w="3120"/>
          </w:tcPr>
          <w:p>
            <w:pPr>
              <w:spacing w:after="0"/>
              <w:jc w:val="center"/>
            </w:pPr>
            <w:r/>
            <w:r>
              <w:rPr>
                <w:sz w:val="18"/>
              </w:rPr>
              <w:t>(96.9, 52.1)</w:t>
            </w:r>
          </w:p>
        </w:tc>
      </w:tr>
      <w:tr>
        <w:tc>
          <w:tcPr>
            <w:tcW w:type="dxa" w:w="3120"/>
            <w:shd w:val="clear" w:color="auto" w:fill="2C3E50"/>
          </w:tcPr>
          <w:p>
            <w:pPr>
              <w:spacing w:after="0"/>
              <w:jc w:val="center"/>
            </w:pPr>
            <w:r/>
            <w:r>
              <w:rPr>
                <w:b/>
                <w:color w:val="FFFFFF"/>
                <w:sz w:val="18"/>
              </w:rPr>
              <w:t>Exclusive Model</w:t>
            </w:r>
          </w:p>
        </w:tc>
        <w:tc>
          <w:tcPr>
            <w:tcW w:type="dxa" w:w="3120"/>
            <w:shd w:val="clear" w:color="auto" w:fill="D9EAD3"/>
          </w:tcPr>
          <w:p>
            <w:pPr>
              <w:spacing w:after="0"/>
              <w:jc w:val="center"/>
            </w:pPr>
            <w:r/>
            <w:r>
              <w:rPr>
                <w:sz w:val="18"/>
              </w:rPr>
              <w:t>(142.3, 34.9) [Joint-Max (K-H)]</w:t>
            </w:r>
          </w:p>
        </w:tc>
        <w:tc>
          <w:tcPr>
            <w:tcW w:type="dxa" w:w="3120"/>
            <w:shd w:val="clear" w:color="auto" w:fill="1F4E79"/>
          </w:tcPr>
          <w:p>
            <w:pPr>
              <w:spacing w:after="0"/>
              <w:jc w:val="center"/>
            </w:pPr>
            <w:r/>
            <w:r>
              <w:rPr>
                <w:b/>
                <w:color w:val="FFFFFF"/>
                <w:sz w:val="18"/>
              </w:rPr>
              <w:t>(106.5, 36.0) [NE]</w:t>
            </w:r>
          </w:p>
        </w:tc>
      </w:tr>
    </w:tbl>
    <w:p>
      <w:pPr>
        <w:spacing w:after="80"/>
      </w:pPr>
      <w:r>
        <w:rPr>
          <w:sz w:val="4"/>
        </w:rPr>
      </w:r>
    </w:p>
    <w:p>
      <w:pPr>
        <w:pStyle w:val="Heading2"/>
      </w:pPr>
      <w:r>
        <w:t>4.3  Welfare benchmark, transfers and equilibrium selection</w:t>
      </w:r>
    </w:p>
    <w:p>
      <w:pPr>
        <w:spacing w:after="120"/>
      </w:pPr>
      <w:r>
        <w:rPr>
          <w:b w:val="0"/>
          <w:i w:val="0"/>
          <w:sz w:val="21"/>
        </w:rPr>
        <w:t>The payoff audit corrects a material terminology error: 6 of 6 joint-surplus benchmarks are Kaldor–Hicks improvements, not Pareto improvements. Their gross joint gain is $867.77B, but downstream parties require $307.43B in compensating transfers to accept the transition from the reported Nash profile. The result is a distributive-obstruction diagnosis rather than a generic coordination claim.</w:t>
      </w:r>
    </w:p>
    <w:p>
      <w:pPr>
        <w:keepNext/>
        <w:spacing w:before="200" w:after="40"/>
      </w:pPr>
      <w:r>
        <w:rPr>
          <w:b/>
          <w:color w:val="2C3E50"/>
          <w:sz w:val="20"/>
        </w:rPr>
        <w:t>Table 3.5 — Welfare-benchmark audit (Kaldor-Hicks transfers)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index</w:t>
            </w:r>
          </w:p>
        </w:tc>
        <w:tc>
          <w:tcPr>
            <w:tcW w:type="dxa" w:w="1337"/>
            <w:tblHeader w:val="true"/>
            <w:shd w:val="clear" w:color="auto" w:fill="2C3E50"/>
          </w:tcPr>
          <w:p>
            <w:pPr>
              <w:jc w:val="center"/>
            </w:pPr>
            <w:r/>
            <w:r>
              <w:rPr>
                <w:b/>
                <w:color w:val="FFFFFF"/>
                <w:sz w:val="18"/>
              </w:rPr>
              <w:t>Hardware-Cloud Providers</w:t>
            </w:r>
          </w:p>
        </w:tc>
        <w:tc>
          <w:tcPr>
            <w:tcW w:type="dxa" w:w="1337"/>
            <w:tblHeader w:val="true"/>
            <w:shd w:val="clear" w:color="auto" w:fill="2C3E50"/>
          </w:tcPr>
          <w:p>
            <w:pPr>
              <w:jc w:val="center"/>
            </w:pPr>
            <w:r/>
            <w:r>
              <w:rPr>
                <w:b/>
                <w:color w:val="FFFFFF"/>
                <w:sz w:val="18"/>
              </w:rPr>
              <w:t>Hardware-Foundation Models</w:t>
            </w:r>
          </w:p>
        </w:tc>
        <w:tc>
          <w:tcPr>
            <w:tcW w:type="dxa" w:w="1337"/>
            <w:tblHeader w:val="true"/>
            <w:shd w:val="clear" w:color="auto" w:fill="2C3E50"/>
          </w:tcPr>
          <w:p>
            <w:pPr>
              <w:jc w:val="center"/>
            </w:pPr>
            <w:r/>
            <w:r>
              <w:rPr>
                <w:b/>
                <w:color w:val="FFFFFF"/>
                <w:sz w:val="18"/>
              </w:rPr>
              <w:t>Hardware-LLM Wrappers</w:t>
            </w:r>
          </w:p>
        </w:tc>
        <w:tc>
          <w:tcPr>
            <w:tcW w:type="dxa" w:w="1337"/>
            <w:tblHeader w:val="true"/>
            <w:shd w:val="clear" w:color="auto" w:fill="2C3E50"/>
          </w:tcPr>
          <w:p>
            <w:pPr>
              <w:jc w:val="center"/>
            </w:pPr>
            <w:r/>
            <w:r>
              <w:rPr>
                <w:b/>
                <w:color w:val="FFFFFF"/>
                <w:sz w:val="18"/>
              </w:rPr>
              <w:t>Cloud Providers-Foundation Models</w:t>
            </w:r>
          </w:p>
        </w:tc>
        <w:tc>
          <w:tcPr>
            <w:tcW w:type="dxa" w:w="1337"/>
            <w:tblHeader w:val="true"/>
            <w:shd w:val="clear" w:color="auto" w:fill="2C3E50"/>
          </w:tcPr>
          <w:p>
            <w:pPr>
              <w:jc w:val="center"/>
            </w:pPr>
            <w:r/>
            <w:r>
              <w:rPr>
                <w:b/>
                <w:color w:val="FFFFFF"/>
                <w:sz w:val="18"/>
              </w:rPr>
              <w:t>Cloud Providers-LLM Wrappers</w:t>
            </w:r>
          </w:p>
        </w:tc>
        <w:tc>
          <w:tcPr>
            <w:tcW w:type="dxa" w:w="1337"/>
            <w:tblHeader w:val="true"/>
            <w:shd w:val="clear" w:color="auto" w:fill="2C3E50"/>
          </w:tcPr>
          <w:p>
            <w:pPr>
              <w:jc w:val="center"/>
            </w:pPr>
            <w:r/>
            <w:r>
              <w:rPr>
                <w:b/>
                <w:color w:val="FFFFFF"/>
                <w:sz w:val="18"/>
              </w:rPr>
              <w:t>Foundation Models-LLM Wrappers</w:t>
            </w:r>
          </w:p>
        </w:tc>
      </w:tr>
      <w:tr>
        <w:tc>
          <w:tcPr>
            <w:tcW w:type="dxa" w:w="1337"/>
          </w:tcPr>
          <w:p>
            <w:pPr>
              <w:spacing w:after="0"/>
            </w:pPr>
            <w:r/>
            <w:r>
              <w:rPr>
                <w:sz w:val="17"/>
              </w:rPr>
              <w:t>player_1</w:t>
            </w:r>
          </w:p>
        </w:tc>
        <w:tc>
          <w:tcPr>
            <w:tcW w:type="dxa" w:w="1337"/>
          </w:tcPr>
          <w:p>
            <w:pPr>
              <w:spacing w:after="0"/>
            </w:pPr>
            <w:r/>
            <w:r>
              <w:rPr>
                <w:sz w:val="17"/>
              </w:rPr>
              <w:t>Hardware</w:t>
            </w:r>
          </w:p>
        </w:tc>
        <w:tc>
          <w:tcPr>
            <w:tcW w:type="dxa" w:w="1337"/>
          </w:tcPr>
          <w:p>
            <w:pPr>
              <w:spacing w:after="0"/>
            </w:pPr>
            <w:r/>
            <w:r>
              <w:rPr>
                <w:sz w:val="17"/>
              </w:rPr>
              <w:t>Hardware</w:t>
            </w:r>
          </w:p>
        </w:tc>
        <w:tc>
          <w:tcPr>
            <w:tcW w:type="dxa" w:w="1337"/>
          </w:tcPr>
          <w:p>
            <w:pPr>
              <w:spacing w:after="0"/>
            </w:pPr>
            <w:r/>
            <w:r>
              <w:rPr>
                <w:sz w:val="17"/>
              </w:rPr>
              <w:t>Hardware</w:t>
            </w:r>
          </w:p>
        </w:tc>
        <w:tc>
          <w:tcPr>
            <w:tcW w:type="dxa" w:w="1337"/>
          </w:tcPr>
          <w:p>
            <w:pPr>
              <w:spacing w:after="0"/>
            </w:pPr>
            <w:r/>
            <w:r>
              <w:rPr>
                <w:sz w:val="17"/>
              </w:rPr>
              <w:t>Cloud Providers</w:t>
            </w:r>
          </w:p>
        </w:tc>
        <w:tc>
          <w:tcPr>
            <w:tcW w:type="dxa" w:w="1337"/>
          </w:tcPr>
          <w:p>
            <w:pPr>
              <w:spacing w:after="0"/>
            </w:pPr>
            <w:r/>
            <w:r>
              <w:rPr>
                <w:sz w:val="17"/>
              </w:rPr>
              <w:t>Cloud Providers</w:t>
            </w:r>
          </w:p>
        </w:tc>
        <w:tc>
          <w:tcPr>
            <w:tcW w:type="dxa" w:w="1337"/>
          </w:tcPr>
          <w:p>
            <w:pPr>
              <w:spacing w:after="0"/>
            </w:pPr>
            <w:r/>
            <w:r>
              <w:rPr>
                <w:sz w:val="17"/>
              </w:rPr>
              <w:t>Foundation Models</w:t>
            </w:r>
          </w:p>
        </w:tc>
      </w:tr>
      <w:tr>
        <w:tc>
          <w:tcPr>
            <w:tcW w:type="dxa" w:w="1337"/>
            <w:shd w:val="clear" w:color="auto" w:fill="EDF1F5"/>
          </w:tcPr>
          <w:p>
            <w:pPr>
              <w:spacing w:after="0"/>
            </w:pPr>
            <w:r/>
            <w:r>
              <w:rPr>
                <w:sz w:val="17"/>
              </w:rPr>
              <w:t>player_2</w:t>
            </w:r>
          </w:p>
        </w:tc>
        <w:tc>
          <w:tcPr>
            <w:tcW w:type="dxa" w:w="1337"/>
            <w:shd w:val="clear" w:color="auto" w:fill="EDF1F5"/>
          </w:tcPr>
          <w:p>
            <w:pPr>
              <w:spacing w:after="0"/>
            </w:pPr>
            <w:r/>
            <w:r>
              <w:rPr>
                <w:sz w:val="17"/>
              </w:rPr>
              <w:t>Cloud Providers</w:t>
            </w:r>
          </w:p>
        </w:tc>
        <w:tc>
          <w:tcPr>
            <w:tcW w:type="dxa" w:w="1337"/>
            <w:shd w:val="clear" w:color="auto" w:fill="EDF1F5"/>
          </w:tcPr>
          <w:p>
            <w:pPr>
              <w:spacing w:after="0"/>
            </w:pPr>
            <w:r/>
            <w:r>
              <w:rPr>
                <w:sz w:val="17"/>
              </w:rPr>
              <w:t>Foundation Models</w:t>
            </w:r>
          </w:p>
        </w:tc>
        <w:tc>
          <w:tcPr>
            <w:tcW w:type="dxa" w:w="1337"/>
            <w:shd w:val="clear" w:color="auto" w:fill="EDF1F5"/>
          </w:tcPr>
          <w:p>
            <w:pPr>
              <w:spacing w:after="0"/>
            </w:pPr>
            <w:r/>
            <w:r>
              <w:rPr>
                <w:sz w:val="17"/>
              </w:rPr>
              <w:t>LLM Wrappers</w:t>
            </w:r>
          </w:p>
        </w:tc>
        <w:tc>
          <w:tcPr>
            <w:tcW w:type="dxa" w:w="1337"/>
            <w:shd w:val="clear" w:color="auto" w:fill="EDF1F5"/>
          </w:tcPr>
          <w:p>
            <w:pPr>
              <w:spacing w:after="0"/>
            </w:pPr>
            <w:r/>
            <w:r>
              <w:rPr>
                <w:sz w:val="17"/>
              </w:rPr>
              <w:t>Foundation Models</w:t>
            </w:r>
          </w:p>
        </w:tc>
        <w:tc>
          <w:tcPr>
            <w:tcW w:type="dxa" w:w="1337"/>
            <w:shd w:val="clear" w:color="auto" w:fill="EDF1F5"/>
          </w:tcPr>
          <w:p>
            <w:pPr>
              <w:spacing w:after="0"/>
            </w:pPr>
            <w:r/>
            <w:r>
              <w:rPr>
                <w:sz w:val="17"/>
              </w:rPr>
              <w:t>LLM Wrappers</w:t>
            </w:r>
          </w:p>
        </w:tc>
        <w:tc>
          <w:tcPr>
            <w:tcW w:type="dxa" w:w="1337"/>
            <w:shd w:val="clear" w:color="auto" w:fill="EDF1F5"/>
          </w:tcPr>
          <w:p>
            <w:pPr>
              <w:spacing w:after="0"/>
            </w:pPr>
            <w:r/>
            <w:r>
              <w:rPr>
                <w:sz w:val="17"/>
              </w:rPr>
              <w:t>LLM Wrappers</w:t>
            </w:r>
          </w:p>
        </w:tc>
      </w:tr>
      <w:tr>
        <w:tc>
          <w:tcPr>
            <w:tcW w:type="dxa" w:w="1337"/>
          </w:tcPr>
          <w:p>
            <w:pPr>
              <w:spacing w:after="0"/>
            </w:pPr>
            <w:r/>
            <w:r>
              <w:rPr>
                <w:sz w:val="17"/>
              </w:rPr>
              <w:t>nash_profile</w:t>
            </w:r>
          </w:p>
        </w:tc>
        <w:tc>
          <w:tcPr>
            <w:tcW w:type="dxa" w:w="1337"/>
          </w:tcPr>
          <w:p>
            <w:pPr>
              <w:spacing w:after="0"/>
            </w:pPr>
            <w:r/>
            <w:r>
              <w:rPr>
                <w:sz w:val="17"/>
              </w:rPr>
              <w:t>Open Access / Proprietary Stack</w:t>
            </w:r>
          </w:p>
        </w:tc>
        <w:tc>
          <w:tcPr>
            <w:tcW w:type="dxa" w:w="1337"/>
          </w:tcPr>
          <w:p>
            <w:pPr>
              <w:spacing w:after="0"/>
            </w:pPr>
            <w:r/>
            <w:r>
              <w:rPr>
                <w:sz w:val="17"/>
              </w:rPr>
              <w:t>Open Access / Exclusive Model</w:t>
            </w:r>
          </w:p>
        </w:tc>
        <w:tc>
          <w:tcPr>
            <w:tcW w:type="dxa" w:w="1337"/>
          </w:tcPr>
          <w:p>
            <w:pPr>
              <w:spacing w:after="0"/>
            </w:pPr>
            <w:r/>
            <w:r>
              <w:rPr>
                <w:sz w:val="17"/>
              </w:rPr>
              <w:t>Open Access / Independent App</w:t>
            </w:r>
          </w:p>
        </w:tc>
        <w:tc>
          <w:tcPr>
            <w:tcW w:type="dxa" w:w="1337"/>
          </w:tcPr>
          <w:p>
            <w:pPr>
              <w:spacing w:after="0"/>
            </w:pPr>
            <w:r/>
            <w:r>
              <w:rPr>
                <w:sz w:val="17"/>
              </w:rPr>
              <w:t>Interoperable Stack / Exclusive Model</w:t>
            </w:r>
          </w:p>
        </w:tc>
        <w:tc>
          <w:tcPr>
            <w:tcW w:type="dxa" w:w="1337"/>
          </w:tcPr>
          <w:p>
            <w:pPr>
              <w:spacing w:after="0"/>
            </w:pPr>
            <w:r/>
            <w:r>
              <w:rPr>
                <w:sz w:val="17"/>
              </w:rPr>
              <w:t>Interoperable Stack / Independent App</w:t>
            </w:r>
          </w:p>
        </w:tc>
        <w:tc>
          <w:tcPr>
            <w:tcW w:type="dxa" w:w="1337"/>
          </w:tcPr>
          <w:p>
            <w:pPr>
              <w:spacing w:after="0"/>
            </w:pPr>
            <w:r/>
            <w:r>
              <w:rPr>
                <w:sz w:val="17"/>
              </w:rPr>
              <w:t>Exclusive Model / Independent App</w:t>
            </w:r>
          </w:p>
        </w:tc>
      </w:tr>
      <w:tr>
        <w:tc>
          <w:tcPr>
            <w:tcW w:type="dxa" w:w="1337"/>
            <w:shd w:val="clear" w:color="auto" w:fill="EDF1F5"/>
          </w:tcPr>
          <w:p>
            <w:pPr>
              <w:spacing w:after="0"/>
            </w:pPr>
            <w:r/>
            <w:r>
              <w:rPr>
                <w:sz w:val="17"/>
              </w:rPr>
              <w:t>joint_max_profile</w:t>
            </w:r>
          </w:p>
        </w:tc>
        <w:tc>
          <w:tcPr>
            <w:tcW w:type="dxa" w:w="1337"/>
            <w:shd w:val="clear" w:color="auto" w:fill="EDF1F5"/>
          </w:tcPr>
          <w:p>
            <w:pPr>
              <w:spacing w:after="0"/>
            </w:pPr>
            <w:r/>
            <w:r>
              <w:rPr>
                <w:sz w:val="17"/>
              </w:rPr>
              <w:t>Walled Garden / Interoperable Stack</w:t>
            </w:r>
          </w:p>
        </w:tc>
        <w:tc>
          <w:tcPr>
            <w:tcW w:type="dxa" w:w="1337"/>
            <w:shd w:val="clear" w:color="auto" w:fill="EDF1F5"/>
          </w:tcPr>
          <w:p>
            <w:pPr>
              <w:spacing w:after="0"/>
            </w:pPr>
            <w:r/>
            <w:r>
              <w:rPr>
                <w:sz w:val="17"/>
              </w:rPr>
              <w:t>Walled Garden / Collaborate API</w:t>
            </w:r>
          </w:p>
        </w:tc>
        <w:tc>
          <w:tcPr>
            <w:tcW w:type="dxa" w:w="1337"/>
            <w:shd w:val="clear" w:color="auto" w:fill="EDF1F5"/>
          </w:tcPr>
          <w:p>
            <w:pPr>
              <w:spacing w:after="0"/>
            </w:pPr>
            <w:r/>
            <w:r>
              <w:rPr>
                <w:sz w:val="17"/>
              </w:rPr>
              <w:t>Walled Garden / Deep Integration</w:t>
            </w:r>
          </w:p>
        </w:tc>
        <w:tc>
          <w:tcPr>
            <w:tcW w:type="dxa" w:w="1337"/>
            <w:shd w:val="clear" w:color="auto" w:fill="EDF1F5"/>
          </w:tcPr>
          <w:p>
            <w:pPr>
              <w:spacing w:after="0"/>
            </w:pPr>
            <w:r/>
            <w:r>
              <w:rPr>
                <w:sz w:val="17"/>
              </w:rPr>
              <w:t>Proprietary Stack / Collaborate API</w:t>
            </w:r>
          </w:p>
        </w:tc>
        <w:tc>
          <w:tcPr>
            <w:tcW w:type="dxa" w:w="1337"/>
            <w:shd w:val="clear" w:color="auto" w:fill="EDF1F5"/>
          </w:tcPr>
          <w:p>
            <w:pPr>
              <w:spacing w:after="0"/>
            </w:pPr>
            <w:r/>
            <w:r>
              <w:rPr>
                <w:sz w:val="17"/>
              </w:rPr>
              <w:t>Proprietary Stack / Deep Integration</w:t>
            </w:r>
          </w:p>
        </w:tc>
        <w:tc>
          <w:tcPr>
            <w:tcW w:type="dxa" w:w="1337"/>
            <w:shd w:val="clear" w:color="auto" w:fill="EDF1F5"/>
          </w:tcPr>
          <w:p>
            <w:pPr>
              <w:spacing w:after="0"/>
            </w:pPr>
            <w:r/>
            <w:r>
              <w:rPr>
                <w:sz w:val="17"/>
              </w:rPr>
              <w:t>Exclusive Model / Deep Integration</w:t>
            </w:r>
          </w:p>
        </w:tc>
      </w:tr>
      <w:tr>
        <w:tc>
          <w:tcPr>
            <w:tcW w:type="dxa" w:w="1337"/>
          </w:tcPr>
          <w:p>
            <w:pPr>
              <w:spacing w:after="0"/>
            </w:pPr>
            <w:r/>
            <w:r>
              <w:rPr>
                <w:sz w:val="17"/>
              </w:rPr>
              <w:t>nash_payoff_1</w:t>
            </w:r>
          </w:p>
        </w:tc>
        <w:tc>
          <w:tcPr>
            <w:tcW w:type="dxa" w:w="1337"/>
          </w:tcPr>
          <w:p>
            <w:pPr>
              <w:spacing w:after="0"/>
            </w:pPr>
            <w:r/>
            <w:r>
              <w:rPr>
                <w:sz w:val="17"/>
              </w:rPr>
              <w:t>487.94</w:t>
            </w:r>
          </w:p>
        </w:tc>
        <w:tc>
          <w:tcPr>
            <w:tcW w:type="dxa" w:w="1337"/>
          </w:tcPr>
          <w:p>
            <w:pPr>
              <w:spacing w:after="0"/>
            </w:pPr>
            <w:r/>
            <w:r>
              <w:rPr>
                <w:sz w:val="17"/>
              </w:rPr>
              <w:t>524.76</w:t>
            </w:r>
          </w:p>
        </w:tc>
        <w:tc>
          <w:tcPr>
            <w:tcW w:type="dxa" w:w="1337"/>
          </w:tcPr>
          <w:p>
            <w:pPr>
              <w:spacing w:after="0"/>
            </w:pPr>
            <w:r/>
            <w:r>
              <w:rPr>
                <w:sz w:val="17"/>
              </w:rPr>
              <w:t>552.58</w:t>
            </w:r>
          </w:p>
        </w:tc>
        <w:tc>
          <w:tcPr>
            <w:tcW w:type="dxa" w:w="1337"/>
          </w:tcPr>
          <w:p>
            <w:pPr>
              <w:spacing w:after="0"/>
            </w:pPr>
            <w:r/>
            <w:r>
              <w:rPr>
                <w:sz w:val="17"/>
              </w:rPr>
              <w:t>458.99</w:t>
            </w:r>
          </w:p>
        </w:tc>
        <w:tc>
          <w:tcPr>
            <w:tcW w:type="dxa" w:w="1337"/>
          </w:tcPr>
          <w:p>
            <w:pPr>
              <w:spacing w:after="0"/>
            </w:pPr>
            <w:r/>
            <w:r>
              <w:rPr>
                <w:sz w:val="17"/>
              </w:rPr>
              <w:t>487.89</w:t>
            </w:r>
          </w:p>
        </w:tc>
        <w:tc>
          <w:tcPr>
            <w:tcW w:type="dxa" w:w="1337"/>
          </w:tcPr>
          <w:p>
            <w:pPr>
              <w:spacing w:after="0"/>
            </w:pPr>
            <w:r/>
            <w:r>
              <w:rPr>
                <w:sz w:val="17"/>
              </w:rPr>
              <w:t>106.50</w:t>
            </w:r>
          </w:p>
        </w:tc>
      </w:tr>
      <w:tr>
        <w:tc>
          <w:tcPr>
            <w:tcW w:type="dxa" w:w="1337"/>
            <w:shd w:val="clear" w:color="auto" w:fill="EDF1F5"/>
          </w:tcPr>
          <w:p>
            <w:pPr>
              <w:spacing w:after="0"/>
            </w:pPr>
            <w:r/>
            <w:r>
              <w:rPr>
                <w:sz w:val="17"/>
              </w:rPr>
              <w:t>nash_payoff_2</w:t>
            </w:r>
          </w:p>
        </w:tc>
        <w:tc>
          <w:tcPr>
            <w:tcW w:type="dxa" w:w="1337"/>
            <w:shd w:val="clear" w:color="auto" w:fill="EDF1F5"/>
          </w:tcPr>
          <w:p>
            <w:pPr>
              <w:spacing w:after="0"/>
            </w:pPr>
            <w:r/>
            <w:r>
              <w:rPr>
                <w:sz w:val="17"/>
              </w:rPr>
              <w:t>606.82</w:t>
            </w:r>
          </w:p>
        </w:tc>
        <w:tc>
          <w:tcPr>
            <w:tcW w:type="dxa" w:w="1337"/>
            <w:shd w:val="clear" w:color="auto" w:fill="EDF1F5"/>
          </w:tcPr>
          <w:p>
            <w:pPr>
              <w:spacing w:after="0"/>
            </w:pPr>
            <w:r/>
            <w:r>
              <w:rPr>
                <w:sz w:val="17"/>
              </w:rPr>
              <w:t>146.50</w:t>
            </w:r>
          </w:p>
        </w:tc>
        <w:tc>
          <w:tcPr>
            <w:tcW w:type="dxa" w:w="1337"/>
            <w:shd w:val="clear" w:color="auto" w:fill="EDF1F5"/>
          </w:tcPr>
          <w:p>
            <w:pPr>
              <w:spacing w:after="0"/>
            </w:pPr>
            <w:r/>
            <w:r>
              <w:rPr>
                <w:sz w:val="17"/>
              </w:rPr>
              <w:t>56.45</w:t>
            </w:r>
          </w:p>
        </w:tc>
        <w:tc>
          <w:tcPr>
            <w:tcW w:type="dxa" w:w="1337"/>
            <w:shd w:val="clear" w:color="auto" w:fill="EDF1F5"/>
          </w:tcPr>
          <w:p>
            <w:pPr>
              <w:spacing w:after="0"/>
            </w:pPr>
            <w:r/>
            <w:r>
              <w:rPr>
                <w:sz w:val="17"/>
              </w:rPr>
              <w:t>145.13</w:t>
            </w:r>
          </w:p>
        </w:tc>
        <w:tc>
          <w:tcPr>
            <w:tcW w:type="dxa" w:w="1337"/>
            <w:shd w:val="clear" w:color="auto" w:fill="EDF1F5"/>
          </w:tcPr>
          <w:p>
            <w:pPr>
              <w:spacing w:after="0"/>
            </w:pPr>
            <w:r/>
            <w:r>
              <w:rPr>
                <w:sz w:val="17"/>
              </w:rPr>
              <w:t>56.45</w:t>
            </w:r>
          </w:p>
        </w:tc>
        <w:tc>
          <w:tcPr>
            <w:tcW w:type="dxa" w:w="1337"/>
            <w:shd w:val="clear" w:color="auto" w:fill="EDF1F5"/>
          </w:tcPr>
          <w:p>
            <w:pPr>
              <w:spacing w:after="0"/>
            </w:pPr>
            <w:r/>
            <w:r>
              <w:rPr>
                <w:sz w:val="17"/>
              </w:rPr>
              <w:t>36</w:t>
            </w:r>
          </w:p>
        </w:tc>
      </w:tr>
      <w:tr>
        <w:tc>
          <w:tcPr>
            <w:tcW w:type="dxa" w:w="1337"/>
          </w:tcPr>
          <w:p>
            <w:pPr>
              <w:spacing w:after="0"/>
            </w:pPr>
            <w:r/>
            <w:r>
              <w:rPr>
                <w:sz w:val="17"/>
              </w:rPr>
              <w:t>joint_max_payoff_1</w:t>
            </w:r>
          </w:p>
        </w:tc>
        <w:tc>
          <w:tcPr>
            <w:tcW w:type="dxa" w:w="1337"/>
          </w:tcPr>
          <w:p>
            <w:pPr>
              <w:spacing w:after="0"/>
            </w:pPr>
            <w:r/>
            <w:r>
              <w:rPr>
                <w:sz w:val="17"/>
              </w:rPr>
              <w:t>722.54</w:t>
            </w:r>
          </w:p>
        </w:tc>
        <w:tc>
          <w:tcPr>
            <w:tcW w:type="dxa" w:w="1337"/>
          </w:tcPr>
          <w:p>
            <w:pPr>
              <w:spacing w:after="0"/>
            </w:pPr>
            <w:r/>
            <w:r>
              <w:rPr>
                <w:sz w:val="17"/>
              </w:rPr>
              <w:t>777.07</w:t>
            </w:r>
          </w:p>
        </w:tc>
        <w:tc>
          <w:tcPr>
            <w:tcW w:type="dxa" w:w="1337"/>
          </w:tcPr>
          <w:p>
            <w:pPr>
              <w:spacing w:after="0"/>
            </w:pPr>
            <w:r/>
            <w:r>
              <w:rPr>
                <w:sz w:val="17"/>
              </w:rPr>
              <w:t>818.27</w:t>
            </w:r>
          </w:p>
        </w:tc>
        <w:tc>
          <w:tcPr>
            <w:tcW w:type="dxa" w:w="1337"/>
          </w:tcPr>
          <w:p>
            <w:pPr>
              <w:spacing w:after="0"/>
            </w:pPr>
            <w:r/>
            <w:r>
              <w:rPr>
                <w:sz w:val="17"/>
              </w:rPr>
              <w:t>646.50</w:t>
            </w:r>
          </w:p>
        </w:tc>
        <w:tc>
          <w:tcPr>
            <w:tcW w:type="dxa" w:w="1337"/>
          </w:tcPr>
          <w:p>
            <w:pPr>
              <w:spacing w:after="0"/>
            </w:pPr>
            <w:r/>
            <w:r>
              <w:rPr>
                <w:sz w:val="17"/>
              </w:rPr>
              <w:t>687.22</w:t>
            </w:r>
          </w:p>
        </w:tc>
        <w:tc>
          <w:tcPr>
            <w:tcW w:type="dxa" w:w="1337"/>
          </w:tcPr>
          <w:p>
            <w:pPr>
              <w:spacing w:after="0"/>
            </w:pPr>
            <w:r/>
            <w:r>
              <w:rPr>
                <w:sz w:val="17"/>
              </w:rPr>
              <w:t>142.26</w:t>
            </w:r>
          </w:p>
        </w:tc>
      </w:tr>
      <w:tr>
        <w:tc>
          <w:tcPr>
            <w:tcW w:type="dxa" w:w="1337"/>
            <w:shd w:val="clear" w:color="auto" w:fill="EDF1F5"/>
          </w:tcPr>
          <w:p>
            <w:pPr>
              <w:spacing w:after="0"/>
            </w:pPr>
            <w:r/>
            <w:r>
              <w:rPr>
                <w:sz w:val="17"/>
              </w:rPr>
              <w:t>joint_max_payoff_2</w:t>
            </w:r>
          </w:p>
        </w:tc>
        <w:tc>
          <w:tcPr>
            <w:tcW w:type="dxa" w:w="1337"/>
            <w:shd w:val="clear" w:color="auto" w:fill="EDF1F5"/>
          </w:tcPr>
          <w:p>
            <w:pPr>
              <w:spacing w:after="0"/>
            </w:pPr>
            <w:r/>
            <w:r>
              <w:rPr>
                <w:sz w:val="17"/>
              </w:rPr>
              <w:t>430.81</w:t>
            </w:r>
          </w:p>
        </w:tc>
        <w:tc>
          <w:tcPr>
            <w:tcW w:type="dxa" w:w="1337"/>
            <w:shd w:val="clear" w:color="auto" w:fill="EDF1F5"/>
          </w:tcPr>
          <w:p>
            <w:pPr>
              <w:spacing w:after="0"/>
            </w:pPr>
            <w:r/>
            <w:r>
              <w:rPr>
                <w:sz w:val="17"/>
              </w:rPr>
              <w:t>99.79</w:t>
            </w:r>
          </w:p>
        </w:tc>
        <w:tc>
          <w:tcPr>
            <w:tcW w:type="dxa" w:w="1337"/>
            <w:shd w:val="clear" w:color="auto" w:fill="EDF1F5"/>
          </w:tcPr>
          <w:p>
            <w:pPr>
              <w:spacing w:after="0"/>
            </w:pPr>
            <w:r/>
            <w:r>
              <w:rPr>
                <w:sz w:val="17"/>
              </w:rPr>
              <w:t>37.80</w:t>
            </w:r>
          </w:p>
        </w:tc>
        <w:tc>
          <w:tcPr>
            <w:tcW w:type="dxa" w:w="1337"/>
            <w:shd w:val="clear" w:color="auto" w:fill="EDF1F5"/>
          </w:tcPr>
          <w:p>
            <w:pPr>
              <w:spacing w:after="0"/>
            </w:pPr>
            <w:r/>
            <w:r>
              <w:rPr>
                <w:sz w:val="17"/>
              </w:rPr>
              <w:t>98.85</w:t>
            </w:r>
          </w:p>
        </w:tc>
        <w:tc>
          <w:tcPr>
            <w:tcW w:type="dxa" w:w="1337"/>
            <w:shd w:val="clear" w:color="auto" w:fill="EDF1F5"/>
          </w:tcPr>
          <w:p>
            <w:pPr>
              <w:spacing w:after="0"/>
            </w:pPr>
            <w:r/>
            <w:r>
              <w:rPr>
                <w:sz w:val="17"/>
              </w:rPr>
              <w:t>37.80</w:t>
            </w:r>
          </w:p>
        </w:tc>
        <w:tc>
          <w:tcPr>
            <w:tcW w:type="dxa" w:w="1337"/>
            <w:shd w:val="clear" w:color="auto" w:fill="EDF1F5"/>
          </w:tcPr>
          <w:p>
            <w:pPr>
              <w:spacing w:after="0"/>
            </w:pPr>
            <w:r/>
            <w:r>
              <w:rPr>
                <w:sz w:val="17"/>
              </w:rPr>
              <w:t>34.86</w:t>
            </w:r>
          </w:p>
        </w:tc>
      </w:tr>
      <w:tr>
        <w:tc>
          <w:tcPr>
            <w:tcW w:type="dxa" w:w="1337"/>
          </w:tcPr>
          <w:p>
            <w:pPr>
              <w:spacing w:after="0"/>
            </w:pPr>
            <w:r/>
            <w:r>
              <w:rPr>
                <w:sz w:val="17"/>
              </w:rPr>
              <w:t>delta_1</w:t>
            </w:r>
          </w:p>
        </w:tc>
        <w:tc>
          <w:tcPr>
            <w:tcW w:type="dxa" w:w="1337"/>
          </w:tcPr>
          <w:p>
            <w:pPr>
              <w:spacing w:after="0"/>
            </w:pPr>
            <w:r/>
            <w:r>
              <w:rPr>
                <w:sz w:val="17"/>
              </w:rPr>
              <w:t>234.60</w:t>
            </w:r>
          </w:p>
        </w:tc>
        <w:tc>
          <w:tcPr>
            <w:tcW w:type="dxa" w:w="1337"/>
          </w:tcPr>
          <w:p>
            <w:pPr>
              <w:spacing w:after="0"/>
            </w:pPr>
            <w:r/>
            <w:r>
              <w:rPr>
                <w:sz w:val="17"/>
              </w:rPr>
              <w:t>252.31</w:t>
            </w:r>
          </w:p>
        </w:tc>
        <w:tc>
          <w:tcPr>
            <w:tcW w:type="dxa" w:w="1337"/>
          </w:tcPr>
          <w:p>
            <w:pPr>
              <w:spacing w:after="0"/>
            </w:pPr>
            <w:r/>
            <w:r>
              <w:rPr>
                <w:sz w:val="17"/>
              </w:rPr>
              <w:t>265.68</w:t>
            </w:r>
          </w:p>
        </w:tc>
        <w:tc>
          <w:tcPr>
            <w:tcW w:type="dxa" w:w="1337"/>
          </w:tcPr>
          <w:p>
            <w:pPr>
              <w:spacing w:after="0"/>
            </w:pPr>
            <w:r/>
            <w:r>
              <w:rPr>
                <w:sz w:val="17"/>
              </w:rPr>
              <w:t>187.52</w:t>
            </w:r>
          </w:p>
        </w:tc>
        <w:tc>
          <w:tcPr>
            <w:tcW w:type="dxa" w:w="1337"/>
          </w:tcPr>
          <w:p>
            <w:pPr>
              <w:spacing w:after="0"/>
            </w:pPr>
            <w:r/>
            <w:r>
              <w:rPr>
                <w:sz w:val="17"/>
              </w:rPr>
              <w:t>199.33</w:t>
            </w:r>
          </w:p>
        </w:tc>
        <w:tc>
          <w:tcPr>
            <w:tcW w:type="dxa" w:w="1337"/>
          </w:tcPr>
          <w:p>
            <w:pPr>
              <w:spacing w:after="0"/>
            </w:pPr>
            <w:r/>
            <w:r>
              <w:rPr>
                <w:sz w:val="17"/>
              </w:rPr>
              <w:t>35.76</w:t>
            </w:r>
          </w:p>
        </w:tc>
      </w:tr>
      <w:tr>
        <w:tc>
          <w:tcPr>
            <w:tcW w:type="dxa" w:w="1337"/>
            <w:shd w:val="clear" w:color="auto" w:fill="EDF1F5"/>
          </w:tcPr>
          <w:p>
            <w:pPr>
              <w:spacing w:after="0"/>
            </w:pPr>
            <w:r/>
            <w:r>
              <w:rPr>
                <w:sz w:val="17"/>
              </w:rPr>
              <w:t>delta_2</w:t>
            </w:r>
          </w:p>
        </w:tc>
        <w:tc>
          <w:tcPr>
            <w:tcW w:type="dxa" w:w="1337"/>
            <w:shd w:val="clear" w:color="auto" w:fill="EDF1F5"/>
          </w:tcPr>
          <w:p>
            <w:pPr>
              <w:spacing w:after="0"/>
            </w:pPr>
            <w:r/>
            <w:r>
              <w:rPr>
                <w:sz w:val="17"/>
              </w:rPr>
              <w:t>-176.01</w:t>
            </w:r>
          </w:p>
        </w:tc>
        <w:tc>
          <w:tcPr>
            <w:tcW w:type="dxa" w:w="1337"/>
            <w:shd w:val="clear" w:color="auto" w:fill="EDF1F5"/>
          </w:tcPr>
          <w:p>
            <w:pPr>
              <w:spacing w:after="0"/>
            </w:pPr>
            <w:r/>
            <w:r>
              <w:rPr>
                <w:sz w:val="17"/>
              </w:rPr>
              <w:t>-46.71</w:t>
            </w:r>
          </w:p>
        </w:tc>
        <w:tc>
          <w:tcPr>
            <w:tcW w:type="dxa" w:w="1337"/>
            <w:shd w:val="clear" w:color="auto" w:fill="EDF1F5"/>
          </w:tcPr>
          <w:p>
            <w:pPr>
              <w:spacing w:after="0"/>
            </w:pPr>
            <w:r/>
            <w:r>
              <w:rPr>
                <w:sz w:val="17"/>
              </w:rPr>
              <w:t>-18.65</w:t>
            </w:r>
          </w:p>
        </w:tc>
        <w:tc>
          <w:tcPr>
            <w:tcW w:type="dxa" w:w="1337"/>
            <w:shd w:val="clear" w:color="auto" w:fill="EDF1F5"/>
          </w:tcPr>
          <w:p>
            <w:pPr>
              <w:spacing w:after="0"/>
            </w:pPr>
            <w:r/>
            <w:r>
              <w:rPr>
                <w:sz w:val="17"/>
              </w:rPr>
              <w:t>-46.27</w:t>
            </w:r>
          </w:p>
        </w:tc>
        <w:tc>
          <w:tcPr>
            <w:tcW w:type="dxa" w:w="1337"/>
            <w:shd w:val="clear" w:color="auto" w:fill="EDF1F5"/>
          </w:tcPr>
          <w:p>
            <w:pPr>
              <w:spacing w:after="0"/>
            </w:pPr>
            <w:r/>
            <w:r>
              <w:rPr>
                <w:sz w:val="17"/>
              </w:rPr>
              <w:t>-18.65</w:t>
            </w:r>
          </w:p>
        </w:tc>
        <w:tc>
          <w:tcPr>
            <w:tcW w:type="dxa" w:w="1337"/>
            <w:shd w:val="clear" w:color="auto" w:fill="EDF1F5"/>
          </w:tcPr>
          <w:p>
            <w:pPr>
              <w:spacing w:after="0"/>
            </w:pPr>
            <w:r/>
            <w:r>
              <w:rPr>
                <w:sz w:val="17"/>
              </w:rPr>
              <w:t>-1.14</w:t>
            </w:r>
          </w:p>
        </w:tc>
      </w:tr>
      <w:tr>
        <w:tc>
          <w:tcPr>
            <w:tcW w:type="dxa" w:w="1337"/>
          </w:tcPr>
          <w:p>
            <w:pPr>
              <w:spacing w:after="0"/>
            </w:pPr>
            <w:r/>
            <w:r>
              <w:rPr>
                <w:sz w:val="17"/>
              </w:rPr>
              <w:t>joint_gain</w:t>
            </w:r>
          </w:p>
        </w:tc>
        <w:tc>
          <w:tcPr>
            <w:tcW w:type="dxa" w:w="1337"/>
          </w:tcPr>
          <w:p>
            <w:pPr>
              <w:spacing w:after="0"/>
            </w:pPr>
            <w:r/>
            <w:r>
              <w:rPr>
                <w:sz w:val="17"/>
              </w:rPr>
              <w:t>58.59</w:t>
            </w:r>
          </w:p>
        </w:tc>
        <w:tc>
          <w:tcPr>
            <w:tcW w:type="dxa" w:w="1337"/>
          </w:tcPr>
          <w:p>
            <w:pPr>
              <w:spacing w:after="0"/>
            </w:pPr>
            <w:r/>
            <w:r>
              <w:rPr>
                <w:sz w:val="17"/>
              </w:rPr>
              <w:t>205.59</w:t>
            </w:r>
          </w:p>
        </w:tc>
        <w:tc>
          <w:tcPr>
            <w:tcW w:type="dxa" w:w="1337"/>
          </w:tcPr>
          <w:p>
            <w:pPr>
              <w:spacing w:after="0"/>
            </w:pPr>
            <w:r/>
            <w:r>
              <w:rPr>
                <w:sz w:val="17"/>
              </w:rPr>
              <w:t>247.04</w:t>
            </w:r>
          </w:p>
        </w:tc>
        <w:tc>
          <w:tcPr>
            <w:tcW w:type="dxa" w:w="1337"/>
          </w:tcPr>
          <w:p>
            <w:pPr>
              <w:spacing w:after="0"/>
            </w:pPr>
            <w:r/>
            <w:r>
              <w:rPr>
                <w:sz w:val="17"/>
              </w:rPr>
              <w:t>141.24</w:t>
            </w:r>
          </w:p>
        </w:tc>
        <w:tc>
          <w:tcPr>
            <w:tcW w:type="dxa" w:w="1337"/>
          </w:tcPr>
          <w:p>
            <w:pPr>
              <w:spacing w:after="0"/>
            </w:pPr>
            <w:r/>
            <w:r>
              <w:rPr>
                <w:sz w:val="17"/>
              </w:rPr>
              <w:t>180.68</w:t>
            </w:r>
          </w:p>
        </w:tc>
        <w:tc>
          <w:tcPr>
            <w:tcW w:type="dxa" w:w="1337"/>
          </w:tcPr>
          <w:p>
            <w:pPr>
              <w:spacing w:after="0"/>
            </w:pPr>
            <w:r/>
            <w:r>
              <w:rPr>
                <w:sz w:val="17"/>
              </w:rPr>
              <w:t>34.62</w:t>
            </w:r>
          </w:p>
        </w:tc>
      </w:tr>
      <w:tr>
        <w:tc>
          <w:tcPr>
            <w:tcW w:type="dxa" w:w="1337"/>
            <w:shd w:val="clear" w:color="auto" w:fill="EDF1F5"/>
          </w:tcPr>
          <w:p>
            <w:pPr>
              <w:spacing w:after="0"/>
            </w:pPr>
            <w:r/>
            <w:r>
              <w:rPr>
                <w:sz w:val="17"/>
              </w:rPr>
              <w:t>classification</w:t>
            </w:r>
          </w:p>
        </w:tc>
        <w:tc>
          <w:tcPr>
            <w:tcW w:type="dxa" w:w="1337"/>
            <w:shd w:val="clear" w:color="auto" w:fill="EDF1F5"/>
          </w:tcPr>
          <w:p>
            <w:pPr>
              <w:spacing w:after="0"/>
            </w:pPr>
            <w:r/>
            <w:r>
              <w:rPr>
                <w:sz w:val="17"/>
              </w:rPr>
              <w:t>Kaldor-Hicks (transfer required)</w:t>
            </w:r>
          </w:p>
        </w:tc>
        <w:tc>
          <w:tcPr>
            <w:tcW w:type="dxa" w:w="1337"/>
            <w:shd w:val="clear" w:color="auto" w:fill="EDF1F5"/>
          </w:tcPr>
          <w:p>
            <w:pPr>
              <w:spacing w:after="0"/>
            </w:pPr>
            <w:r/>
            <w:r>
              <w:rPr>
                <w:sz w:val="17"/>
              </w:rPr>
              <w:t>Kaldor-Hicks (transfer required)</w:t>
            </w:r>
          </w:p>
        </w:tc>
        <w:tc>
          <w:tcPr>
            <w:tcW w:type="dxa" w:w="1337"/>
            <w:shd w:val="clear" w:color="auto" w:fill="EDF1F5"/>
          </w:tcPr>
          <w:p>
            <w:pPr>
              <w:spacing w:after="0"/>
            </w:pPr>
            <w:r/>
            <w:r>
              <w:rPr>
                <w:sz w:val="17"/>
              </w:rPr>
              <w:t>Kaldor-Hicks (transfer required)</w:t>
            </w:r>
          </w:p>
        </w:tc>
        <w:tc>
          <w:tcPr>
            <w:tcW w:type="dxa" w:w="1337"/>
            <w:shd w:val="clear" w:color="auto" w:fill="EDF1F5"/>
          </w:tcPr>
          <w:p>
            <w:pPr>
              <w:spacing w:after="0"/>
            </w:pPr>
            <w:r/>
            <w:r>
              <w:rPr>
                <w:sz w:val="17"/>
              </w:rPr>
              <w:t>Kaldor-Hicks (transfer required)</w:t>
            </w:r>
          </w:p>
        </w:tc>
        <w:tc>
          <w:tcPr>
            <w:tcW w:type="dxa" w:w="1337"/>
            <w:shd w:val="clear" w:color="auto" w:fill="EDF1F5"/>
          </w:tcPr>
          <w:p>
            <w:pPr>
              <w:spacing w:after="0"/>
            </w:pPr>
            <w:r/>
            <w:r>
              <w:rPr>
                <w:sz w:val="17"/>
              </w:rPr>
              <w:t>Kaldor-Hicks (transfer required)</w:t>
            </w:r>
          </w:p>
        </w:tc>
        <w:tc>
          <w:tcPr>
            <w:tcW w:type="dxa" w:w="1337"/>
            <w:shd w:val="clear" w:color="auto" w:fill="EDF1F5"/>
          </w:tcPr>
          <w:p>
            <w:pPr>
              <w:spacing w:after="0"/>
            </w:pPr>
            <w:r/>
            <w:r>
              <w:rPr>
                <w:sz w:val="17"/>
              </w:rPr>
              <w:t>Kaldor-Hicks (transfer required)</w:t>
            </w:r>
          </w:p>
        </w:tc>
      </w:tr>
      <w:tr>
        <w:tc>
          <w:tcPr>
            <w:tcW w:type="dxa" w:w="1337"/>
          </w:tcPr>
          <w:p>
            <w:pPr>
              <w:spacing w:after="0"/>
            </w:pPr>
            <w:r/>
            <w:r>
              <w:rPr>
                <w:sz w:val="17"/>
              </w:rPr>
              <w:t>minimum_transfer</w:t>
            </w:r>
          </w:p>
        </w:tc>
        <w:tc>
          <w:tcPr>
            <w:tcW w:type="dxa" w:w="1337"/>
          </w:tcPr>
          <w:p>
            <w:pPr>
              <w:spacing w:after="0"/>
            </w:pPr>
            <w:r/>
            <w:r>
              <w:rPr>
                <w:sz w:val="17"/>
              </w:rPr>
              <w:t>176.01</w:t>
            </w:r>
          </w:p>
        </w:tc>
        <w:tc>
          <w:tcPr>
            <w:tcW w:type="dxa" w:w="1337"/>
          </w:tcPr>
          <w:p>
            <w:pPr>
              <w:spacing w:after="0"/>
            </w:pPr>
            <w:r/>
            <w:r>
              <w:rPr>
                <w:sz w:val="17"/>
              </w:rPr>
              <w:t>46.71</w:t>
            </w:r>
          </w:p>
        </w:tc>
        <w:tc>
          <w:tcPr>
            <w:tcW w:type="dxa" w:w="1337"/>
          </w:tcPr>
          <w:p>
            <w:pPr>
              <w:spacing w:after="0"/>
            </w:pPr>
            <w:r/>
            <w:r>
              <w:rPr>
                <w:sz w:val="17"/>
              </w:rPr>
              <w:t>18.65</w:t>
            </w:r>
          </w:p>
        </w:tc>
        <w:tc>
          <w:tcPr>
            <w:tcW w:type="dxa" w:w="1337"/>
          </w:tcPr>
          <w:p>
            <w:pPr>
              <w:spacing w:after="0"/>
            </w:pPr>
            <w:r/>
            <w:r>
              <w:rPr>
                <w:sz w:val="17"/>
              </w:rPr>
              <w:t>46.27</w:t>
            </w:r>
          </w:p>
        </w:tc>
        <w:tc>
          <w:tcPr>
            <w:tcW w:type="dxa" w:w="1337"/>
          </w:tcPr>
          <w:p>
            <w:pPr>
              <w:spacing w:after="0"/>
            </w:pPr>
            <w:r/>
            <w:r>
              <w:rPr>
                <w:sz w:val="17"/>
              </w:rPr>
              <w:t>18.65</w:t>
            </w:r>
          </w:p>
        </w:tc>
        <w:tc>
          <w:tcPr>
            <w:tcW w:type="dxa" w:w="1337"/>
          </w:tcPr>
          <w:p>
            <w:pPr>
              <w:spacing w:after="0"/>
            </w:pPr>
            <w:r/>
            <w:r>
              <w:rPr>
                <w:sz w:val="17"/>
              </w:rPr>
              <w:t>1.14</w:t>
            </w:r>
          </w:p>
        </w:tc>
      </w:tr>
      <w:tr>
        <w:tc>
          <w:tcPr>
            <w:tcW w:type="dxa" w:w="1337"/>
            <w:shd w:val="clear" w:color="auto" w:fill="EDF1F5"/>
          </w:tcPr>
          <w:p>
            <w:pPr>
              <w:spacing w:after="0"/>
            </w:pPr>
            <w:r/>
            <w:r>
              <w:rPr>
                <w:sz w:val="17"/>
              </w:rPr>
              <w:t>transfer_from</w:t>
            </w:r>
          </w:p>
        </w:tc>
        <w:tc>
          <w:tcPr>
            <w:tcW w:type="dxa" w:w="1337"/>
            <w:shd w:val="clear" w:color="auto" w:fill="EDF1F5"/>
          </w:tcPr>
          <w:p>
            <w:pPr>
              <w:spacing w:after="0"/>
            </w:pPr>
            <w:r/>
            <w:r>
              <w:rPr>
                <w:sz w:val="17"/>
              </w:rPr>
              <w:t>Hardware</w:t>
            </w:r>
          </w:p>
        </w:tc>
        <w:tc>
          <w:tcPr>
            <w:tcW w:type="dxa" w:w="1337"/>
            <w:shd w:val="clear" w:color="auto" w:fill="EDF1F5"/>
          </w:tcPr>
          <w:p>
            <w:pPr>
              <w:spacing w:after="0"/>
            </w:pPr>
            <w:r/>
            <w:r>
              <w:rPr>
                <w:sz w:val="17"/>
              </w:rPr>
              <w:t>Hardware</w:t>
            </w:r>
          </w:p>
        </w:tc>
        <w:tc>
          <w:tcPr>
            <w:tcW w:type="dxa" w:w="1337"/>
            <w:shd w:val="clear" w:color="auto" w:fill="EDF1F5"/>
          </w:tcPr>
          <w:p>
            <w:pPr>
              <w:spacing w:after="0"/>
            </w:pPr>
            <w:r/>
            <w:r>
              <w:rPr>
                <w:sz w:val="17"/>
              </w:rPr>
              <w:t>Hardware</w:t>
            </w:r>
          </w:p>
        </w:tc>
        <w:tc>
          <w:tcPr>
            <w:tcW w:type="dxa" w:w="1337"/>
            <w:shd w:val="clear" w:color="auto" w:fill="EDF1F5"/>
          </w:tcPr>
          <w:p>
            <w:pPr>
              <w:spacing w:after="0"/>
            </w:pPr>
            <w:r/>
            <w:r>
              <w:rPr>
                <w:sz w:val="17"/>
              </w:rPr>
              <w:t>Cloud Providers</w:t>
            </w:r>
          </w:p>
        </w:tc>
        <w:tc>
          <w:tcPr>
            <w:tcW w:type="dxa" w:w="1337"/>
            <w:shd w:val="clear" w:color="auto" w:fill="EDF1F5"/>
          </w:tcPr>
          <w:p>
            <w:pPr>
              <w:spacing w:after="0"/>
            </w:pPr>
            <w:r/>
            <w:r>
              <w:rPr>
                <w:sz w:val="17"/>
              </w:rPr>
              <w:t>Cloud Providers</w:t>
            </w:r>
          </w:p>
        </w:tc>
        <w:tc>
          <w:tcPr>
            <w:tcW w:type="dxa" w:w="1337"/>
            <w:shd w:val="clear" w:color="auto" w:fill="EDF1F5"/>
          </w:tcPr>
          <w:p>
            <w:pPr>
              <w:spacing w:after="0"/>
            </w:pPr>
            <w:r/>
            <w:r>
              <w:rPr>
                <w:sz w:val="17"/>
              </w:rPr>
              <w:t>Foundation Models</w:t>
            </w:r>
          </w:p>
        </w:tc>
      </w:tr>
      <w:tr>
        <w:tc>
          <w:tcPr>
            <w:tcW w:type="dxa" w:w="1337"/>
          </w:tcPr>
          <w:p>
            <w:pPr>
              <w:spacing w:after="0"/>
            </w:pPr>
            <w:r/>
            <w:r>
              <w:rPr>
                <w:sz w:val="17"/>
              </w:rPr>
              <w:t>transfer_to</w:t>
            </w:r>
          </w:p>
        </w:tc>
        <w:tc>
          <w:tcPr>
            <w:tcW w:type="dxa" w:w="1337"/>
          </w:tcPr>
          <w:p>
            <w:pPr>
              <w:spacing w:after="0"/>
            </w:pPr>
            <w:r/>
            <w:r>
              <w:rPr>
                <w:sz w:val="17"/>
              </w:rPr>
              <w:t>Cloud Providers</w:t>
            </w:r>
          </w:p>
        </w:tc>
        <w:tc>
          <w:tcPr>
            <w:tcW w:type="dxa" w:w="1337"/>
          </w:tcPr>
          <w:p>
            <w:pPr>
              <w:spacing w:after="0"/>
            </w:pPr>
            <w:r/>
            <w:r>
              <w:rPr>
                <w:sz w:val="17"/>
              </w:rPr>
              <w:t>Foundation Models</w:t>
            </w:r>
          </w:p>
        </w:tc>
        <w:tc>
          <w:tcPr>
            <w:tcW w:type="dxa" w:w="1337"/>
          </w:tcPr>
          <w:p>
            <w:pPr>
              <w:spacing w:after="0"/>
            </w:pPr>
            <w:r/>
            <w:r>
              <w:rPr>
                <w:sz w:val="17"/>
              </w:rPr>
              <w:t>LLM Wrappers</w:t>
            </w:r>
          </w:p>
        </w:tc>
        <w:tc>
          <w:tcPr>
            <w:tcW w:type="dxa" w:w="1337"/>
          </w:tcPr>
          <w:p>
            <w:pPr>
              <w:spacing w:after="0"/>
            </w:pPr>
            <w:r/>
            <w:r>
              <w:rPr>
                <w:sz w:val="17"/>
              </w:rPr>
              <w:t>Foundation Models</w:t>
            </w:r>
          </w:p>
        </w:tc>
        <w:tc>
          <w:tcPr>
            <w:tcW w:type="dxa" w:w="1337"/>
          </w:tcPr>
          <w:p>
            <w:pPr>
              <w:spacing w:after="0"/>
            </w:pPr>
            <w:r/>
            <w:r>
              <w:rPr>
                <w:sz w:val="17"/>
              </w:rPr>
              <w:t>LLM Wrappers</w:t>
            </w:r>
          </w:p>
        </w:tc>
        <w:tc>
          <w:tcPr>
            <w:tcW w:type="dxa" w:w="1337"/>
          </w:tcPr>
          <w:p>
            <w:pPr>
              <w:spacing w:after="0"/>
            </w:pPr>
            <w:r/>
            <w:r>
              <w:rPr>
                <w:sz w:val="17"/>
              </w:rPr>
              <w:t>LLM Wrappers</w:t>
            </w:r>
          </w:p>
        </w:tc>
      </w:tr>
    </w:tbl>
    <w:p>
      <w:pPr>
        <w:spacing w:after="80"/>
      </w:pPr>
      <w:r>
        <w:rPr>
          <w:sz w:val="4"/>
        </w:rPr>
      </w:r>
    </w:p>
    <w:p>
      <w:pPr>
        <w:spacing w:after="120"/>
      </w:pPr>
      <w:r>
        <w:rPr>
          <w:b w:val="0"/>
          <w:i w:val="0"/>
          <w:sz w:val="21"/>
        </w:rPr>
        <w:t>Equilibrium multiplicity is reported using weak best responses; the solver and independent auditor must agree on the count before any selection claim is made.</w:t>
      </w:r>
    </w:p>
    <w:p>
      <w:pPr>
        <w:keepNext/>
        <w:spacing w:before="200" w:after="40"/>
      </w:pPr>
      <w:r>
        <w:rPr>
          <w:b/>
          <w:color w:val="2C3E50"/>
          <w:sz w:val="20"/>
        </w:rPr>
        <w:t>Table 3.6 — Equilibrium multiplicity and risk-dominance audit</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blHeader w:val="true"/>
            <w:shd w:val="clear" w:color="auto" w:fill="2C3E50"/>
          </w:tcPr>
          <w:p>
            <w:pPr>
              <w:jc w:val="center"/>
            </w:pPr>
            <w:r/>
            <w:r>
              <w:rPr>
                <w:b/>
                <w:color w:val="FFFFFF"/>
                <w:sz w:val="17"/>
              </w:rPr>
              <w:t>index</w:t>
            </w:r>
          </w:p>
        </w:tc>
        <w:tc>
          <w:tcPr>
            <w:tcW w:type="dxa" w:w="936"/>
            <w:tblHeader w:val="true"/>
            <w:shd w:val="clear" w:color="auto" w:fill="2C3E50"/>
          </w:tcPr>
          <w:p>
            <w:pPr>
              <w:jc w:val="center"/>
            </w:pPr>
            <w:r/>
            <w:r>
              <w:rPr>
                <w:b/>
                <w:color w:val="FFFFFF"/>
                <w:sz w:val="17"/>
              </w:rPr>
              <w:t>Hardware-Cloud Providers</w:t>
            </w:r>
          </w:p>
        </w:tc>
        <w:tc>
          <w:tcPr>
            <w:tcW w:type="dxa" w:w="936"/>
            <w:tblHeader w:val="true"/>
            <w:shd w:val="clear" w:color="auto" w:fill="2C3E50"/>
          </w:tcPr>
          <w:p>
            <w:pPr>
              <w:jc w:val="center"/>
            </w:pPr>
            <w:r/>
            <w:r>
              <w:rPr>
                <w:b/>
                <w:color w:val="FFFFFF"/>
                <w:sz w:val="17"/>
              </w:rPr>
              <w:t>Hardware-Cloud Providers</w:t>
            </w:r>
          </w:p>
        </w:tc>
        <w:tc>
          <w:tcPr>
            <w:tcW w:type="dxa" w:w="936"/>
            <w:tblHeader w:val="true"/>
            <w:shd w:val="clear" w:color="auto" w:fill="2C3E50"/>
          </w:tcPr>
          <w:p>
            <w:pPr>
              <w:jc w:val="center"/>
            </w:pPr>
            <w:r/>
            <w:r>
              <w:rPr>
                <w:b/>
                <w:color w:val="FFFFFF"/>
                <w:sz w:val="17"/>
              </w:rPr>
              <w:t>Hardware-Foundation Models</w:t>
            </w:r>
          </w:p>
        </w:tc>
        <w:tc>
          <w:tcPr>
            <w:tcW w:type="dxa" w:w="936"/>
            <w:tblHeader w:val="true"/>
            <w:shd w:val="clear" w:color="auto" w:fill="2C3E50"/>
          </w:tcPr>
          <w:p>
            <w:pPr>
              <w:jc w:val="center"/>
            </w:pPr>
            <w:r/>
            <w:r>
              <w:rPr>
                <w:b/>
                <w:color w:val="FFFFFF"/>
                <w:sz w:val="17"/>
              </w:rPr>
              <w:t>Hardware-LLM Wrappers</w:t>
            </w:r>
          </w:p>
        </w:tc>
        <w:tc>
          <w:tcPr>
            <w:tcW w:type="dxa" w:w="936"/>
            <w:tblHeader w:val="true"/>
            <w:shd w:val="clear" w:color="auto" w:fill="2C3E50"/>
          </w:tcPr>
          <w:p>
            <w:pPr>
              <w:jc w:val="center"/>
            </w:pPr>
            <w:r/>
            <w:r>
              <w:rPr>
                <w:b/>
                <w:color w:val="FFFFFF"/>
                <w:sz w:val="17"/>
              </w:rPr>
              <w:t>Hardware-LLM Wrappers</w:t>
            </w:r>
          </w:p>
        </w:tc>
        <w:tc>
          <w:tcPr>
            <w:tcW w:type="dxa" w:w="936"/>
            <w:tblHeader w:val="true"/>
            <w:shd w:val="clear" w:color="auto" w:fill="2C3E50"/>
          </w:tcPr>
          <w:p>
            <w:pPr>
              <w:jc w:val="center"/>
            </w:pPr>
            <w:r/>
            <w:r>
              <w:rPr>
                <w:b/>
                <w:color w:val="FFFFFF"/>
                <w:sz w:val="17"/>
              </w:rPr>
              <w:t>Cloud Providers-Foundation Models</w:t>
            </w:r>
          </w:p>
        </w:tc>
        <w:tc>
          <w:tcPr>
            <w:tcW w:type="dxa" w:w="936"/>
            <w:tblHeader w:val="true"/>
            <w:shd w:val="clear" w:color="auto" w:fill="2C3E50"/>
          </w:tcPr>
          <w:p>
            <w:pPr>
              <w:jc w:val="center"/>
            </w:pPr>
            <w:r/>
            <w:r>
              <w:rPr>
                <w:b/>
                <w:color w:val="FFFFFF"/>
                <w:sz w:val="17"/>
              </w:rPr>
              <w:t>Cloud Providers-LLM Wrappers</w:t>
            </w:r>
          </w:p>
        </w:tc>
        <w:tc>
          <w:tcPr>
            <w:tcW w:type="dxa" w:w="936"/>
            <w:tblHeader w:val="true"/>
            <w:shd w:val="clear" w:color="auto" w:fill="2C3E50"/>
          </w:tcPr>
          <w:p>
            <w:pPr>
              <w:jc w:val="center"/>
            </w:pPr>
            <w:r/>
            <w:r>
              <w:rPr>
                <w:b/>
                <w:color w:val="FFFFFF"/>
                <w:sz w:val="17"/>
              </w:rPr>
              <w:t>Cloud Providers-LLM Wrappers</w:t>
            </w:r>
          </w:p>
        </w:tc>
        <w:tc>
          <w:tcPr>
            <w:tcW w:type="dxa" w:w="936"/>
            <w:tblHeader w:val="true"/>
            <w:shd w:val="clear" w:color="auto" w:fill="2C3E50"/>
          </w:tcPr>
          <w:p>
            <w:pPr>
              <w:jc w:val="center"/>
            </w:pPr>
            <w:r/>
            <w:r>
              <w:rPr>
                <w:b/>
                <w:color w:val="FFFFFF"/>
                <w:sz w:val="17"/>
              </w:rPr>
              <w:t>Foundation Models-LLM Wrappers</w:t>
            </w:r>
          </w:p>
        </w:tc>
      </w:tr>
      <w:tr>
        <w:tc>
          <w:tcPr>
            <w:tcW w:type="dxa" w:w="936"/>
          </w:tcPr>
          <w:p>
            <w:pPr>
              <w:spacing w:after="0"/>
            </w:pPr>
            <w:r/>
            <w:r>
              <w:rPr>
                <w:sz w:val="16"/>
              </w:rPr>
              <w:t>N_Pure_NE</w:t>
            </w:r>
          </w:p>
        </w:tc>
        <w:tc>
          <w:tcPr>
            <w:tcW w:type="dxa" w:w="936"/>
          </w:tcPr>
          <w:p>
            <w:pPr>
              <w:spacing w:after="0"/>
            </w:pPr>
            <w:r/>
            <w:r>
              <w:rPr>
                <w:sz w:val="16"/>
              </w:rPr>
              <w:t>2</w:t>
            </w:r>
          </w:p>
        </w:tc>
        <w:tc>
          <w:tcPr>
            <w:tcW w:type="dxa" w:w="936"/>
          </w:tcPr>
          <w:p>
            <w:pPr>
              <w:spacing w:after="0"/>
            </w:pPr>
            <w:r/>
            <w:r>
              <w:rPr>
                <w:sz w:val="16"/>
              </w:rPr>
              <w:t>2</w:t>
            </w:r>
          </w:p>
        </w:tc>
        <w:tc>
          <w:tcPr>
            <w:tcW w:type="dxa" w:w="936"/>
          </w:tcPr>
          <w:p>
            <w:pPr>
              <w:spacing w:after="0"/>
            </w:pPr>
            <w:r/>
            <w:r>
              <w:rPr>
                <w:sz w:val="16"/>
              </w:rPr>
              <w:t>1</w:t>
            </w:r>
          </w:p>
        </w:tc>
        <w:tc>
          <w:tcPr>
            <w:tcW w:type="dxa" w:w="936"/>
          </w:tcPr>
          <w:p>
            <w:pPr>
              <w:spacing w:after="0"/>
            </w:pPr>
            <w:r/>
            <w:r>
              <w:rPr>
                <w:sz w:val="16"/>
              </w:rPr>
              <w:t>2</w:t>
            </w:r>
          </w:p>
        </w:tc>
        <w:tc>
          <w:tcPr>
            <w:tcW w:type="dxa" w:w="936"/>
          </w:tcPr>
          <w:p>
            <w:pPr>
              <w:spacing w:after="0"/>
            </w:pPr>
            <w:r/>
            <w:r>
              <w:rPr>
                <w:sz w:val="16"/>
              </w:rPr>
              <w:t>2</w:t>
            </w:r>
          </w:p>
        </w:tc>
        <w:tc>
          <w:tcPr>
            <w:tcW w:type="dxa" w:w="936"/>
          </w:tcPr>
          <w:p>
            <w:pPr>
              <w:spacing w:after="0"/>
            </w:pPr>
            <w:r/>
            <w:r>
              <w:rPr>
                <w:sz w:val="16"/>
              </w:rPr>
              <w:t>1</w:t>
            </w:r>
          </w:p>
        </w:tc>
        <w:tc>
          <w:tcPr>
            <w:tcW w:type="dxa" w:w="936"/>
          </w:tcPr>
          <w:p>
            <w:pPr>
              <w:spacing w:after="0"/>
            </w:pPr>
            <w:r/>
            <w:r>
              <w:rPr>
                <w:sz w:val="16"/>
              </w:rPr>
              <w:t>2</w:t>
            </w:r>
          </w:p>
        </w:tc>
        <w:tc>
          <w:tcPr>
            <w:tcW w:type="dxa" w:w="936"/>
          </w:tcPr>
          <w:p>
            <w:pPr>
              <w:spacing w:after="0"/>
            </w:pPr>
            <w:r/>
            <w:r>
              <w:rPr>
                <w:sz w:val="16"/>
              </w:rPr>
              <w:t>2</w:t>
            </w:r>
          </w:p>
        </w:tc>
        <w:tc>
          <w:tcPr>
            <w:tcW w:type="dxa" w:w="936"/>
          </w:tcPr>
          <w:p>
            <w:pPr>
              <w:spacing w:after="0"/>
            </w:pPr>
            <w:r/>
            <w:r>
              <w:rPr>
                <w:sz w:val="16"/>
              </w:rPr>
              <w:t>1</w:t>
            </w:r>
          </w:p>
        </w:tc>
      </w:tr>
      <w:tr>
        <w:tc>
          <w:tcPr>
            <w:tcW w:type="dxa" w:w="936"/>
            <w:shd w:val="clear" w:color="auto" w:fill="EDF1F5"/>
          </w:tcPr>
          <w:p>
            <w:pPr>
              <w:spacing w:after="0"/>
            </w:pPr>
            <w:r/>
            <w:r>
              <w:rPr>
                <w:sz w:val="16"/>
              </w:rPr>
              <w:t>Equilibrium_Profile</w:t>
            </w:r>
          </w:p>
        </w:tc>
        <w:tc>
          <w:tcPr>
            <w:tcW w:type="dxa" w:w="936"/>
            <w:shd w:val="clear" w:color="auto" w:fill="EDF1F5"/>
          </w:tcPr>
          <w:p>
            <w:pPr>
              <w:spacing w:after="0"/>
            </w:pPr>
            <w:r/>
            <w:r>
              <w:rPr>
                <w:sz w:val="16"/>
              </w:rPr>
              <w:t>Open Access / Proprietary Stack</w:t>
            </w:r>
          </w:p>
        </w:tc>
        <w:tc>
          <w:tcPr>
            <w:tcW w:type="dxa" w:w="936"/>
            <w:shd w:val="clear" w:color="auto" w:fill="EDF1F5"/>
          </w:tcPr>
          <w:p>
            <w:pPr>
              <w:spacing w:after="0"/>
            </w:pPr>
            <w:r/>
            <w:r>
              <w:rPr>
                <w:sz w:val="16"/>
              </w:rPr>
              <w:t>Walled Garden / Interoperable Stack</w:t>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t>Open Access / Independent App</w:t>
            </w:r>
          </w:p>
        </w:tc>
        <w:tc>
          <w:tcPr>
            <w:tcW w:type="dxa" w:w="936"/>
            <w:shd w:val="clear" w:color="auto" w:fill="EDF1F5"/>
          </w:tcPr>
          <w:p>
            <w:pPr>
              <w:spacing w:after="0"/>
            </w:pPr>
            <w:r/>
            <w:r>
              <w:rPr>
                <w:sz w:val="16"/>
              </w:rPr>
              <w:t>Walled Garden / Deep Integration</w:t>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t>Interoperable Stack / Independent App</w:t>
            </w:r>
          </w:p>
        </w:tc>
        <w:tc>
          <w:tcPr>
            <w:tcW w:type="dxa" w:w="936"/>
            <w:shd w:val="clear" w:color="auto" w:fill="EDF1F5"/>
          </w:tcPr>
          <w:p>
            <w:pPr>
              <w:spacing w:after="0"/>
            </w:pPr>
            <w:r/>
            <w:r>
              <w:rPr>
                <w:sz w:val="16"/>
              </w:rPr>
              <w:t>Proprietary Stack / Deep Integration</w:t>
            </w:r>
          </w:p>
        </w:tc>
        <w:tc>
          <w:tcPr>
            <w:tcW w:type="dxa" w:w="936"/>
            <w:shd w:val="clear" w:color="auto" w:fill="EDF1F5"/>
          </w:tcPr>
          <w:p>
            <w:pPr>
              <w:spacing w:after="0"/>
            </w:pPr>
            <w:r/>
            <w:r>
              <w:rPr>
                <w:sz w:val="16"/>
              </w:rPr>
            </w:r>
          </w:p>
        </w:tc>
      </w:tr>
      <w:tr>
        <w:tc>
          <w:tcPr>
            <w:tcW w:type="dxa" w:w="936"/>
          </w:tcPr>
          <w:p>
            <w:pPr>
              <w:spacing w:after="0"/>
            </w:pPr>
            <w:r/>
            <w:r>
              <w:rPr>
                <w:sz w:val="16"/>
              </w:rPr>
              <w:t>Joint_Payoff_$B</w:t>
            </w:r>
          </w:p>
        </w:tc>
        <w:tc>
          <w:tcPr>
            <w:tcW w:type="dxa" w:w="936"/>
          </w:tcPr>
          <w:p>
            <w:pPr>
              <w:spacing w:after="0"/>
            </w:pPr>
            <w:r/>
            <w:r>
              <w:rPr>
                <w:sz w:val="16"/>
              </w:rPr>
              <w:t>1,094.76</w:t>
            </w:r>
          </w:p>
        </w:tc>
        <w:tc>
          <w:tcPr>
            <w:tcW w:type="dxa" w:w="936"/>
          </w:tcPr>
          <w:p>
            <w:pPr>
              <w:spacing w:after="0"/>
            </w:pPr>
            <w:r/>
            <w:r>
              <w:rPr>
                <w:sz w:val="16"/>
              </w:rPr>
              <w:t>1,153.35</w:t>
            </w:r>
          </w:p>
        </w:tc>
        <w:tc>
          <w:tcPr>
            <w:tcW w:type="dxa" w:w="936"/>
          </w:tcPr>
          <w:p>
            <w:pPr>
              <w:spacing w:after="0"/>
            </w:pPr>
            <w:r/>
            <w:r>
              <w:rPr>
                <w:sz w:val="16"/>
              </w:rPr>
            </w:r>
          </w:p>
        </w:tc>
        <w:tc>
          <w:tcPr>
            <w:tcW w:type="dxa" w:w="936"/>
          </w:tcPr>
          <w:p>
            <w:pPr>
              <w:spacing w:after="0"/>
            </w:pPr>
            <w:r/>
            <w:r>
              <w:rPr>
                <w:sz w:val="16"/>
              </w:rPr>
              <w:t>609.03</w:t>
            </w:r>
          </w:p>
        </w:tc>
        <w:tc>
          <w:tcPr>
            <w:tcW w:type="dxa" w:w="936"/>
          </w:tcPr>
          <w:p>
            <w:pPr>
              <w:spacing w:after="0"/>
            </w:pPr>
            <w:r/>
            <w:r>
              <w:rPr>
                <w:sz w:val="16"/>
              </w:rPr>
              <w:t>856.07</w:t>
            </w:r>
          </w:p>
        </w:tc>
        <w:tc>
          <w:tcPr>
            <w:tcW w:type="dxa" w:w="936"/>
          </w:tcPr>
          <w:p>
            <w:pPr>
              <w:spacing w:after="0"/>
            </w:pPr>
            <w:r/>
            <w:r>
              <w:rPr>
                <w:sz w:val="16"/>
              </w:rPr>
            </w:r>
          </w:p>
        </w:tc>
        <w:tc>
          <w:tcPr>
            <w:tcW w:type="dxa" w:w="936"/>
          </w:tcPr>
          <w:p>
            <w:pPr>
              <w:spacing w:after="0"/>
            </w:pPr>
            <w:r/>
            <w:r>
              <w:rPr>
                <w:sz w:val="16"/>
              </w:rPr>
              <w:t>544.34</w:t>
            </w:r>
          </w:p>
        </w:tc>
        <w:tc>
          <w:tcPr>
            <w:tcW w:type="dxa" w:w="936"/>
          </w:tcPr>
          <w:p>
            <w:pPr>
              <w:spacing w:after="0"/>
            </w:pPr>
            <w:r/>
            <w:r>
              <w:rPr>
                <w:sz w:val="16"/>
              </w:rPr>
              <w:t>725.02</w:t>
            </w:r>
          </w:p>
        </w:tc>
        <w:tc>
          <w:tcPr>
            <w:tcW w:type="dxa" w:w="936"/>
          </w:tcPr>
          <w:p>
            <w:pPr>
              <w:spacing w:after="0"/>
            </w:pPr>
            <w:r/>
            <w:r>
              <w:rPr>
                <w:sz w:val="16"/>
              </w:rPr>
            </w:r>
          </w:p>
        </w:tc>
      </w:tr>
      <w:tr>
        <w:tc>
          <w:tcPr>
            <w:tcW w:type="dxa" w:w="936"/>
            <w:shd w:val="clear" w:color="auto" w:fill="EDF1F5"/>
          </w:tcPr>
          <w:p>
            <w:pPr>
              <w:spacing w:after="0"/>
            </w:pPr>
            <w:r/>
            <w:r>
              <w:rPr>
                <w:sz w:val="16"/>
              </w:rPr>
              <w:t>Nash_Product</w:t>
            </w:r>
          </w:p>
        </w:tc>
        <w:tc>
          <w:tcPr>
            <w:tcW w:type="dxa" w:w="936"/>
            <w:shd w:val="clear" w:color="auto" w:fill="EDF1F5"/>
          </w:tcPr>
          <w:p>
            <w:pPr>
              <w:spacing w:after="0"/>
            </w:pPr>
            <w:r/>
            <w:r>
              <w:rPr>
                <w:sz w:val="16"/>
              </w:rPr>
              <w:t>1,499.02</w:t>
            </w:r>
          </w:p>
        </w:tc>
        <w:tc>
          <w:tcPr>
            <w:tcW w:type="dxa" w:w="936"/>
            <w:shd w:val="clear" w:color="auto" w:fill="EDF1F5"/>
          </w:tcPr>
          <w:p>
            <w:pPr>
              <w:spacing w:after="0"/>
            </w:pPr>
            <w:r/>
            <w:r>
              <w:rPr>
                <w:sz w:val="16"/>
              </w:rPr>
              <w:t>2,255.58</w:t>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t>655.42</w:t>
            </w:r>
          </w:p>
        </w:tc>
        <w:tc>
          <w:tcPr>
            <w:tcW w:type="dxa" w:w="936"/>
            <w:shd w:val="clear" w:color="auto" w:fill="EDF1F5"/>
          </w:tcPr>
          <w:p>
            <w:pPr>
              <w:spacing w:after="0"/>
            </w:pPr>
            <w:r/>
            <w:r>
              <w:rPr>
                <w:sz w:val="16"/>
              </w:rPr>
              <w:t>332.88</w:t>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t>598.88</w:t>
            </w:r>
          </w:p>
        </w:tc>
        <w:tc>
          <w:tcPr>
            <w:tcW w:type="dxa" w:w="936"/>
            <w:shd w:val="clear" w:color="auto" w:fill="EDF1F5"/>
          </w:tcPr>
          <w:p>
            <w:pPr>
              <w:spacing w:after="0"/>
            </w:pPr>
            <w:r/>
            <w:r>
              <w:rPr>
                <w:sz w:val="16"/>
              </w:rPr>
              <w:t>236.19</w:t>
            </w:r>
          </w:p>
        </w:tc>
        <w:tc>
          <w:tcPr>
            <w:tcW w:type="dxa" w:w="936"/>
            <w:shd w:val="clear" w:color="auto" w:fill="EDF1F5"/>
          </w:tcPr>
          <w:p>
            <w:pPr>
              <w:spacing w:after="0"/>
            </w:pPr>
            <w:r/>
            <w:r>
              <w:rPr>
                <w:sz w:val="16"/>
              </w:rPr>
            </w:r>
          </w:p>
        </w:tc>
      </w:tr>
      <w:tr>
        <w:tc>
          <w:tcPr>
            <w:tcW w:type="dxa" w:w="936"/>
          </w:tcPr>
          <w:p>
            <w:pPr>
              <w:spacing w:after="0"/>
            </w:pPr>
            <w:r/>
            <w:r>
              <w:rPr>
                <w:sz w:val="16"/>
              </w:rPr>
              <w:t>Risk_Dominant</w:t>
            </w:r>
          </w:p>
        </w:tc>
        <w:tc>
          <w:tcPr>
            <w:tcW w:type="dxa" w:w="936"/>
          </w:tcPr>
          <w:p>
            <w:pPr>
              <w:spacing w:after="0"/>
            </w:pPr>
            <w:r/>
            <w:r>
              <w:rPr>
                <w:sz w:val="16"/>
              </w:rPr>
              <w:t>Walled Garden / Interoperable Stack</w:t>
            </w:r>
          </w:p>
        </w:tc>
        <w:tc>
          <w:tcPr>
            <w:tcW w:type="dxa" w:w="936"/>
          </w:tcPr>
          <w:p>
            <w:pPr>
              <w:spacing w:after="0"/>
            </w:pPr>
            <w:r/>
            <w:r>
              <w:rPr>
                <w:sz w:val="16"/>
              </w:rPr>
              <w:t>Walled Garden / Interoperable Stack</w:t>
            </w:r>
          </w:p>
        </w:tc>
        <w:tc>
          <w:tcPr>
            <w:tcW w:type="dxa" w:w="936"/>
          </w:tcPr>
          <w:p>
            <w:pPr>
              <w:spacing w:after="0"/>
            </w:pPr>
            <w:r/>
            <w:r>
              <w:rPr>
                <w:sz w:val="16"/>
              </w:rPr>
            </w:r>
          </w:p>
        </w:tc>
        <w:tc>
          <w:tcPr>
            <w:tcW w:type="dxa" w:w="936"/>
          </w:tcPr>
          <w:p>
            <w:pPr>
              <w:spacing w:after="0"/>
            </w:pPr>
            <w:r/>
            <w:r>
              <w:rPr>
                <w:sz w:val="16"/>
              </w:rPr>
              <w:t>Open Access / Independent App</w:t>
            </w:r>
          </w:p>
        </w:tc>
        <w:tc>
          <w:tcPr>
            <w:tcW w:type="dxa" w:w="936"/>
          </w:tcPr>
          <w:p>
            <w:pPr>
              <w:spacing w:after="0"/>
            </w:pPr>
            <w:r/>
            <w:r>
              <w:rPr>
                <w:sz w:val="16"/>
              </w:rPr>
              <w:t>Open Access / Independent App</w:t>
            </w:r>
          </w:p>
        </w:tc>
        <w:tc>
          <w:tcPr>
            <w:tcW w:type="dxa" w:w="936"/>
          </w:tcPr>
          <w:p>
            <w:pPr>
              <w:spacing w:after="0"/>
            </w:pPr>
            <w:r/>
            <w:r>
              <w:rPr>
                <w:sz w:val="16"/>
              </w:rPr>
            </w:r>
          </w:p>
        </w:tc>
        <w:tc>
          <w:tcPr>
            <w:tcW w:type="dxa" w:w="936"/>
          </w:tcPr>
          <w:p>
            <w:pPr>
              <w:spacing w:after="0"/>
            </w:pPr>
            <w:r/>
            <w:r>
              <w:rPr>
                <w:sz w:val="16"/>
              </w:rPr>
              <w:t>Interoperable Stack / Independent App</w:t>
            </w:r>
          </w:p>
        </w:tc>
        <w:tc>
          <w:tcPr>
            <w:tcW w:type="dxa" w:w="936"/>
          </w:tcPr>
          <w:p>
            <w:pPr>
              <w:spacing w:after="0"/>
            </w:pPr>
            <w:r/>
            <w:r>
              <w:rPr>
                <w:sz w:val="16"/>
              </w:rPr>
              <w:t>Interoperable Stack / Independent App</w:t>
            </w:r>
          </w:p>
        </w:tc>
        <w:tc>
          <w:tcPr>
            <w:tcW w:type="dxa" w:w="936"/>
          </w:tcPr>
          <w:p>
            <w:pPr>
              <w:spacing w:after="0"/>
            </w:pPr>
            <w:r/>
            <w:r>
              <w:rPr>
                <w:sz w:val="16"/>
              </w:rPr>
            </w:r>
          </w:p>
        </w:tc>
      </w:tr>
      <w:tr>
        <w:tc>
          <w:tcPr>
            <w:tcW w:type="dxa" w:w="936"/>
            <w:shd w:val="clear" w:color="auto" w:fill="EDF1F5"/>
          </w:tcPr>
          <w:p>
            <w:pPr>
              <w:spacing w:after="0"/>
            </w:pPr>
            <w:r/>
            <w:r>
              <w:rPr>
                <w:sz w:val="16"/>
              </w:rPr>
              <w:t>Payoff_Dominant</w:t>
            </w:r>
          </w:p>
        </w:tc>
        <w:tc>
          <w:tcPr>
            <w:tcW w:type="dxa" w:w="936"/>
            <w:shd w:val="clear" w:color="auto" w:fill="EDF1F5"/>
          </w:tcPr>
          <w:p>
            <w:pPr>
              <w:spacing w:after="0"/>
            </w:pPr>
            <w:r/>
            <w:r>
              <w:rPr>
                <w:sz w:val="16"/>
              </w:rPr>
              <w:t>Walled Garden / Interoperable Stack</w:t>
            </w:r>
          </w:p>
        </w:tc>
        <w:tc>
          <w:tcPr>
            <w:tcW w:type="dxa" w:w="936"/>
            <w:shd w:val="clear" w:color="auto" w:fill="EDF1F5"/>
          </w:tcPr>
          <w:p>
            <w:pPr>
              <w:spacing w:after="0"/>
            </w:pPr>
            <w:r/>
            <w:r>
              <w:rPr>
                <w:sz w:val="16"/>
              </w:rPr>
              <w:t>Walled Garden / Interoperable Stack</w:t>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t>Walled Garden / Deep Integration</w:t>
            </w:r>
          </w:p>
        </w:tc>
        <w:tc>
          <w:tcPr>
            <w:tcW w:type="dxa" w:w="936"/>
            <w:shd w:val="clear" w:color="auto" w:fill="EDF1F5"/>
          </w:tcPr>
          <w:p>
            <w:pPr>
              <w:spacing w:after="0"/>
            </w:pPr>
            <w:r/>
            <w:r>
              <w:rPr>
                <w:sz w:val="16"/>
              </w:rPr>
              <w:t>Walled Garden / Deep Integration</w:t>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t>Proprietary Stack / Deep Integration</w:t>
            </w:r>
          </w:p>
        </w:tc>
        <w:tc>
          <w:tcPr>
            <w:tcW w:type="dxa" w:w="936"/>
            <w:shd w:val="clear" w:color="auto" w:fill="EDF1F5"/>
          </w:tcPr>
          <w:p>
            <w:pPr>
              <w:spacing w:after="0"/>
            </w:pPr>
            <w:r/>
            <w:r>
              <w:rPr>
                <w:sz w:val="16"/>
              </w:rPr>
              <w:t>Proprietary Stack / Deep Integration</w:t>
            </w:r>
          </w:p>
        </w:tc>
        <w:tc>
          <w:tcPr>
            <w:tcW w:type="dxa" w:w="936"/>
            <w:shd w:val="clear" w:color="auto" w:fill="EDF1F5"/>
          </w:tcPr>
          <w:p>
            <w:pPr>
              <w:spacing w:after="0"/>
            </w:pPr>
            <w:r/>
            <w:r>
              <w:rPr>
                <w:sz w:val="16"/>
              </w:rPr>
            </w:r>
          </w:p>
        </w:tc>
      </w:tr>
      <w:tr>
        <w:tc>
          <w:tcPr>
            <w:tcW w:type="dxa" w:w="936"/>
          </w:tcPr>
          <w:p>
            <w:pPr>
              <w:spacing w:after="0"/>
            </w:pPr>
            <w:r/>
            <w:r>
              <w:rPr>
                <w:sz w:val="16"/>
              </w:rPr>
              <w:t>Aligned</w:t>
            </w:r>
          </w:p>
        </w:tc>
        <w:tc>
          <w:tcPr>
            <w:tcW w:type="dxa" w:w="936"/>
          </w:tcPr>
          <w:p>
            <w:pPr>
              <w:spacing w:after="0"/>
            </w:pPr>
            <w:r/>
            <w:r>
              <w:rPr>
                <w:sz w:val="16"/>
              </w:rPr>
              <w:t>True</w:t>
            </w:r>
          </w:p>
        </w:tc>
        <w:tc>
          <w:tcPr>
            <w:tcW w:type="dxa" w:w="936"/>
          </w:tcPr>
          <w:p>
            <w:pPr>
              <w:spacing w:after="0"/>
            </w:pPr>
            <w:r/>
            <w:r>
              <w:rPr>
                <w:sz w:val="16"/>
              </w:rPr>
              <w:t>True</w:t>
            </w:r>
          </w:p>
        </w:tc>
        <w:tc>
          <w:tcPr>
            <w:tcW w:type="dxa" w:w="936"/>
          </w:tcPr>
          <w:p>
            <w:pPr>
              <w:spacing w:after="0"/>
            </w:pPr>
            <w:r/>
            <w:r>
              <w:rPr>
                <w:sz w:val="16"/>
              </w:rPr>
            </w:r>
          </w:p>
        </w:tc>
        <w:tc>
          <w:tcPr>
            <w:tcW w:type="dxa" w:w="936"/>
          </w:tcPr>
          <w:p>
            <w:pPr>
              <w:spacing w:after="0"/>
            </w:pPr>
            <w:r/>
            <w:r>
              <w:rPr>
                <w:sz w:val="16"/>
              </w:rPr>
              <w:t>False</w:t>
            </w:r>
          </w:p>
        </w:tc>
        <w:tc>
          <w:tcPr>
            <w:tcW w:type="dxa" w:w="936"/>
          </w:tcPr>
          <w:p>
            <w:pPr>
              <w:spacing w:after="0"/>
            </w:pPr>
            <w:r/>
            <w:r>
              <w:rPr>
                <w:sz w:val="16"/>
              </w:rPr>
              <w:t>False</w:t>
            </w:r>
          </w:p>
        </w:tc>
        <w:tc>
          <w:tcPr>
            <w:tcW w:type="dxa" w:w="936"/>
          </w:tcPr>
          <w:p>
            <w:pPr>
              <w:spacing w:after="0"/>
            </w:pPr>
            <w:r/>
            <w:r>
              <w:rPr>
                <w:sz w:val="16"/>
              </w:rPr>
            </w:r>
          </w:p>
        </w:tc>
        <w:tc>
          <w:tcPr>
            <w:tcW w:type="dxa" w:w="936"/>
          </w:tcPr>
          <w:p>
            <w:pPr>
              <w:spacing w:after="0"/>
            </w:pPr>
            <w:r/>
            <w:r>
              <w:rPr>
                <w:sz w:val="16"/>
              </w:rPr>
              <w:t>False</w:t>
            </w:r>
          </w:p>
        </w:tc>
        <w:tc>
          <w:tcPr>
            <w:tcW w:type="dxa" w:w="936"/>
          </w:tcPr>
          <w:p>
            <w:pPr>
              <w:spacing w:after="0"/>
            </w:pPr>
            <w:r/>
            <w:r>
              <w:rPr>
                <w:sz w:val="16"/>
              </w:rPr>
              <w:t>False</w:t>
            </w:r>
          </w:p>
        </w:tc>
        <w:tc>
          <w:tcPr>
            <w:tcW w:type="dxa" w:w="936"/>
          </w:tcPr>
          <w:p>
            <w:pPr>
              <w:spacing w:after="0"/>
            </w:pPr>
            <w:r/>
            <w:r>
              <w:rPr>
                <w:sz w:val="16"/>
              </w:rPr>
            </w:r>
          </w:p>
        </w:tc>
      </w:tr>
      <w:tr>
        <w:tc>
          <w:tcPr>
            <w:tcW w:type="dxa" w:w="936"/>
            <w:shd w:val="clear" w:color="auto" w:fill="EDF1F5"/>
          </w:tcPr>
          <w:p>
            <w:pPr>
              <w:spacing w:after="0"/>
            </w:pPr>
            <w:r/>
            <w:r>
              <w:rPr>
                <w:sz w:val="16"/>
              </w:rPr>
              <w:t>Selection_Note</w:t>
            </w:r>
          </w:p>
        </w:tc>
        <w:tc>
          <w:tcPr>
            <w:tcW w:type="dxa" w:w="936"/>
            <w:shd w:val="clear" w:color="auto" w:fill="EDF1F5"/>
          </w:tcPr>
          <w:p>
            <w:pPr>
              <w:spacing w:after="0"/>
            </w:pPr>
            <w:r/>
            <w:r>
              <w:rPr>
                <w:sz w:val="16"/>
              </w:rPr>
              <w:t>Efficient equilibrium is payoff- and risk-dominant; persistence of the inferior equilibrium requires lock-in/history explanation.</w:t>
            </w:r>
          </w:p>
        </w:tc>
        <w:tc>
          <w:tcPr>
            <w:tcW w:type="dxa" w:w="936"/>
            <w:shd w:val="clear" w:color="auto" w:fill="EDF1F5"/>
          </w:tcPr>
          <w:p>
            <w:pPr>
              <w:spacing w:after="0"/>
            </w:pPr>
            <w:r/>
            <w:r>
              <w:rPr>
                <w:sz w:val="16"/>
              </w:rPr>
              <w:t>Efficient equilibrium is payoff- and risk-dominant; persistence of the inferior equilibrium requires lock-in/history explanation.</w:t>
            </w:r>
          </w:p>
        </w:tc>
        <w:tc>
          <w:tcPr>
            <w:tcW w:type="dxa" w:w="936"/>
            <w:shd w:val="clear" w:color="auto" w:fill="EDF1F5"/>
          </w:tcPr>
          <w:p>
            <w:pPr>
              <w:spacing w:after="0"/>
            </w:pPr>
            <w:r/>
            <w:r>
              <w:rPr>
                <w:sz w:val="16"/>
              </w:rPr>
              <w:t>Not applicable: not exactly two 2x2 pure equilibria.</w:t>
            </w:r>
          </w:p>
        </w:tc>
        <w:tc>
          <w:tcPr>
            <w:tcW w:type="dxa" w:w="936"/>
            <w:shd w:val="clear" w:color="auto" w:fill="EDF1F5"/>
          </w:tcPr>
          <w:p>
            <w:pPr>
              <w:spacing w:after="0"/>
            </w:pPr>
            <w:r/>
            <w:r>
              <w:rPr>
                <w:sz w:val="16"/>
              </w:rPr>
              <w:t>Risk dominance opposes payoff dominance; a commitment device is needed.</w:t>
            </w:r>
          </w:p>
        </w:tc>
        <w:tc>
          <w:tcPr>
            <w:tcW w:type="dxa" w:w="936"/>
            <w:shd w:val="clear" w:color="auto" w:fill="EDF1F5"/>
          </w:tcPr>
          <w:p>
            <w:pPr>
              <w:spacing w:after="0"/>
            </w:pPr>
            <w:r/>
            <w:r>
              <w:rPr>
                <w:sz w:val="16"/>
              </w:rPr>
              <w:t>Risk dominance opposes payoff dominance; a commitment device is needed.</w:t>
            </w:r>
          </w:p>
        </w:tc>
        <w:tc>
          <w:tcPr>
            <w:tcW w:type="dxa" w:w="936"/>
            <w:shd w:val="clear" w:color="auto" w:fill="EDF1F5"/>
          </w:tcPr>
          <w:p>
            <w:pPr>
              <w:spacing w:after="0"/>
            </w:pPr>
            <w:r/>
            <w:r>
              <w:rPr>
                <w:sz w:val="16"/>
              </w:rPr>
              <w:t>Not applicable: not exactly two 2x2 pure equilibria.</w:t>
            </w:r>
          </w:p>
        </w:tc>
        <w:tc>
          <w:tcPr>
            <w:tcW w:type="dxa" w:w="936"/>
            <w:shd w:val="clear" w:color="auto" w:fill="EDF1F5"/>
          </w:tcPr>
          <w:p>
            <w:pPr>
              <w:spacing w:after="0"/>
            </w:pPr>
            <w:r/>
            <w:r>
              <w:rPr>
                <w:sz w:val="16"/>
              </w:rPr>
              <w:t>Risk dominance opposes payoff dominance; a commitment device is needed.</w:t>
            </w:r>
          </w:p>
        </w:tc>
        <w:tc>
          <w:tcPr>
            <w:tcW w:type="dxa" w:w="936"/>
            <w:shd w:val="clear" w:color="auto" w:fill="EDF1F5"/>
          </w:tcPr>
          <w:p>
            <w:pPr>
              <w:spacing w:after="0"/>
            </w:pPr>
            <w:r/>
            <w:r>
              <w:rPr>
                <w:sz w:val="16"/>
              </w:rPr>
              <w:t>Risk dominance opposes payoff dominance; a commitment device is needed.</w:t>
            </w:r>
          </w:p>
        </w:tc>
        <w:tc>
          <w:tcPr>
            <w:tcW w:type="dxa" w:w="936"/>
            <w:shd w:val="clear" w:color="auto" w:fill="EDF1F5"/>
          </w:tcPr>
          <w:p>
            <w:pPr>
              <w:spacing w:after="0"/>
            </w:pPr>
            <w:r/>
            <w:r>
              <w:rPr>
                <w:sz w:val="16"/>
              </w:rPr>
              <w:t>Not applicable: not exactly two 2x2 pure equilibria.</w:t>
            </w:r>
          </w:p>
        </w:tc>
      </w:tr>
    </w:tbl>
    <w:p>
      <w:pPr>
        <w:spacing w:after="80"/>
      </w:pPr>
      <w:r>
        <w:rPr>
          <w:sz w:val="4"/>
        </w:rPr>
      </w:r>
    </w:p>
    <w:p>
      <w:pPr>
        <w:spacing w:after="120"/>
      </w:pPr>
      <w:r>
        <w:rPr>
          <w:b w:val="0"/>
          <w:i w:val="0"/>
          <w:sz w:val="21"/>
        </w:rPr>
        <w:t>Repeated-game analysis reports whether grim-trigger punishment can sustain the joint-surplus profile without transfers. Infinite critical discount factors denote cases where Nash reversion is not a credible punishment.</w:t>
      </w:r>
    </w:p>
    <w:p>
      <w:pPr>
        <w:keepNext/>
        <w:spacing w:before="200" w:after="40"/>
      </w:pPr>
      <w:r>
        <w:rPr>
          <w:b/>
          <w:color w:val="2C3E50"/>
          <w:sz w:val="20"/>
        </w:rPr>
        <w:t>Table 3.7 — Repeated-game sustainability (critical discount factors)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index</w:t>
            </w:r>
          </w:p>
        </w:tc>
        <w:tc>
          <w:tcPr>
            <w:tcW w:type="dxa" w:w="1337"/>
            <w:tblHeader w:val="true"/>
            <w:shd w:val="clear" w:color="auto" w:fill="2C3E50"/>
          </w:tcPr>
          <w:p>
            <w:pPr>
              <w:jc w:val="center"/>
            </w:pPr>
            <w:r/>
            <w:r>
              <w:rPr>
                <w:b/>
                <w:color w:val="FFFFFF"/>
                <w:sz w:val="18"/>
              </w:rPr>
              <w:t>Hardware-Cloud Providers</w:t>
            </w:r>
          </w:p>
        </w:tc>
        <w:tc>
          <w:tcPr>
            <w:tcW w:type="dxa" w:w="1337"/>
            <w:tblHeader w:val="true"/>
            <w:shd w:val="clear" w:color="auto" w:fill="2C3E50"/>
          </w:tcPr>
          <w:p>
            <w:pPr>
              <w:jc w:val="center"/>
            </w:pPr>
            <w:r/>
            <w:r>
              <w:rPr>
                <w:b/>
                <w:color w:val="FFFFFF"/>
                <w:sz w:val="18"/>
              </w:rPr>
              <w:t>Hardware-Foundation Models</w:t>
            </w:r>
          </w:p>
        </w:tc>
        <w:tc>
          <w:tcPr>
            <w:tcW w:type="dxa" w:w="1337"/>
            <w:tblHeader w:val="true"/>
            <w:shd w:val="clear" w:color="auto" w:fill="2C3E50"/>
          </w:tcPr>
          <w:p>
            <w:pPr>
              <w:jc w:val="center"/>
            </w:pPr>
            <w:r/>
            <w:r>
              <w:rPr>
                <w:b/>
                <w:color w:val="FFFFFF"/>
                <w:sz w:val="18"/>
              </w:rPr>
              <w:t>Hardware-LLM Wrappers</w:t>
            </w:r>
          </w:p>
        </w:tc>
        <w:tc>
          <w:tcPr>
            <w:tcW w:type="dxa" w:w="1337"/>
            <w:tblHeader w:val="true"/>
            <w:shd w:val="clear" w:color="auto" w:fill="2C3E50"/>
          </w:tcPr>
          <w:p>
            <w:pPr>
              <w:jc w:val="center"/>
            </w:pPr>
            <w:r/>
            <w:r>
              <w:rPr>
                <w:b/>
                <w:color w:val="FFFFFF"/>
                <w:sz w:val="18"/>
              </w:rPr>
              <w:t>Cloud Providers-Foundation Models</w:t>
            </w:r>
          </w:p>
        </w:tc>
        <w:tc>
          <w:tcPr>
            <w:tcW w:type="dxa" w:w="1337"/>
            <w:tblHeader w:val="true"/>
            <w:shd w:val="clear" w:color="auto" w:fill="2C3E50"/>
          </w:tcPr>
          <w:p>
            <w:pPr>
              <w:jc w:val="center"/>
            </w:pPr>
            <w:r/>
            <w:r>
              <w:rPr>
                <w:b/>
                <w:color w:val="FFFFFF"/>
                <w:sz w:val="18"/>
              </w:rPr>
              <w:t>Cloud Providers-LLM Wrappers</w:t>
            </w:r>
          </w:p>
        </w:tc>
        <w:tc>
          <w:tcPr>
            <w:tcW w:type="dxa" w:w="1337"/>
            <w:tblHeader w:val="true"/>
            <w:shd w:val="clear" w:color="auto" w:fill="2C3E50"/>
          </w:tcPr>
          <w:p>
            <w:pPr>
              <w:jc w:val="center"/>
            </w:pPr>
            <w:r/>
            <w:r>
              <w:rPr>
                <w:b/>
                <w:color w:val="FFFFFF"/>
                <w:sz w:val="18"/>
              </w:rPr>
              <w:t>Foundation Models-LLM Wrappers</w:t>
            </w:r>
          </w:p>
        </w:tc>
      </w:tr>
      <w:tr>
        <w:tc>
          <w:tcPr>
            <w:tcW w:type="dxa" w:w="1337"/>
          </w:tcPr>
          <w:p>
            <w:pPr>
              <w:spacing w:after="0"/>
            </w:pPr>
            <w:r/>
            <w:r>
              <w:rPr>
                <w:sz w:val="17"/>
              </w:rPr>
              <w:t>P1_Critical_Delta</w:t>
            </w:r>
          </w:p>
        </w:tc>
        <w:tc>
          <w:tcPr>
            <w:tcW w:type="dxa" w:w="1337"/>
          </w:tcPr>
          <w:p>
            <w:pPr>
              <w:spacing w:after="0"/>
            </w:pPr>
            <w:r/>
            <w:r>
              <w:rPr>
                <w:sz w:val="17"/>
              </w:rPr>
              <w:t>0</w:t>
            </w:r>
          </w:p>
        </w:tc>
        <w:tc>
          <w:tcPr>
            <w:tcW w:type="dxa" w:w="1337"/>
          </w:tcPr>
          <w:p>
            <w:pPr>
              <w:spacing w:after="0"/>
            </w:pPr>
            <w:r/>
            <w:r>
              <w:rPr>
                <w:sz w:val="17"/>
              </w:rPr>
              <w:t>0</w:t>
            </w:r>
          </w:p>
        </w:tc>
        <w:tc>
          <w:tcPr>
            <w:tcW w:type="dxa" w:w="1337"/>
          </w:tcPr>
          <w:p>
            <w:pPr>
              <w:spacing w:after="0"/>
            </w:pPr>
            <w:r/>
            <w:r>
              <w:rPr>
                <w:sz w:val="17"/>
              </w:rPr>
              <w:t>0</w:t>
            </w:r>
          </w:p>
        </w:tc>
        <w:tc>
          <w:tcPr>
            <w:tcW w:type="dxa" w:w="1337"/>
          </w:tcPr>
          <w:p>
            <w:pPr>
              <w:spacing w:after="0"/>
            </w:pPr>
            <w:r/>
            <w:r>
              <w:rPr>
                <w:sz w:val="17"/>
              </w:rPr>
              <w:t>0</w:t>
            </w:r>
          </w:p>
        </w:tc>
        <w:tc>
          <w:tcPr>
            <w:tcW w:type="dxa" w:w="1337"/>
          </w:tcPr>
          <w:p>
            <w:pPr>
              <w:spacing w:after="0"/>
            </w:pPr>
            <w:r/>
            <w:r>
              <w:rPr>
                <w:sz w:val="17"/>
              </w:rPr>
              <w:t>0</w:t>
            </w:r>
          </w:p>
        </w:tc>
        <w:tc>
          <w:tcPr>
            <w:tcW w:type="dxa" w:w="1337"/>
          </w:tcPr>
          <w:p>
            <w:pPr>
              <w:spacing w:after="0"/>
            </w:pPr>
            <w:r/>
            <w:r>
              <w:rPr>
                <w:sz w:val="17"/>
              </w:rPr>
              <w:t>0</w:t>
            </w:r>
          </w:p>
        </w:tc>
      </w:tr>
      <w:tr>
        <w:tc>
          <w:tcPr>
            <w:tcW w:type="dxa" w:w="1337"/>
            <w:shd w:val="clear" w:color="auto" w:fill="EDF1F5"/>
          </w:tcPr>
          <w:p>
            <w:pPr>
              <w:spacing w:after="0"/>
            </w:pPr>
            <w:r/>
            <w:r>
              <w:rPr>
                <w:sz w:val="17"/>
              </w:rPr>
              <w:t>P1_Status</w:t>
            </w:r>
          </w:p>
        </w:tc>
        <w:tc>
          <w:tcPr>
            <w:tcW w:type="dxa" w:w="1337"/>
            <w:shd w:val="clear" w:color="auto" w:fill="EDF1F5"/>
          </w:tcPr>
          <w:p>
            <w:pPr>
              <w:spacing w:after="0"/>
            </w:pPr>
            <w:r/>
            <w:r>
              <w:rPr>
                <w:sz w:val="17"/>
              </w:rPr>
              <w:t>no deviation incentive</w:t>
            </w:r>
          </w:p>
        </w:tc>
        <w:tc>
          <w:tcPr>
            <w:tcW w:type="dxa" w:w="1337"/>
            <w:shd w:val="clear" w:color="auto" w:fill="EDF1F5"/>
          </w:tcPr>
          <w:p>
            <w:pPr>
              <w:spacing w:after="0"/>
            </w:pPr>
            <w:r/>
            <w:r>
              <w:rPr>
                <w:sz w:val="17"/>
              </w:rPr>
              <w:t>no deviation incentive</w:t>
            </w:r>
          </w:p>
        </w:tc>
        <w:tc>
          <w:tcPr>
            <w:tcW w:type="dxa" w:w="1337"/>
            <w:shd w:val="clear" w:color="auto" w:fill="EDF1F5"/>
          </w:tcPr>
          <w:p>
            <w:pPr>
              <w:spacing w:after="0"/>
            </w:pPr>
            <w:r/>
            <w:r>
              <w:rPr>
                <w:sz w:val="17"/>
              </w:rPr>
              <w:t>no deviation incentive</w:t>
            </w:r>
          </w:p>
        </w:tc>
        <w:tc>
          <w:tcPr>
            <w:tcW w:type="dxa" w:w="1337"/>
            <w:shd w:val="clear" w:color="auto" w:fill="EDF1F5"/>
          </w:tcPr>
          <w:p>
            <w:pPr>
              <w:spacing w:after="0"/>
            </w:pPr>
            <w:r/>
            <w:r>
              <w:rPr>
                <w:sz w:val="17"/>
              </w:rPr>
              <w:t>no deviation incentive</w:t>
            </w:r>
          </w:p>
        </w:tc>
        <w:tc>
          <w:tcPr>
            <w:tcW w:type="dxa" w:w="1337"/>
            <w:shd w:val="clear" w:color="auto" w:fill="EDF1F5"/>
          </w:tcPr>
          <w:p>
            <w:pPr>
              <w:spacing w:after="0"/>
            </w:pPr>
            <w:r/>
            <w:r>
              <w:rPr>
                <w:sz w:val="17"/>
              </w:rPr>
              <w:t>no deviation incentive</w:t>
            </w:r>
          </w:p>
        </w:tc>
        <w:tc>
          <w:tcPr>
            <w:tcW w:type="dxa" w:w="1337"/>
            <w:shd w:val="clear" w:color="auto" w:fill="EDF1F5"/>
          </w:tcPr>
          <w:p>
            <w:pPr>
              <w:spacing w:after="0"/>
            </w:pPr>
            <w:r/>
            <w:r>
              <w:rPr>
                <w:sz w:val="17"/>
              </w:rPr>
              <w:t>no deviation incentive</w:t>
            </w:r>
          </w:p>
        </w:tc>
      </w:tr>
      <w:tr>
        <w:tc>
          <w:tcPr>
            <w:tcW w:type="dxa" w:w="1337"/>
          </w:tcPr>
          <w:p>
            <w:pPr>
              <w:spacing w:after="0"/>
            </w:pPr>
            <w:r/>
            <w:r>
              <w:rPr>
                <w:sz w:val="17"/>
              </w:rPr>
              <w:t>P2_Critical_Delta</w:t>
            </w:r>
          </w:p>
        </w:tc>
        <w:tc>
          <w:tcPr>
            <w:tcW w:type="dxa" w:w="1337"/>
          </w:tcPr>
          <w:p>
            <w:pPr>
              <w:spacing w:after="0"/>
            </w:pPr>
            <w:r/>
            <w:r>
              <w:rPr>
                <w:sz w:val="17"/>
              </w:rPr>
              <w:t>0</w:t>
            </w:r>
          </w:p>
        </w:tc>
        <w:tc>
          <w:tcPr>
            <w:tcW w:type="dxa" w:w="1337"/>
          </w:tcPr>
          <w:p>
            <w:pPr>
              <w:spacing w:after="0"/>
            </w:pPr>
            <w:r/>
            <w:r>
              <w:rPr>
                <w:sz w:val="17"/>
              </w:rPr>
              <w:t>∞</w:t>
            </w:r>
          </w:p>
        </w:tc>
        <w:tc>
          <w:tcPr>
            <w:tcW w:type="dxa" w:w="1337"/>
          </w:tcPr>
          <w:p>
            <w:pPr>
              <w:spacing w:after="0"/>
            </w:pPr>
            <w:r/>
            <w:r>
              <w:rPr>
                <w:sz w:val="17"/>
              </w:rPr>
              <w:t>0</w:t>
            </w:r>
          </w:p>
        </w:tc>
        <w:tc>
          <w:tcPr>
            <w:tcW w:type="dxa" w:w="1337"/>
          </w:tcPr>
          <w:p>
            <w:pPr>
              <w:spacing w:after="0"/>
            </w:pPr>
            <w:r/>
            <w:r>
              <w:rPr>
                <w:sz w:val="17"/>
              </w:rPr>
              <w:t>∞</w:t>
            </w:r>
          </w:p>
        </w:tc>
        <w:tc>
          <w:tcPr>
            <w:tcW w:type="dxa" w:w="1337"/>
          </w:tcPr>
          <w:p>
            <w:pPr>
              <w:spacing w:after="0"/>
            </w:pPr>
            <w:r/>
            <w:r>
              <w:rPr>
                <w:sz w:val="17"/>
              </w:rPr>
              <w:t>0</w:t>
            </w:r>
          </w:p>
        </w:tc>
        <w:tc>
          <w:tcPr>
            <w:tcW w:type="dxa" w:w="1337"/>
          </w:tcPr>
          <w:p>
            <w:pPr>
              <w:spacing w:after="0"/>
            </w:pPr>
            <w:r/>
            <w:r>
              <w:rPr>
                <w:sz w:val="17"/>
              </w:rPr>
              <w:t>∞</w:t>
            </w:r>
          </w:p>
        </w:tc>
      </w:tr>
      <w:tr>
        <w:tc>
          <w:tcPr>
            <w:tcW w:type="dxa" w:w="1337"/>
            <w:shd w:val="clear" w:color="auto" w:fill="EDF1F5"/>
          </w:tcPr>
          <w:p>
            <w:pPr>
              <w:spacing w:after="0"/>
            </w:pPr>
            <w:r/>
            <w:r>
              <w:rPr>
                <w:sz w:val="17"/>
              </w:rPr>
              <w:t>P2_Status</w:t>
            </w:r>
          </w:p>
        </w:tc>
        <w:tc>
          <w:tcPr>
            <w:tcW w:type="dxa" w:w="1337"/>
            <w:shd w:val="clear" w:color="auto" w:fill="EDF1F5"/>
          </w:tcPr>
          <w:p>
            <w:pPr>
              <w:spacing w:after="0"/>
            </w:pPr>
            <w:r/>
            <w:r>
              <w:rPr>
                <w:sz w:val="17"/>
              </w:rPr>
              <w:t>no deviation incentive</w:t>
            </w:r>
          </w:p>
        </w:tc>
        <w:tc>
          <w:tcPr>
            <w:tcW w:type="dxa" w:w="1337"/>
            <w:shd w:val="clear" w:color="auto" w:fill="EDF1F5"/>
          </w:tcPr>
          <w:p>
            <w:pPr>
              <w:spacing w:after="0"/>
            </w:pPr>
            <w:r/>
            <w:r>
              <w:rPr>
                <w:sz w:val="17"/>
              </w:rPr>
              <w:t>Nash reversion is not a credible punishment</w:t>
            </w:r>
          </w:p>
        </w:tc>
        <w:tc>
          <w:tcPr>
            <w:tcW w:type="dxa" w:w="1337"/>
            <w:shd w:val="clear" w:color="auto" w:fill="EDF1F5"/>
          </w:tcPr>
          <w:p>
            <w:pPr>
              <w:spacing w:after="0"/>
            </w:pPr>
            <w:r/>
            <w:r>
              <w:rPr>
                <w:sz w:val="17"/>
              </w:rPr>
              <w:t>no deviation incentive</w:t>
            </w:r>
          </w:p>
        </w:tc>
        <w:tc>
          <w:tcPr>
            <w:tcW w:type="dxa" w:w="1337"/>
            <w:shd w:val="clear" w:color="auto" w:fill="EDF1F5"/>
          </w:tcPr>
          <w:p>
            <w:pPr>
              <w:spacing w:after="0"/>
            </w:pPr>
            <w:r/>
            <w:r>
              <w:rPr>
                <w:sz w:val="17"/>
              </w:rPr>
              <w:t>Nash reversion is not a credible punishment</w:t>
            </w:r>
          </w:p>
        </w:tc>
        <w:tc>
          <w:tcPr>
            <w:tcW w:type="dxa" w:w="1337"/>
            <w:shd w:val="clear" w:color="auto" w:fill="EDF1F5"/>
          </w:tcPr>
          <w:p>
            <w:pPr>
              <w:spacing w:after="0"/>
            </w:pPr>
            <w:r/>
            <w:r>
              <w:rPr>
                <w:sz w:val="17"/>
              </w:rPr>
              <w:t>no deviation incentive</w:t>
            </w:r>
          </w:p>
        </w:tc>
        <w:tc>
          <w:tcPr>
            <w:tcW w:type="dxa" w:w="1337"/>
            <w:shd w:val="clear" w:color="auto" w:fill="EDF1F5"/>
          </w:tcPr>
          <w:p>
            <w:pPr>
              <w:spacing w:after="0"/>
            </w:pPr>
            <w:r/>
            <w:r>
              <w:rPr>
                <w:sz w:val="17"/>
              </w:rPr>
              <w:t>Nash reversion is not a credible punishment</w:t>
            </w:r>
          </w:p>
        </w:tc>
      </w:tr>
      <w:tr>
        <w:tc>
          <w:tcPr>
            <w:tcW w:type="dxa" w:w="1337"/>
          </w:tcPr>
          <w:p>
            <w:pPr>
              <w:spacing w:after="0"/>
            </w:pPr>
            <w:r/>
            <w:r>
              <w:rPr>
                <w:sz w:val="17"/>
              </w:rPr>
              <w:t>Binding_Player</w:t>
            </w:r>
          </w:p>
        </w:tc>
        <w:tc>
          <w:tcPr>
            <w:tcW w:type="dxa" w:w="1337"/>
          </w:tcPr>
          <w:p>
            <w:pPr>
              <w:spacing w:after="0"/>
            </w:pPr>
            <w:r/>
            <w:r>
              <w:rPr>
                <w:sz w:val="17"/>
              </w:rPr>
              <w:t>Hardware</w:t>
            </w:r>
          </w:p>
        </w:tc>
        <w:tc>
          <w:tcPr>
            <w:tcW w:type="dxa" w:w="1337"/>
          </w:tcPr>
          <w:p>
            <w:pPr>
              <w:spacing w:after="0"/>
            </w:pPr>
            <w:r/>
            <w:r>
              <w:rPr>
                <w:sz w:val="17"/>
              </w:rPr>
              <w:t>Foundation Models</w:t>
            </w:r>
          </w:p>
        </w:tc>
        <w:tc>
          <w:tcPr>
            <w:tcW w:type="dxa" w:w="1337"/>
          </w:tcPr>
          <w:p>
            <w:pPr>
              <w:spacing w:after="0"/>
            </w:pPr>
            <w:r/>
            <w:r>
              <w:rPr>
                <w:sz w:val="17"/>
              </w:rPr>
              <w:t>Hardware</w:t>
            </w:r>
          </w:p>
        </w:tc>
        <w:tc>
          <w:tcPr>
            <w:tcW w:type="dxa" w:w="1337"/>
          </w:tcPr>
          <w:p>
            <w:pPr>
              <w:spacing w:after="0"/>
            </w:pPr>
            <w:r/>
            <w:r>
              <w:rPr>
                <w:sz w:val="17"/>
              </w:rPr>
              <w:t>Foundation Models</w:t>
            </w:r>
          </w:p>
        </w:tc>
        <w:tc>
          <w:tcPr>
            <w:tcW w:type="dxa" w:w="1337"/>
          </w:tcPr>
          <w:p>
            <w:pPr>
              <w:spacing w:after="0"/>
            </w:pPr>
            <w:r/>
            <w:r>
              <w:rPr>
                <w:sz w:val="17"/>
              </w:rPr>
              <w:t>Cloud Providers</w:t>
            </w:r>
          </w:p>
        </w:tc>
        <w:tc>
          <w:tcPr>
            <w:tcW w:type="dxa" w:w="1337"/>
          </w:tcPr>
          <w:p>
            <w:pPr>
              <w:spacing w:after="0"/>
            </w:pPr>
            <w:r/>
            <w:r>
              <w:rPr>
                <w:sz w:val="17"/>
              </w:rPr>
              <w:t>LLM Wrappers</w:t>
            </w:r>
          </w:p>
        </w:tc>
      </w:tr>
      <w:tr>
        <w:tc>
          <w:tcPr>
            <w:tcW w:type="dxa" w:w="1337"/>
            <w:shd w:val="clear" w:color="auto" w:fill="EDF1F5"/>
          </w:tcPr>
          <w:p>
            <w:pPr>
              <w:spacing w:after="0"/>
            </w:pPr>
            <w:r/>
            <w:r>
              <w:rPr>
                <w:sz w:val="17"/>
              </w:rPr>
              <w:t>Critical_Delta</w:t>
            </w:r>
          </w:p>
        </w:tc>
        <w:tc>
          <w:tcPr>
            <w:tcW w:type="dxa" w:w="1337"/>
            <w:shd w:val="clear" w:color="auto" w:fill="EDF1F5"/>
          </w:tcPr>
          <w:p>
            <w:pPr>
              <w:spacing w:after="0"/>
            </w:pPr>
            <w:r/>
            <w:r>
              <w:rPr>
                <w:sz w:val="17"/>
              </w:rPr>
              <w:t>0</w:t>
            </w:r>
          </w:p>
        </w:tc>
        <w:tc>
          <w:tcPr>
            <w:tcW w:type="dxa" w:w="1337"/>
            <w:shd w:val="clear" w:color="auto" w:fill="EDF1F5"/>
          </w:tcPr>
          <w:p>
            <w:pPr>
              <w:spacing w:after="0"/>
            </w:pPr>
            <w:r/>
            <w:r>
              <w:rPr>
                <w:sz w:val="17"/>
              </w:rPr>
              <w:t>∞</w:t>
            </w:r>
          </w:p>
        </w:tc>
        <w:tc>
          <w:tcPr>
            <w:tcW w:type="dxa" w:w="1337"/>
            <w:shd w:val="clear" w:color="auto" w:fill="EDF1F5"/>
          </w:tcPr>
          <w:p>
            <w:pPr>
              <w:spacing w:after="0"/>
            </w:pPr>
            <w:r/>
            <w:r>
              <w:rPr>
                <w:sz w:val="17"/>
              </w:rPr>
              <w:t>0</w:t>
            </w:r>
          </w:p>
        </w:tc>
        <w:tc>
          <w:tcPr>
            <w:tcW w:type="dxa" w:w="1337"/>
            <w:shd w:val="clear" w:color="auto" w:fill="EDF1F5"/>
          </w:tcPr>
          <w:p>
            <w:pPr>
              <w:spacing w:after="0"/>
            </w:pPr>
            <w:r/>
            <w:r>
              <w:rPr>
                <w:sz w:val="17"/>
              </w:rPr>
              <w:t>∞</w:t>
            </w:r>
          </w:p>
        </w:tc>
        <w:tc>
          <w:tcPr>
            <w:tcW w:type="dxa" w:w="1337"/>
            <w:shd w:val="clear" w:color="auto" w:fill="EDF1F5"/>
          </w:tcPr>
          <w:p>
            <w:pPr>
              <w:spacing w:after="0"/>
            </w:pPr>
            <w:r/>
            <w:r>
              <w:rPr>
                <w:sz w:val="17"/>
              </w:rPr>
              <w:t>0</w:t>
            </w:r>
          </w:p>
        </w:tc>
        <w:tc>
          <w:tcPr>
            <w:tcW w:type="dxa" w:w="1337"/>
            <w:shd w:val="clear" w:color="auto" w:fill="EDF1F5"/>
          </w:tcPr>
          <w:p>
            <w:pPr>
              <w:spacing w:after="0"/>
            </w:pPr>
            <w:r/>
            <w:r>
              <w:rPr>
                <w:sz w:val="17"/>
              </w:rPr>
              <w:t>∞</w:t>
            </w:r>
          </w:p>
        </w:tc>
      </w:tr>
      <w:tr>
        <w:tc>
          <w:tcPr>
            <w:tcW w:type="dxa" w:w="1337"/>
          </w:tcPr>
          <w:p>
            <w:pPr>
              <w:spacing w:after="0"/>
            </w:pPr>
            <w:r/>
            <w:r>
              <w:rPr>
                <w:sz w:val="17"/>
              </w:rPr>
              <w:t>Status</w:t>
            </w:r>
          </w:p>
        </w:tc>
        <w:tc>
          <w:tcPr>
            <w:tcW w:type="dxa" w:w="1337"/>
          </w:tcPr>
          <w:p>
            <w:pPr>
              <w:spacing w:after="0"/>
            </w:pPr>
            <w:r/>
            <w:r>
              <w:rPr>
                <w:sz w:val="17"/>
              </w:rPr>
              <w:t>no deviation incentive</w:t>
            </w:r>
          </w:p>
        </w:tc>
        <w:tc>
          <w:tcPr>
            <w:tcW w:type="dxa" w:w="1337"/>
          </w:tcPr>
          <w:p>
            <w:pPr>
              <w:spacing w:after="0"/>
            </w:pPr>
            <w:r/>
            <w:r>
              <w:rPr>
                <w:sz w:val="17"/>
              </w:rPr>
              <w:t>Nash reversion is not a credible punishment</w:t>
            </w:r>
          </w:p>
        </w:tc>
        <w:tc>
          <w:tcPr>
            <w:tcW w:type="dxa" w:w="1337"/>
          </w:tcPr>
          <w:p>
            <w:pPr>
              <w:spacing w:after="0"/>
            </w:pPr>
            <w:r/>
            <w:r>
              <w:rPr>
                <w:sz w:val="17"/>
              </w:rPr>
              <w:t>no deviation incentive</w:t>
            </w:r>
          </w:p>
        </w:tc>
        <w:tc>
          <w:tcPr>
            <w:tcW w:type="dxa" w:w="1337"/>
          </w:tcPr>
          <w:p>
            <w:pPr>
              <w:spacing w:after="0"/>
            </w:pPr>
            <w:r/>
            <w:r>
              <w:rPr>
                <w:sz w:val="17"/>
              </w:rPr>
              <w:t>Nash reversion is not a credible punishment</w:t>
            </w:r>
          </w:p>
        </w:tc>
        <w:tc>
          <w:tcPr>
            <w:tcW w:type="dxa" w:w="1337"/>
          </w:tcPr>
          <w:p>
            <w:pPr>
              <w:spacing w:after="0"/>
            </w:pPr>
            <w:r/>
            <w:r>
              <w:rPr>
                <w:sz w:val="17"/>
              </w:rPr>
              <w:t>no deviation incentive</w:t>
            </w:r>
          </w:p>
        </w:tc>
        <w:tc>
          <w:tcPr>
            <w:tcW w:type="dxa" w:w="1337"/>
          </w:tcPr>
          <w:p>
            <w:pPr>
              <w:spacing w:after="0"/>
            </w:pPr>
            <w:r/>
            <w:r>
              <w:rPr>
                <w:sz w:val="17"/>
              </w:rPr>
              <w:t>Nash reversion is not a credible punishment</w:t>
            </w:r>
          </w:p>
        </w:tc>
      </w:tr>
      <w:tr>
        <w:tc>
          <w:tcPr>
            <w:tcW w:type="dxa" w:w="1337"/>
            <w:shd w:val="clear" w:color="auto" w:fill="EDF1F5"/>
          </w:tcPr>
          <w:p>
            <w:pPr>
              <w:spacing w:after="0"/>
            </w:pPr>
            <w:r/>
            <w:r>
              <w:rPr>
                <w:sz w:val="17"/>
              </w:rPr>
              <w:t>Sustainable_No_Transfers</w:t>
            </w:r>
          </w:p>
        </w:tc>
        <w:tc>
          <w:tcPr>
            <w:tcW w:type="dxa" w:w="1337"/>
            <w:shd w:val="clear" w:color="auto" w:fill="EDF1F5"/>
          </w:tcPr>
          <w:p>
            <w:pPr>
              <w:spacing w:after="0"/>
            </w:pPr>
            <w:r/>
            <w:r>
              <w:rPr>
                <w:sz w:val="17"/>
              </w:rPr>
              <w:t>True</w:t>
            </w:r>
          </w:p>
        </w:tc>
        <w:tc>
          <w:tcPr>
            <w:tcW w:type="dxa" w:w="1337"/>
            <w:shd w:val="clear" w:color="auto" w:fill="EDF1F5"/>
          </w:tcPr>
          <w:p>
            <w:pPr>
              <w:spacing w:after="0"/>
            </w:pPr>
            <w:r/>
            <w:r>
              <w:rPr>
                <w:sz w:val="17"/>
              </w:rPr>
              <w:t>False</w:t>
            </w:r>
          </w:p>
        </w:tc>
        <w:tc>
          <w:tcPr>
            <w:tcW w:type="dxa" w:w="1337"/>
            <w:shd w:val="clear" w:color="auto" w:fill="EDF1F5"/>
          </w:tcPr>
          <w:p>
            <w:pPr>
              <w:spacing w:after="0"/>
            </w:pPr>
            <w:r/>
            <w:r>
              <w:rPr>
                <w:sz w:val="17"/>
              </w:rPr>
              <w:t>True</w:t>
            </w:r>
          </w:p>
        </w:tc>
        <w:tc>
          <w:tcPr>
            <w:tcW w:type="dxa" w:w="1337"/>
            <w:shd w:val="clear" w:color="auto" w:fill="EDF1F5"/>
          </w:tcPr>
          <w:p>
            <w:pPr>
              <w:spacing w:after="0"/>
            </w:pPr>
            <w:r/>
            <w:r>
              <w:rPr>
                <w:sz w:val="17"/>
              </w:rPr>
              <w:t>False</w:t>
            </w:r>
          </w:p>
        </w:tc>
        <w:tc>
          <w:tcPr>
            <w:tcW w:type="dxa" w:w="1337"/>
            <w:shd w:val="clear" w:color="auto" w:fill="EDF1F5"/>
          </w:tcPr>
          <w:p>
            <w:pPr>
              <w:spacing w:after="0"/>
            </w:pPr>
            <w:r/>
            <w:r>
              <w:rPr>
                <w:sz w:val="17"/>
              </w:rPr>
              <w:t>True</w:t>
            </w:r>
          </w:p>
        </w:tc>
        <w:tc>
          <w:tcPr>
            <w:tcW w:type="dxa" w:w="1337"/>
            <w:shd w:val="clear" w:color="auto" w:fill="EDF1F5"/>
          </w:tcPr>
          <w:p>
            <w:pPr>
              <w:spacing w:after="0"/>
            </w:pPr>
            <w:r/>
            <w:r>
              <w:rPr>
                <w:sz w:val="17"/>
              </w:rPr>
              <w:t>False</w:t>
            </w:r>
          </w:p>
        </w:tc>
      </w:tr>
    </w:tbl>
    <w:p>
      <w:pPr>
        <w:spacing w:after="80"/>
      </w:pPr>
      <w:r>
        <w:rPr>
          <w:sz w:val="4"/>
        </w:rPr>
      </w:r>
    </w:p>
    <w:p>
      <w:pPr>
        <w:spacing w:after="120"/>
      </w:pPr>
      <w:r>
        <w:rPr>
          <w:b w:val="0"/>
          <w:i w:val="0"/>
          <w:sz w:val="21"/>
        </w:rPr>
        <w:t>Supplemental Figure S5 plots Table 3.5's bottom line by game: the height of each bar is the joint gain from moving off Nash, the color is the welfare verdict, and the annotation is the minimum transfer that unlocks the Kaldor-Hicks cases.</w:t>
      </w:r>
    </w:p>
    <w:p>
      <w:pPr>
        <w:keepNext/>
        <w:spacing w:before="160"/>
        <w:jc w:val="center"/>
      </w:pPr>
      <w:r>
        <w:drawing>
          <wp:inline xmlns:a="http://schemas.openxmlformats.org/drawingml/2006/main" xmlns:pic="http://schemas.openxmlformats.org/drawingml/2006/picture">
            <wp:extent cx="5760720" cy="2925166"/>
            <wp:docPr id="8" name="Picture 8" descr="Supplemental S5 — Joint Gains and Minimum Transfers by Game"/>
            <wp:cNvGraphicFramePr>
              <a:graphicFrameLocks noChangeAspect="1"/>
            </wp:cNvGraphicFramePr>
            <a:graphic>
              <a:graphicData uri="http://schemas.openxmlformats.org/drawingml/2006/picture">
                <pic:pic>
                  <pic:nvPicPr>
                    <pic:cNvPr id="0" name="s5_joint_gains_transfers.jpg"/>
                    <pic:cNvPicPr/>
                  </pic:nvPicPr>
                  <pic:blipFill>
                    <a:blip r:embed="rId18"/>
                    <a:stretch>
                      <a:fillRect/>
                    </a:stretch>
                  </pic:blipFill>
                  <pic:spPr>
                    <a:xfrm>
                      <a:off x="0" y="0"/>
                      <a:ext cx="5760720" cy="2925166"/>
                    </a:xfrm>
                    <a:prstGeom prst="rect"/>
                  </pic:spPr>
                </pic:pic>
              </a:graphicData>
            </a:graphic>
          </wp:inline>
        </w:drawing>
      </w:r>
    </w:p>
    <w:p>
      <w:pPr>
        <w:spacing w:after="200"/>
        <w:jc w:val="center"/>
      </w:pPr>
      <w:r>
        <w:rPr>
          <w:i/>
          <w:color w:val="404040"/>
          <w:sz w:val="18"/>
        </w:rPr>
        <w:t>Supplemental S5 — Joint Gains and Minimum Transfers by Game</w:t>
      </w:r>
    </w:p>
    <w:p>
      <w:pPr>
        <w:keepNext/>
        <w:spacing w:before="200" w:after="40"/>
      </w:pPr>
      <w:r>
        <w:rPr>
          <w:b/>
          <w:color w:val="184A71"/>
          <w:sz w:val="21"/>
        </w:rPr>
        <w:t>Analytical insights — strategic interaction</w:t>
      </w:r>
    </w:p>
    <w:p>
      <w:pPr>
        <w:spacing w:before="40" w:after="140"/>
        <w:ind w:left="173"/>
        <w:shd w:val="clear" w:color="auto" w:fill="EAF1F8"/>
        <w:pBdr>
          <w:left w:val="single" w:sz="18" w:space="4" w:color="1F4E79"/>
        </w:pBdr>
      </w:pPr>
      <w:r>
        <w:rPr>
          <w:b/>
          <w:color w:val="184A71"/>
          <w:sz w:val="20"/>
        </w:rPr>
        <w:t xml:space="preserve">The core game: rational, mutually assured enclosure.  </w:t>
      </w:r>
      <w:r>
        <w:rPr>
          <w:color w:val="1A2B3C"/>
          <w:sz w:val="20"/>
        </w:rPr>
        <w:t>The Hardware–Cloud Providers equilibrium (Open Access, Proprietary Stack) is a classic mutual-defection trap: each side walls off its customer base because the other would capture the full ecosystem if it stayed open. It is 'Coordination Failure': individually rational, jointly destructive. Neither player can unilaterally open up without conceding rents, so the lock-in persists even though a cooperative (open/interoperable) outcome would raise combined welfare by $58.6B (efficiency 94.9%).</w:t>
      </w:r>
    </w:p>
    <w:p>
      <w:pPr>
        <w:spacing w:before="40" w:after="140"/>
        <w:ind w:left="173"/>
        <w:shd w:val="clear" w:color="auto" w:fill="EAF1F8"/>
        <w:pBdr>
          <w:left w:val="single" w:sz="18" w:space="4" w:color="1F4E79"/>
        </w:pBdr>
      </w:pPr>
      <w:r>
        <w:rPr>
          <w:b/>
          <w:color w:val="184A71"/>
          <w:sz w:val="20"/>
        </w:rPr>
        <w:t xml:space="preserve">Beyond the core: the rest of the game landscape.  </w:t>
      </w:r>
      <w:r>
        <w:rPr>
          <w:color w:val="1A2B3C"/>
          <w:sz w:val="20"/>
        </w:rPr>
        <w:t>Across all six games the type distribution is Coordination Failure ×5; Dominant Strategy NE (Inefficient) ×1. The largest secondary loss is Hardware-LLM Wrappers ($247.0B, about 422% of the core game's $58.6B) — the welfare problem is concentrated, not diffuse. Next: Hardware-Foundation Models ($205.6B). For publication purposes this concentration is a feature: a single-bottleneck diagnosis yields a falsifiable claim (fix the infrastructure game, recover most of the welfare) rather than a vague 'markets are inefficient' verdict.</w:t>
      </w:r>
    </w:p>
    <w:tbl>
      <w:tblPr>
        <w:tblStyle w:val="TableGrid"/>
        <w:tblW w:type="auto" w:w="0"/>
        <w:tblLayout w:type="autofit"/>
        <w:tblLook w:firstColumn="1" w:firstRow="1" w:lastColumn="0" w:lastRow="0" w:noHBand="0" w:noVBand="1" w:val="04A0"/>
      </w:tblPr>
      <w:tblGrid>
        <w:gridCol w:w="4680"/>
        <w:gridCol w:w="4680"/>
      </w:tblGrid>
      <w:tr>
        <w:tc>
          <w:tcPr>
            <w:tcW w:type="dxa" w:w="1800"/>
            <w:shd w:val="clear" w:color="auto" w:fill="EDF1F5"/>
          </w:tcPr>
          <w:p>
            <w:r/>
            <w:r>
              <w:rPr>
                <w:b/>
                <w:color w:val="2C3E50"/>
                <w:sz w:val="20"/>
              </w:rPr>
              <w:t>Module</w:t>
            </w:r>
          </w:p>
        </w:tc>
        <w:tc>
          <w:tcPr>
            <w:tcW w:type="dxa" w:w="7560"/>
          </w:tcPr>
          <w:p>
            <w:r/>
            <w:r>
              <w:rPr>
                <w:sz w:val="20"/>
              </w:rPr>
              <w:t>GameTheoryFramework, CoordinationFailureAnalyzer</w:t>
            </w:r>
          </w:p>
        </w:tc>
      </w:tr>
      <w:tr>
        <w:tc>
          <w:tcPr>
            <w:tcW w:type="dxa" w:w="1800"/>
            <w:shd w:val="clear" w:color="auto" w:fill="EDF1F5"/>
          </w:tcPr>
          <w:p>
            <w:r/>
            <w:r>
              <w:rPr>
                <w:b/>
                <w:color w:val="2C3E50"/>
                <w:sz w:val="20"/>
              </w:rPr>
              <w:t>Outputs</w:t>
            </w:r>
          </w:p>
        </w:tc>
        <w:tc>
          <w:tcPr>
            <w:tcW w:type="dxa" w:w="7560"/>
          </w:tcPr>
          <w:p>
            <w:r/>
            <w:r>
              <w:rPr>
                <w:sz w:val="20"/>
              </w:rPr>
              <w:t>Tables 3.1, 3.2 (payoff matrices), 3.4 (equilibrium &amp; DWL); Figures 5 (all matrices), 6 (core game).</w:t>
            </w:r>
          </w:p>
        </w:tc>
      </w:tr>
      <w:tr>
        <w:tc>
          <w:tcPr>
            <w:tcW w:type="dxa" w:w="1800"/>
            <w:shd w:val="clear" w:color="auto" w:fill="EDF1F5"/>
          </w:tcPr>
          <w:p>
            <w:r/>
            <w:r>
              <w:rPr>
                <w:b/>
                <w:color w:val="2C3E50"/>
                <w:sz w:val="20"/>
              </w:rPr>
              <w:t>Inference</w:t>
            </w:r>
          </w:p>
        </w:tc>
        <w:tc>
          <w:tcPr>
            <w:tcW w:type="dxa" w:w="7560"/>
          </w:tcPr>
          <w:p>
            <w:r/>
            <w:r>
              <w:rPr>
                <w:sz w:val="20"/>
              </w:rPr>
              <w:t>Core equilibrium (Open Access / Proprietary Stack) wastes $58.6B; 0 of 6 games are pure Prisoner's Dilemmas — failure is concentrated in the infrastructure layer, not diffuse.</w:t>
            </w:r>
          </w:p>
        </w:tc>
      </w:tr>
      <w:tr>
        <w:tc>
          <w:tcPr>
            <w:tcW w:type="dxa" w:w="1800"/>
            <w:shd w:val="clear" w:color="auto" w:fill="EDF1F5"/>
          </w:tcPr>
          <w:p>
            <w:r/>
            <w:r>
              <w:rPr>
                <w:b/>
                <w:color w:val="2C3E50"/>
                <w:sz w:val="20"/>
              </w:rPr>
              <w:t>Implication</w:t>
            </w:r>
          </w:p>
        </w:tc>
        <w:tc>
          <w:tcPr>
            <w:tcW w:type="dxa" w:w="7560"/>
          </w:tcPr>
          <w:p>
            <w:r/>
            <w:r>
              <w:rPr>
                <w:sz w:val="20"/>
              </w:rPr>
              <w:t>Regulate the bottleneck, not the ecosystem: a single-game diagnosis gives a falsifiable claim (fix the core game, recover most welfare) instead of blanket platform rules.</w:t>
            </w:r>
          </w:p>
        </w:tc>
      </w:tr>
    </w:tbl>
    <w:p>
      <w:pPr>
        <w:spacing w:after="80"/>
      </w:pPr>
    </w:p>
    <w:p>
      <w:pPr>
        <w:keepNext/>
        <w:spacing w:before="200" w:after="40"/>
      </w:pPr>
      <w:r>
        <w:rPr>
          <w:b/>
          <w:color w:val="2C3E50"/>
          <w:sz w:val="20"/>
        </w:rPr>
        <w:t>Table 3.1: Cloud vs Foundation Payoff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P1_Strategy (Cloud Providers)</w:t>
            </w:r>
          </w:p>
        </w:tc>
        <w:tc>
          <w:tcPr>
            <w:tcW w:type="dxa" w:w="3120"/>
            <w:tblHeader w:val="true"/>
            <w:shd w:val="clear" w:color="auto" w:fill="2C3E50"/>
          </w:tcPr>
          <w:p>
            <w:pPr>
              <w:jc w:val="center"/>
            </w:pPr>
            <w:r/>
            <w:r>
              <w:rPr>
                <w:b/>
                <w:color w:val="FFFFFF"/>
                <w:sz w:val="20"/>
              </w:rPr>
              <w:t>P2: Collaborate API (P1, P2)</w:t>
            </w:r>
          </w:p>
        </w:tc>
        <w:tc>
          <w:tcPr>
            <w:tcW w:type="dxa" w:w="3120"/>
            <w:tblHeader w:val="true"/>
            <w:shd w:val="clear" w:color="auto" w:fill="2C3E50"/>
          </w:tcPr>
          <w:p>
            <w:pPr>
              <w:jc w:val="center"/>
            </w:pPr>
            <w:r/>
            <w:r>
              <w:rPr>
                <w:b/>
                <w:color w:val="FFFFFF"/>
                <w:sz w:val="20"/>
              </w:rPr>
              <w:t>P2: Exclusive Model (P1, P2)</w:t>
            </w:r>
          </w:p>
        </w:tc>
      </w:tr>
      <w:tr>
        <w:tc>
          <w:tcPr>
            <w:tcW w:type="dxa" w:w="3120"/>
          </w:tcPr>
          <w:p>
            <w:pPr>
              <w:spacing w:after="0"/>
            </w:pPr>
            <w:r/>
            <w:r>
              <w:rPr>
                <w:sz w:val="19"/>
              </w:rPr>
              <w:t>Interoperable Stack</w:t>
            </w:r>
          </w:p>
        </w:tc>
        <w:tc>
          <w:tcPr>
            <w:tcW w:type="dxa" w:w="3120"/>
          </w:tcPr>
          <w:p>
            <w:pPr>
              <w:spacing w:after="0"/>
            </w:pPr>
            <w:r/>
            <w:r>
              <w:rPr>
                <w:sz w:val="19"/>
              </w:rPr>
              <w:t>(523.1, 133.6)</w:t>
            </w:r>
          </w:p>
        </w:tc>
        <w:tc>
          <w:tcPr>
            <w:tcW w:type="dxa" w:w="3120"/>
          </w:tcPr>
          <w:p>
            <w:pPr>
              <w:spacing w:after="0"/>
            </w:pPr>
            <w:r/>
            <w:r>
              <w:rPr>
                <w:sz w:val="19"/>
              </w:rPr>
              <w:t>(459.0, 145.1)</w:t>
            </w:r>
          </w:p>
        </w:tc>
      </w:tr>
      <w:tr>
        <w:tc>
          <w:tcPr>
            <w:tcW w:type="dxa" w:w="3120"/>
            <w:shd w:val="clear" w:color="auto" w:fill="EDF1F5"/>
          </w:tcPr>
          <w:p>
            <w:pPr>
              <w:spacing w:after="0"/>
            </w:pPr>
            <w:r/>
            <w:r>
              <w:rPr>
                <w:sz w:val="19"/>
              </w:rPr>
              <w:t>Proprietary Stack</w:t>
            </w:r>
          </w:p>
        </w:tc>
        <w:tc>
          <w:tcPr>
            <w:tcW w:type="dxa" w:w="3120"/>
            <w:shd w:val="clear" w:color="auto" w:fill="EDF1F5"/>
          </w:tcPr>
          <w:p>
            <w:pPr>
              <w:spacing w:after="0"/>
            </w:pPr>
            <w:r/>
            <w:r>
              <w:rPr>
                <w:sz w:val="19"/>
              </w:rPr>
              <w:t>(646.5, 98.9)</w:t>
            </w:r>
          </w:p>
        </w:tc>
        <w:tc>
          <w:tcPr>
            <w:tcW w:type="dxa" w:w="3120"/>
            <w:shd w:val="clear" w:color="auto" w:fill="EDF1F5"/>
          </w:tcPr>
          <w:p>
            <w:pPr>
              <w:spacing w:after="0"/>
            </w:pPr>
            <w:r/>
            <w:r>
              <w:rPr>
                <w:sz w:val="19"/>
              </w:rPr>
              <w:t>(417.0, 106.5)</w:t>
            </w:r>
          </w:p>
        </w:tc>
      </w:tr>
    </w:tbl>
    <w:p>
      <w:pPr>
        <w:spacing w:after="80"/>
      </w:pPr>
      <w:r>
        <w:rPr>
          <w:sz w:val="4"/>
        </w:rPr>
      </w:r>
    </w:p>
    <w:p>
      <w:pPr>
        <w:keepNext/>
        <w:spacing w:before="200" w:after="40"/>
      </w:pPr>
      <w:r>
        <w:rPr>
          <w:b/>
          <w:color w:val="2C3E50"/>
          <w:sz w:val="20"/>
        </w:rPr>
        <w:t>Table 3.2: Hardware vs Cloud Payoff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P1_Strategy (Hardware)</w:t>
            </w:r>
          </w:p>
        </w:tc>
        <w:tc>
          <w:tcPr>
            <w:tcW w:type="dxa" w:w="3120"/>
            <w:tblHeader w:val="true"/>
            <w:shd w:val="clear" w:color="auto" w:fill="2C3E50"/>
          </w:tcPr>
          <w:p>
            <w:pPr>
              <w:jc w:val="center"/>
            </w:pPr>
            <w:r/>
            <w:r>
              <w:rPr>
                <w:b/>
                <w:color w:val="FFFFFF"/>
                <w:sz w:val="20"/>
              </w:rPr>
              <w:t>P2: Interoperable Stack (P1, P2)</w:t>
            </w:r>
          </w:p>
        </w:tc>
        <w:tc>
          <w:tcPr>
            <w:tcW w:type="dxa" w:w="3120"/>
            <w:tblHeader w:val="true"/>
            <w:shd w:val="clear" w:color="auto" w:fill="2C3E50"/>
          </w:tcPr>
          <w:p>
            <w:pPr>
              <w:jc w:val="center"/>
            </w:pPr>
            <w:r/>
            <w:r>
              <w:rPr>
                <w:b/>
                <w:color w:val="FFFFFF"/>
                <w:sz w:val="20"/>
              </w:rPr>
              <w:t>P2: Proprietary Stack (P1, P2)</w:t>
            </w:r>
          </w:p>
        </w:tc>
      </w:tr>
      <w:tr>
        <w:tc>
          <w:tcPr>
            <w:tcW w:type="dxa" w:w="3120"/>
          </w:tcPr>
          <w:p>
            <w:pPr>
              <w:spacing w:after="0"/>
            </w:pPr>
            <w:r/>
            <w:r>
              <w:rPr>
                <w:sz w:val="19"/>
              </w:rPr>
              <w:t>Open Access</w:t>
            </w:r>
          </w:p>
        </w:tc>
        <w:tc>
          <w:tcPr>
            <w:tcW w:type="dxa" w:w="3120"/>
          </w:tcPr>
          <w:p>
            <w:pPr>
              <w:spacing w:after="0"/>
            </w:pPr>
            <w:r/>
            <w:r>
              <w:rPr>
                <w:sz w:val="19"/>
              </w:rPr>
              <w:t>(559.2, 491.0)</w:t>
            </w:r>
          </w:p>
        </w:tc>
        <w:tc>
          <w:tcPr>
            <w:tcW w:type="dxa" w:w="3120"/>
          </w:tcPr>
          <w:p>
            <w:pPr>
              <w:spacing w:after="0"/>
            </w:pPr>
            <w:r/>
            <w:r>
              <w:rPr>
                <w:sz w:val="19"/>
              </w:rPr>
              <w:t>(487.9, 606.8)</w:t>
            </w:r>
          </w:p>
        </w:tc>
      </w:tr>
      <w:tr>
        <w:tc>
          <w:tcPr>
            <w:tcW w:type="dxa" w:w="3120"/>
            <w:shd w:val="clear" w:color="auto" w:fill="EDF1F5"/>
          </w:tcPr>
          <w:p>
            <w:pPr>
              <w:spacing w:after="0"/>
            </w:pPr>
            <w:r/>
            <w:r>
              <w:rPr>
                <w:sz w:val="19"/>
              </w:rPr>
              <w:t>Walled Garden</w:t>
            </w:r>
          </w:p>
        </w:tc>
        <w:tc>
          <w:tcPr>
            <w:tcW w:type="dxa" w:w="3120"/>
            <w:shd w:val="clear" w:color="auto" w:fill="EDF1F5"/>
          </w:tcPr>
          <w:p>
            <w:pPr>
              <w:spacing w:after="0"/>
            </w:pPr>
            <w:r/>
            <w:r>
              <w:rPr>
                <w:sz w:val="19"/>
              </w:rPr>
              <w:t>(722.5, 430.8)</w:t>
            </w:r>
          </w:p>
        </w:tc>
        <w:tc>
          <w:tcPr>
            <w:tcW w:type="dxa" w:w="3120"/>
            <w:shd w:val="clear" w:color="auto" w:fill="EDF1F5"/>
          </w:tcPr>
          <w:p>
            <w:pPr>
              <w:spacing w:after="0"/>
            </w:pPr>
            <w:r/>
            <w:r>
              <w:rPr>
                <w:sz w:val="19"/>
              </w:rPr>
              <w:t>(475.0, 417.0)</w:t>
            </w:r>
          </w:p>
        </w:tc>
      </w:tr>
    </w:tbl>
    <w:p>
      <w:pPr>
        <w:spacing w:after="80"/>
      </w:pPr>
      <w:r>
        <w:rPr>
          <w:sz w:val="4"/>
        </w:rPr>
      </w:r>
    </w:p>
    <w:p>
      <w:pPr>
        <w:keepNext/>
        <w:spacing w:before="200" w:after="40"/>
      </w:pPr>
      <w:r>
        <w:rPr>
          <w:b/>
          <w:color w:val="2C3E50"/>
          <w:sz w:val="20"/>
        </w:rPr>
        <w:t>Table 3.4: Core-Game Equilibrium, Coordination &amp; DWL</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Core Game Nash Strategies (P1, P2)</w:t>
            </w:r>
          </w:p>
        </w:tc>
        <w:tc>
          <w:tcPr>
            <w:tcW w:type="dxa" w:w="4680"/>
          </w:tcPr>
          <w:p>
            <w:pPr>
              <w:spacing w:after="0"/>
            </w:pPr>
            <w:r/>
            <w:r>
              <w:rPr>
                <w:sz w:val="19"/>
              </w:rPr>
              <w:t>(Open Access, Proprietary Stack)</w:t>
            </w:r>
          </w:p>
        </w:tc>
      </w:tr>
      <w:tr>
        <w:tc>
          <w:tcPr>
            <w:tcW w:type="dxa" w:w="4680"/>
            <w:shd w:val="clear" w:color="auto" w:fill="EDF1F5"/>
          </w:tcPr>
          <w:p>
            <w:pPr>
              <w:spacing w:after="0"/>
            </w:pPr>
            <w:r/>
            <w:r>
              <w:rPr>
                <w:sz w:val="19"/>
              </w:rPr>
              <w:t>Core Game Nash Payoffs ($B, P1, P2)</w:t>
            </w:r>
          </w:p>
        </w:tc>
        <w:tc>
          <w:tcPr>
            <w:tcW w:type="dxa" w:w="4680"/>
            <w:shd w:val="clear" w:color="auto" w:fill="EDF1F5"/>
          </w:tcPr>
          <w:p>
            <w:pPr>
              <w:spacing w:after="0"/>
            </w:pPr>
            <w:r/>
            <w:r>
              <w:rPr>
                <w:sz w:val="19"/>
              </w:rPr>
              <w:t>(487.94, 606.82)</w:t>
            </w:r>
          </w:p>
        </w:tc>
      </w:tr>
      <w:tr>
        <w:tc>
          <w:tcPr>
            <w:tcW w:type="dxa" w:w="4680"/>
          </w:tcPr>
          <w:p>
            <w:pPr>
              <w:spacing w:after="0"/>
            </w:pPr>
            <w:r/>
            <w:r>
              <w:rPr>
                <w:sz w:val="19"/>
              </w:rPr>
              <w:t>Core Game Nash Total Welfare ($B)</w:t>
            </w:r>
          </w:p>
        </w:tc>
        <w:tc>
          <w:tcPr>
            <w:tcW w:type="dxa" w:w="4680"/>
          </w:tcPr>
          <w:p>
            <w:pPr>
              <w:spacing w:after="0"/>
            </w:pPr>
            <w:r/>
            <w:r>
              <w:rPr>
                <w:sz w:val="19"/>
              </w:rPr>
              <w:t>1094.76</w:t>
            </w:r>
          </w:p>
        </w:tc>
      </w:tr>
      <w:tr>
        <w:tc>
          <w:tcPr>
            <w:tcW w:type="dxa" w:w="4680"/>
            <w:shd w:val="clear" w:color="auto" w:fill="EDF1F5"/>
          </w:tcPr>
          <w:p>
            <w:pPr>
              <w:spacing w:after="0"/>
            </w:pPr>
            <w:r/>
            <w:r>
              <w:rPr>
                <w:sz w:val="19"/>
              </w:rPr>
              <w:t>Core Game Pareto Strategies (P1, P2)</w:t>
            </w:r>
          </w:p>
        </w:tc>
        <w:tc>
          <w:tcPr>
            <w:tcW w:type="dxa" w:w="4680"/>
            <w:shd w:val="clear" w:color="auto" w:fill="EDF1F5"/>
          </w:tcPr>
          <w:p>
            <w:pPr>
              <w:spacing w:after="0"/>
            </w:pPr>
            <w:r/>
            <w:r>
              <w:rPr>
                <w:sz w:val="19"/>
              </w:rPr>
              <w:t>(Walled Garden, Interoperable Stack)</w:t>
            </w:r>
          </w:p>
        </w:tc>
      </w:tr>
      <w:tr>
        <w:tc>
          <w:tcPr>
            <w:tcW w:type="dxa" w:w="4680"/>
          </w:tcPr>
          <w:p>
            <w:pPr>
              <w:spacing w:after="0"/>
            </w:pPr>
            <w:r/>
            <w:r>
              <w:rPr>
                <w:sz w:val="19"/>
              </w:rPr>
              <w:t>Core Game Pareto Total Welfare ($B)</w:t>
            </w:r>
          </w:p>
        </w:tc>
        <w:tc>
          <w:tcPr>
            <w:tcW w:type="dxa" w:w="4680"/>
          </w:tcPr>
          <w:p>
            <w:pPr>
              <w:spacing w:after="0"/>
            </w:pPr>
            <w:r/>
            <w:r>
              <w:rPr>
                <w:sz w:val="19"/>
              </w:rPr>
              <w:t>1153.35</w:t>
            </w:r>
          </w:p>
        </w:tc>
      </w:tr>
      <w:tr>
        <w:tc>
          <w:tcPr>
            <w:tcW w:type="dxa" w:w="4680"/>
            <w:shd w:val="clear" w:color="auto" w:fill="EDF1F5"/>
          </w:tcPr>
          <w:p>
            <w:pPr>
              <w:spacing w:after="0"/>
            </w:pPr>
            <w:r/>
            <w:r>
              <w:rPr>
                <w:sz w:val="19"/>
              </w:rPr>
              <w:t>Core Game Efficiency Ratio (%)</w:t>
            </w:r>
          </w:p>
        </w:tc>
        <w:tc>
          <w:tcPr>
            <w:tcW w:type="dxa" w:w="4680"/>
            <w:shd w:val="clear" w:color="auto" w:fill="EDF1F5"/>
          </w:tcPr>
          <w:p>
            <w:pPr>
              <w:spacing w:after="0"/>
            </w:pPr>
            <w:r/>
            <w:r>
              <w:rPr>
                <w:sz w:val="19"/>
              </w:rPr>
              <w:t>94.92</w:t>
            </w:r>
          </w:p>
        </w:tc>
      </w:tr>
      <w:tr>
        <w:tc>
          <w:tcPr>
            <w:tcW w:type="dxa" w:w="4680"/>
          </w:tcPr>
          <w:p>
            <w:pPr>
              <w:spacing w:after="0"/>
            </w:pPr>
            <w:r/>
            <w:r>
              <w:rPr>
                <w:sz w:val="19"/>
              </w:rPr>
              <w:t>Core Game Deadweight Loss ($B)</w:t>
            </w:r>
          </w:p>
        </w:tc>
        <w:tc>
          <w:tcPr>
            <w:tcW w:type="dxa" w:w="4680"/>
          </w:tcPr>
          <w:p>
            <w:pPr>
              <w:spacing w:after="0"/>
            </w:pPr>
            <w:r/>
            <w:r>
              <w:rPr>
                <w:sz w:val="19"/>
              </w:rPr>
              <w:t>58.59</w:t>
            </w:r>
          </w:p>
        </w:tc>
      </w:tr>
      <w:tr>
        <w:tc>
          <w:tcPr>
            <w:tcW w:type="dxa" w:w="4680"/>
            <w:shd w:val="clear" w:color="auto" w:fill="EDF1F5"/>
          </w:tcPr>
          <w:p>
            <w:pPr>
              <w:spacing w:after="0"/>
            </w:pPr>
            <w:r/>
            <w:r>
              <w:rPr>
                <w:sz w:val="19"/>
              </w:rPr>
              <w:t>Aggregate Deadweight Loss ($B)</w:t>
            </w:r>
          </w:p>
        </w:tc>
        <w:tc>
          <w:tcPr>
            <w:tcW w:type="dxa" w:w="4680"/>
            <w:shd w:val="clear" w:color="auto" w:fill="EDF1F5"/>
          </w:tcPr>
          <w:p>
            <w:pPr>
              <w:spacing w:after="0"/>
            </w:pPr>
            <w:r/>
            <w:r>
              <w:rPr>
                <w:sz w:val="19"/>
              </w:rPr>
              <w:t>416.77</w:t>
            </w:r>
          </w:p>
        </w:tc>
      </w:tr>
      <w:tr>
        <w:tc>
          <w:tcPr>
            <w:tcW w:type="dxa" w:w="4680"/>
          </w:tcPr>
          <w:p>
            <w:pPr>
              <w:spacing w:after="0"/>
            </w:pPr>
            <w:r/>
            <w:r>
              <w:rPr>
                <w:sz w:val="19"/>
              </w:rPr>
              <w:t>Aggregate Efficiency (%)</w:t>
            </w:r>
          </w:p>
        </w:tc>
        <w:tc>
          <w:tcPr>
            <w:tcW w:type="dxa" w:w="4680"/>
          </w:tcPr>
          <w:p>
            <w:pPr>
              <w:spacing w:after="0"/>
            </w:pPr>
            <w:r/>
            <w:r>
              <w:rPr>
                <w:sz w:val="19"/>
              </w:rPr>
              <w:t>71.28</w:t>
            </w:r>
          </w:p>
        </w:tc>
      </w:tr>
      <w:tr>
        <w:tc>
          <w:tcPr>
            <w:tcW w:type="dxa" w:w="4680"/>
            <w:shd w:val="clear" w:color="auto" w:fill="EDF1F5"/>
          </w:tcPr>
          <w:p>
            <w:pPr>
              <w:spacing w:after="0"/>
            </w:pPr>
            <w:r/>
            <w:r>
              <w:rPr>
                <w:sz w:val="19"/>
              </w:rPr>
              <w:t>Core Game Coordination Failure?</w:t>
            </w:r>
          </w:p>
        </w:tc>
        <w:tc>
          <w:tcPr>
            <w:tcW w:type="dxa" w:w="4680"/>
            <w:shd w:val="clear" w:color="auto" w:fill="EDF1F5"/>
          </w:tcPr>
          <w:p>
            <w:pPr>
              <w:spacing w:after="0"/>
            </w:pPr>
            <w:r/>
            <w:r>
              <w:rPr>
                <w:sz w:val="19"/>
              </w:rPr>
              <w:t>True</w:t>
            </w:r>
          </w:p>
        </w:tc>
      </w:tr>
      <w:tr>
        <w:tc>
          <w:tcPr>
            <w:tcW w:type="dxa" w:w="4680"/>
          </w:tcPr>
          <w:p>
            <w:pPr>
              <w:spacing w:after="0"/>
            </w:pPr>
            <w:r/>
            <w:r>
              <w:rPr>
                <w:sz w:val="19"/>
              </w:rPr>
              <w:t>Core Game Failure Severity</w:t>
            </w:r>
          </w:p>
        </w:tc>
        <w:tc>
          <w:tcPr>
            <w:tcW w:type="dxa" w:w="4680"/>
          </w:tcPr>
          <w:p>
            <w:pPr>
              <w:spacing w:after="0"/>
            </w:pPr>
            <w:r/>
            <w:r>
              <w:rPr>
                <w:sz w:val="19"/>
              </w:rPr>
              <w:t>Moderate</w:t>
            </w:r>
          </w:p>
        </w:tc>
      </w:tr>
      <w:tr>
        <w:tc>
          <w:tcPr>
            <w:tcW w:type="dxa" w:w="4680"/>
            <w:shd w:val="clear" w:color="auto" w:fill="EDF1F5"/>
          </w:tcPr>
          <w:p>
            <w:pPr>
              <w:spacing w:after="0"/>
            </w:pPr>
            <w:r/>
            <w:r>
              <w:rPr>
                <w:sz w:val="19"/>
              </w:rPr>
              <w:t>Coordination Failures DWL Source ($B)</w:t>
            </w:r>
          </w:p>
        </w:tc>
        <w:tc>
          <w:tcPr>
            <w:tcW w:type="dxa" w:w="4680"/>
            <w:shd w:val="clear" w:color="auto" w:fill="EDF1F5"/>
          </w:tcPr>
          <w:p>
            <w:pPr>
              <w:spacing w:after="0"/>
            </w:pPr>
            <w:r/>
            <w:r>
              <w:rPr>
                <w:sz w:val="19"/>
              </w:rPr>
              <w:t>60.01</w:t>
            </w:r>
          </w:p>
        </w:tc>
      </w:tr>
      <w:tr>
        <w:tc>
          <w:tcPr>
            <w:tcW w:type="dxa" w:w="4680"/>
          </w:tcPr>
          <w:p>
            <w:pPr>
              <w:spacing w:after="0"/>
            </w:pPr>
            <w:r/>
            <w:r>
              <w:rPr>
                <w:sz w:val="19"/>
              </w:rPr>
              <w:t>Monopoly Pricing DWL Source ($B)</w:t>
            </w:r>
          </w:p>
        </w:tc>
        <w:tc>
          <w:tcPr>
            <w:tcW w:type="dxa" w:w="4680"/>
          </w:tcPr>
          <w:p>
            <w:pPr>
              <w:spacing w:after="0"/>
            </w:pPr>
            <w:r/>
            <w:r>
              <w:rPr>
                <w:sz w:val="19"/>
              </w:rPr>
              <w:t>35.86</w:t>
            </w:r>
          </w:p>
        </w:tc>
      </w:tr>
      <w:tr>
        <w:tc>
          <w:tcPr>
            <w:tcW w:type="dxa" w:w="4680"/>
            <w:shd w:val="clear" w:color="auto" w:fill="EDF1F5"/>
          </w:tcPr>
          <w:p>
            <w:pPr>
              <w:spacing w:after="0"/>
            </w:pPr>
            <w:r/>
            <w:r>
              <w:rPr>
                <w:sz w:val="19"/>
              </w:rPr>
              <w:t>Innovation Distortion DWL Source ($B)</w:t>
            </w:r>
          </w:p>
        </w:tc>
        <w:tc>
          <w:tcPr>
            <w:tcW w:type="dxa" w:w="4680"/>
            <w:shd w:val="clear" w:color="auto" w:fill="EDF1F5"/>
          </w:tcPr>
          <w:p>
            <w:pPr>
              <w:spacing w:after="0"/>
            </w:pPr>
            <w:r/>
            <w:r>
              <w:rPr>
                <w:sz w:val="19"/>
              </w:rPr>
              <w:t>106.97</w:t>
            </w:r>
          </w:p>
        </w:tc>
      </w:tr>
      <w:tr>
        <w:tc>
          <w:tcPr>
            <w:tcW w:type="dxa" w:w="4680"/>
          </w:tcPr>
          <w:p>
            <w:pPr>
              <w:spacing w:after="0"/>
            </w:pPr>
            <w:r/>
            <w:r>
              <w:rPr>
                <w:sz w:val="19"/>
              </w:rPr>
              <w:t>Quality Degradation DWL Source ($B)</w:t>
            </w:r>
          </w:p>
        </w:tc>
        <w:tc>
          <w:tcPr>
            <w:tcW w:type="dxa" w:w="4680"/>
          </w:tcPr>
          <w:p>
            <w:pPr>
              <w:spacing w:after="0"/>
            </w:pPr>
            <w:r/>
            <w:r>
              <w:rPr>
                <w:sz w:val="19"/>
              </w:rPr>
              <w:t>71.31</w:t>
            </w:r>
          </w:p>
        </w:tc>
      </w:tr>
      <w:tr>
        <w:tc>
          <w:tcPr>
            <w:tcW w:type="dxa" w:w="4680"/>
            <w:shd w:val="clear" w:color="auto" w:fill="EDF1F5"/>
          </w:tcPr>
          <w:p>
            <w:pPr>
              <w:spacing w:after="0"/>
            </w:pPr>
            <w:r/>
            <w:r>
              <w:rPr>
                <w:sz w:val="19"/>
              </w:rPr>
              <w:t>Switching Costs DWL Source ($B)</w:t>
            </w:r>
          </w:p>
        </w:tc>
        <w:tc>
          <w:tcPr>
            <w:tcW w:type="dxa" w:w="4680"/>
            <w:shd w:val="clear" w:color="auto" w:fill="EDF1F5"/>
          </w:tcPr>
          <w:p>
            <w:pPr>
              <w:spacing w:after="0"/>
            </w:pPr>
            <w:r/>
            <w:r>
              <w:rPr>
                <w:sz w:val="19"/>
              </w:rPr>
              <w:t>142.62</w:t>
            </w:r>
          </w:p>
        </w:tc>
      </w:tr>
    </w:tbl>
    <w:p>
      <w:pPr>
        <w:spacing w:after="80"/>
      </w:pPr>
      <w:r>
        <w:rPr>
          <w:sz w:val="4"/>
        </w:rPr>
      </w:r>
    </w:p>
    <w:p>
      <w:pPr>
        <w:keepNext/>
        <w:spacing w:before="160"/>
        <w:jc w:val="center"/>
      </w:pPr>
      <w:r>
        <w:drawing>
          <wp:inline xmlns:a="http://schemas.openxmlformats.org/drawingml/2006/main" xmlns:pic="http://schemas.openxmlformats.org/drawingml/2006/picture">
            <wp:extent cx="5303520" cy="3789070"/>
            <wp:docPr id="9" name="Picture 9" descr="Figure 5: Complete Matrices (schematic)"/>
            <wp:cNvGraphicFramePr>
              <a:graphicFrameLocks noChangeAspect="1"/>
            </wp:cNvGraphicFramePr>
            <a:graphic>
              <a:graphicData uri="http://schemas.openxmlformats.org/drawingml/2006/picture">
                <pic:pic>
                  <pic:nvPicPr>
                    <pic:cNvPr id="0" name="figure_5.jpg"/>
                    <pic:cNvPicPr/>
                  </pic:nvPicPr>
                  <pic:blipFill>
                    <a:blip r:embed="rId19"/>
                    <a:stretch>
                      <a:fillRect/>
                    </a:stretch>
                  </pic:blipFill>
                  <pic:spPr>
                    <a:xfrm>
                      <a:off x="0" y="0"/>
                      <a:ext cx="5303520" cy="3789070"/>
                    </a:xfrm>
                    <a:prstGeom prst="rect"/>
                  </pic:spPr>
                </pic:pic>
              </a:graphicData>
            </a:graphic>
          </wp:inline>
        </w:drawing>
      </w:r>
    </w:p>
    <w:p>
      <w:pPr>
        <w:spacing w:after="200"/>
        <w:jc w:val="center"/>
      </w:pPr>
      <w:r>
        <w:rPr>
          <w:i/>
          <w:color w:val="404040"/>
          <w:sz w:val="18"/>
        </w:rPr>
        <w:t>Figure 5: Complete Matrices (schematic)</w:t>
      </w:r>
    </w:p>
    <w:p>
      <w:pPr>
        <w:keepNext/>
        <w:spacing w:before="160"/>
        <w:jc w:val="center"/>
      </w:pPr>
      <w:r>
        <w:drawing>
          <wp:inline xmlns:a="http://schemas.openxmlformats.org/drawingml/2006/main" xmlns:pic="http://schemas.openxmlformats.org/drawingml/2006/picture">
            <wp:extent cx="5760720" cy="2281885"/>
            <wp:docPr id="10" name="Picture 10" descr="Figure 6: Core Game: Equilibrium &amp; Payoffs (schematic)"/>
            <wp:cNvGraphicFramePr>
              <a:graphicFrameLocks noChangeAspect="1"/>
            </wp:cNvGraphicFramePr>
            <a:graphic>
              <a:graphicData uri="http://schemas.openxmlformats.org/drawingml/2006/picture">
                <pic:pic>
                  <pic:nvPicPr>
                    <pic:cNvPr id="0" name="figure_6.jpg"/>
                    <pic:cNvPicPr/>
                  </pic:nvPicPr>
                  <pic:blipFill>
                    <a:blip r:embed="rId20"/>
                    <a:stretch>
                      <a:fillRect/>
                    </a:stretch>
                  </pic:blipFill>
                  <pic:spPr>
                    <a:xfrm>
                      <a:off x="0" y="0"/>
                      <a:ext cx="5760720" cy="2281885"/>
                    </a:xfrm>
                    <a:prstGeom prst="rect"/>
                  </pic:spPr>
                </pic:pic>
              </a:graphicData>
            </a:graphic>
          </wp:inline>
        </w:drawing>
      </w:r>
    </w:p>
    <w:p>
      <w:pPr>
        <w:spacing w:after="200"/>
        <w:jc w:val="center"/>
      </w:pPr>
      <w:r>
        <w:rPr>
          <w:i/>
          <w:color w:val="404040"/>
          <w:sz w:val="18"/>
        </w:rPr>
        <w:t>Figure 6: Core Game: Equilibrium &amp; Payoffs (schematic)</w:t>
      </w:r>
    </w:p>
    <w:p>
      <w:pPr>
        <w:keepNext/>
        <w:spacing w:before="160"/>
        <w:jc w:val="center"/>
      </w:pPr>
      <w:r>
        <w:drawing>
          <wp:inline xmlns:a="http://schemas.openxmlformats.org/drawingml/2006/main" xmlns:pic="http://schemas.openxmlformats.org/drawingml/2006/picture">
            <wp:extent cx="5760720" cy="2537917"/>
            <wp:docPr id="11" name="Picture 11" descr="Figure 11: Dynamics &amp; Stability [Panels: (a), (b)]"/>
            <wp:cNvGraphicFramePr>
              <a:graphicFrameLocks noChangeAspect="1"/>
            </wp:cNvGraphicFramePr>
            <a:graphic>
              <a:graphicData uri="http://schemas.openxmlformats.org/drawingml/2006/picture">
                <pic:pic>
                  <pic:nvPicPr>
                    <pic:cNvPr id="0" name="figure_11.jpg"/>
                    <pic:cNvPicPr/>
                  </pic:nvPicPr>
                  <pic:blipFill>
                    <a:blip r:embed="rId21"/>
                    <a:stretch>
                      <a:fillRect/>
                    </a:stretch>
                  </pic:blipFill>
                  <pic:spPr>
                    <a:xfrm>
                      <a:off x="0" y="0"/>
                      <a:ext cx="5760720" cy="2537917"/>
                    </a:xfrm>
                    <a:prstGeom prst="rect"/>
                  </pic:spPr>
                </pic:pic>
              </a:graphicData>
            </a:graphic>
          </wp:inline>
        </w:drawing>
      </w:r>
    </w:p>
    <w:p>
      <w:pPr>
        <w:spacing w:after="200"/>
        <w:jc w:val="center"/>
      </w:pPr>
      <w:r>
        <w:rPr>
          <w:i/>
          <w:color w:val="404040"/>
          <w:sz w:val="18"/>
        </w:rPr>
        <w:t>Figure 11: Dynamics &amp; Stability [Panels: (a), (b)]</w:t>
      </w:r>
    </w:p>
    <w:p>
      <w:pPr>
        <w:pStyle w:val="Heading2"/>
      </w:pPr>
      <w:r>
        <w:t>Discussion: what the equilibria mean for theory</w:t>
      </w:r>
    </w:p>
    <w:p>
      <w:pPr>
        <w:pStyle w:val="ListBullet"/>
        <w:spacing w:after="40"/>
      </w:pPr>
      <w:r>
        <w:rPr>
          <w:sz w:val="21"/>
        </w:rPr>
        <w:t>Asymmetric multi-layer platforms behave differently from textbook symmetric oligopoly: Nash equilibrium exists in every bilateral game here, yet none of the 6 games reaches an efficient equilibrium — the infrastructure game included. Existence theorems transfer; welfare conclusions do not.</w:t>
      </w:r>
    </w:p>
    <w:p>
      <w:pPr>
        <w:pStyle w:val="ListBullet"/>
        <w:spacing w:after="40"/>
      </w:pPr>
      <w:r>
        <w:rPr>
          <w:sz w:val="21"/>
        </w:rPr>
        <w:t>Efficient local equilibria coexisting with an inefficient aggregate is the empirical face of second-best economics: with switching costs, markups, and lock-in operating simultaneously, the system can be locally stable and globally wasteful. Policy must therefore target the distortion portfolio (Section 5), not merely 'more competition' in the abstract.</w:t>
      </w:r>
    </w:p>
    <w:p>
      <w:pPr>
        <w:pStyle w:val="ListBullet"/>
        <w:spacing w:after="40"/>
      </w:pPr>
      <w:r>
        <w:rPr>
          <w:sz w:val="21"/>
        </w:rPr>
        <w:t>A repeated-game lens qualifies the one-shot result: trigger strategies can sustain cooperation where stage games trap players, so the observed Walled-Garden persistence may partly reflect punishment equilibria rather than stage-game necessity — see Limitations (9.2) and Future work (9.3).</w:t>
      </w:r>
    </w:p>
    <w:p>
      <w:r>
        <w:br w:type="page"/>
      </w:r>
    </w:p>
    <w:p>
      <w:pPr>
        <w:pStyle w:val="Heading1"/>
      </w:pPr>
      <w:r>
        <w:t>5.  Welfare, Deadweight Loss and Policy</w:t>
      </w:r>
    </w:p>
    <w:p>
      <w:pPr>
        <w:keepNext/>
        <w:spacing w:before="200" w:after="40"/>
      </w:pPr>
      <w:r>
        <w:rPr>
          <w:b/>
          <w:color w:val="2C3E50"/>
          <w:sz w:val="20"/>
        </w:rPr>
        <w:t>Exhibit 5.1  Aggregate welfare (computed by build_technical_report.py)</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Observed (Nash) welfare</w:t>
            </w:r>
          </w:p>
        </w:tc>
        <w:tc>
          <w:tcPr>
            <w:tcW w:type="dxa" w:w="4680"/>
          </w:tcPr>
          <w:p>
            <w:pPr>
              <w:spacing w:after="0"/>
            </w:pPr>
            <w:r/>
            <w:r>
              <w:rPr>
                <w:sz w:val="19"/>
              </w:rPr>
              <w:t>$1,034.50B</w:t>
            </w:r>
          </w:p>
        </w:tc>
      </w:tr>
      <w:tr>
        <w:tc>
          <w:tcPr>
            <w:tcW w:type="dxa" w:w="4680"/>
            <w:shd w:val="clear" w:color="auto" w:fill="EDF1F5"/>
          </w:tcPr>
          <w:p>
            <w:pPr>
              <w:spacing w:after="0"/>
            </w:pPr>
            <w:r/>
            <w:r>
              <w:rPr>
                <w:sz w:val="19"/>
              </w:rPr>
              <w:t>Potential joint-surplus welfare</w:t>
            </w:r>
          </w:p>
        </w:tc>
        <w:tc>
          <w:tcPr>
            <w:tcW w:type="dxa" w:w="4680"/>
            <w:shd w:val="clear" w:color="auto" w:fill="EDF1F5"/>
          </w:tcPr>
          <w:p>
            <w:pPr>
              <w:spacing w:after="0"/>
            </w:pPr>
            <w:r/>
            <w:r>
              <w:rPr>
                <w:sz w:val="19"/>
              </w:rPr>
              <w:t>$1,451.27B</w:t>
            </w:r>
          </w:p>
        </w:tc>
      </w:tr>
      <w:tr>
        <w:tc>
          <w:tcPr>
            <w:tcW w:type="dxa" w:w="4680"/>
          </w:tcPr>
          <w:p>
            <w:pPr>
              <w:spacing w:after="0"/>
            </w:pPr>
            <w:r/>
            <w:r>
              <w:rPr>
                <w:sz w:val="19"/>
              </w:rPr>
              <w:t>Aggregate deadweight loss</w:t>
            </w:r>
          </w:p>
        </w:tc>
        <w:tc>
          <w:tcPr>
            <w:tcW w:type="dxa" w:w="4680"/>
          </w:tcPr>
          <w:p>
            <w:pPr>
              <w:spacing w:after="0"/>
            </w:pPr>
            <w:r/>
            <w:r>
              <w:rPr>
                <w:sz w:val="19"/>
              </w:rPr>
              <w:t>$416.77B</w:t>
            </w:r>
          </w:p>
        </w:tc>
      </w:tr>
      <w:tr>
        <w:tc>
          <w:tcPr>
            <w:tcW w:type="dxa" w:w="4680"/>
            <w:shd w:val="clear" w:color="auto" w:fill="EDF1F5"/>
          </w:tcPr>
          <w:p>
            <w:pPr>
              <w:spacing w:after="0"/>
            </w:pPr>
            <w:r/>
            <w:r>
              <w:rPr>
                <w:sz w:val="19"/>
              </w:rPr>
              <w:t>Aggregate efficiency</w:t>
            </w:r>
          </w:p>
        </w:tc>
        <w:tc>
          <w:tcPr>
            <w:tcW w:type="dxa" w:w="4680"/>
            <w:shd w:val="clear" w:color="auto" w:fill="EDF1F5"/>
          </w:tcPr>
          <w:p>
            <w:pPr>
              <w:spacing w:after="0"/>
            </w:pPr>
            <w:r/>
            <w:r>
              <w:rPr>
                <w:sz w:val="19"/>
              </w:rPr>
              <w:t>71.28%</w:t>
            </w:r>
          </w:p>
        </w:tc>
      </w:tr>
      <w:tr>
        <w:tc>
          <w:tcPr>
            <w:tcW w:type="dxa" w:w="4680"/>
          </w:tcPr>
          <w:p>
            <w:pPr>
              <w:spacing w:after="0"/>
            </w:pPr>
            <w:r/>
            <w:r>
              <w:rPr>
                <w:sz w:val="19"/>
              </w:rPr>
              <w:t>Market-implied DWL assumption</w:t>
            </w:r>
          </w:p>
        </w:tc>
        <w:tc>
          <w:tcPr>
            <w:tcW w:type="dxa" w:w="4680"/>
          </w:tcPr>
          <w:p>
            <w:pPr>
              <w:spacing w:after="0"/>
            </w:pPr>
            <w:r/>
            <w:r>
              <w:rPr>
                <w:sz w:val="19"/>
              </w:rPr>
              <w:t>28.72%</w:t>
            </w:r>
          </w:p>
        </w:tc>
      </w:tr>
    </w:tbl>
    <w:p>
      <w:pPr>
        <w:spacing w:after="80"/>
      </w:pPr>
      <w:r>
        <w:rPr>
          <w:sz w:val="4"/>
        </w:rPr>
      </w:r>
    </w:p>
    <w:p>
      <w:pPr>
        <w:keepNext/>
        <w:spacing w:before="200" w:after="40"/>
      </w:pPr>
      <w:r>
        <w:rPr>
          <w:b/>
          <w:color w:val="2C3E50"/>
          <w:sz w:val="20"/>
        </w:rPr>
        <w:t>Exhibit 5.2  Deadweight-loss decomposition (computed by build_technical_report.py)</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Source</w:t>
            </w:r>
          </w:p>
        </w:tc>
        <w:tc>
          <w:tcPr>
            <w:tcW w:type="dxa" w:w="3120"/>
            <w:tblHeader w:val="true"/>
            <w:shd w:val="clear" w:color="auto" w:fill="2C3E50"/>
          </w:tcPr>
          <w:p>
            <w:pPr>
              <w:jc w:val="center"/>
            </w:pPr>
            <w:r/>
            <w:r>
              <w:rPr>
                <w:b/>
                <w:color w:val="FFFFFF"/>
                <w:sz w:val="20"/>
              </w:rPr>
              <w:t>DWL ($B)</w:t>
            </w:r>
          </w:p>
        </w:tc>
        <w:tc>
          <w:tcPr>
            <w:tcW w:type="dxa" w:w="3120"/>
            <w:tblHeader w:val="true"/>
            <w:shd w:val="clear" w:color="auto" w:fill="2C3E50"/>
          </w:tcPr>
          <w:p>
            <w:pPr>
              <w:jc w:val="center"/>
            </w:pPr>
            <w:r/>
            <w:r>
              <w:rPr>
                <w:b/>
                <w:color w:val="FFFFFF"/>
                <w:sz w:val="20"/>
              </w:rPr>
              <w:t>Share (%)</w:t>
            </w:r>
          </w:p>
        </w:tc>
      </w:tr>
      <w:tr>
        <w:tc>
          <w:tcPr>
            <w:tcW w:type="dxa" w:w="3120"/>
          </w:tcPr>
          <w:p>
            <w:pPr>
              <w:spacing w:after="0"/>
            </w:pPr>
            <w:r/>
            <w:r>
              <w:rPr>
                <w:sz w:val="19"/>
              </w:rPr>
              <w:t>Coordination Failures</w:t>
            </w:r>
          </w:p>
        </w:tc>
        <w:tc>
          <w:tcPr>
            <w:tcW w:type="dxa" w:w="3120"/>
          </w:tcPr>
          <w:p>
            <w:pPr>
              <w:spacing w:after="0"/>
            </w:pPr>
            <w:r/>
            <w:r>
              <w:rPr>
                <w:sz w:val="19"/>
              </w:rPr>
              <w:t>60.01</w:t>
            </w:r>
          </w:p>
        </w:tc>
        <w:tc>
          <w:tcPr>
            <w:tcW w:type="dxa" w:w="3120"/>
          </w:tcPr>
          <w:p>
            <w:pPr>
              <w:spacing w:after="0"/>
            </w:pPr>
            <w:r/>
            <w:r>
              <w:rPr>
                <w:sz w:val="19"/>
              </w:rPr>
              <w:t>14.4</w:t>
            </w:r>
          </w:p>
        </w:tc>
      </w:tr>
      <w:tr>
        <w:tc>
          <w:tcPr>
            <w:tcW w:type="dxa" w:w="3120"/>
            <w:shd w:val="clear" w:color="auto" w:fill="EDF1F5"/>
          </w:tcPr>
          <w:p>
            <w:pPr>
              <w:spacing w:after="0"/>
            </w:pPr>
            <w:r/>
            <w:r>
              <w:rPr>
                <w:sz w:val="19"/>
              </w:rPr>
              <w:t>Monopoly Pricing</w:t>
            </w:r>
          </w:p>
        </w:tc>
        <w:tc>
          <w:tcPr>
            <w:tcW w:type="dxa" w:w="3120"/>
            <w:shd w:val="clear" w:color="auto" w:fill="EDF1F5"/>
          </w:tcPr>
          <w:p>
            <w:pPr>
              <w:spacing w:after="0"/>
            </w:pPr>
            <w:r/>
            <w:r>
              <w:rPr>
                <w:sz w:val="19"/>
              </w:rPr>
              <w:t>35.86</w:t>
            </w:r>
          </w:p>
        </w:tc>
        <w:tc>
          <w:tcPr>
            <w:tcW w:type="dxa" w:w="3120"/>
            <w:shd w:val="clear" w:color="auto" w:fill="EDF1F5"/>
          </w:tcPr>
          <w:p>
            <w:pPr>
              <w:spacing w:after="0"/>
            </w:pPr>
            <w:r/>
            <w:r>
              <w:rPr>
                <w:sz w:val="19"/>
              </w:rPr>
              <w:t>8.6</w:t>
            </w:r>
          </w:p>
        </w:tc>
      </w:tr>
      <w:tr>
        <w:tc>
          <w:tcPr>
            <w:tcW w:type="dxa" w:w="3120"/>
          </w:tcPr>
          <w:p>
            <w:pPr>
              <w:spacing w:after="0"/>
            </w:pPr>
            <w:r/>
            <w:r>
              <w:rPr>
                <w:sz w:val="19"/>
              </w:rPr>
              <w:t>Innovation Distortion</w:t>
            </w:r>
          </w:p>
        </w:tc>
        <w:tc>
          <w:tcPr>
            <w:tcW w:type="dxa" w:w="3120"/>
          </w:tcPr>
          <w:p>
            <w:pPr>
              <w:spacing w:after="0"/>
            </w:pPr>
            <w:r/>
            <w:r>
              <w:rPr>
                <w:sz w:val="19"/>
              </w:rPr>
              <w:t>106.97</w:t>
            </w:r>
          </w:p>
        </w:tc>
        <w:tc>
          <w:tcPr>
            <w:tcW w:type="dxa" w:w="3120"/>
          </w:tcPr>
          <w:p>
            <w:pPr>
              <w:spacing w:after="0"/>
            </w:pPr>
            <w:r/>
            <w:r>
              <w:rPr>
                <w:sz w:val="19"/>
              </w:rPr>
              <w:t>25.7</w:t>
            </w:r>
          </w:p>
        </w:tc>
      </w:tr>
      <w:tr>
        <w:tc>
          <w:tcPr>
            <w:tcW w:type="dxa" w:w="3120"/>
            <w:shd w:val="clear" w:color="auto" w:fill="EDF1F5"/>
          </w:tcPr>
          <w:p>
            <w:pPr>
              <w:spacing w:after="0"/>
            </w:pPr>
            <w:r/>
            <w:r>
              <w:rPr>
                <w:sz w:val="19"/>
              </w:rPr>
              <w:t>Quality Degradation</w:t>
            </w:r>
          </w:p>
        </w:tc>
        <w:tc>
          <w:tcPr>
            <w:tcW w:type="dxa" w:w="3120"/>
            <w:shd w:val="clear" w:color="auto" w:fill="EDF1F5"/>
          </w:tcPr>
          <w:p>
            <w:pPr>
              <w:spacing w:after="0"/>
            </w:pPr>
            <w:r/>
            <w:r>
              <w:rPr>
                <w:sz w:val="19"/>
              </w:rPr>
              <w:t>71.31</w:t>
            </w:r>
          </w:p>
        </w:tc>
        <w:tc>
          <w:tcPr>
            <w:tcW w:type="dxa" w:w="3120"/>
            <w:shd w:val="clear" w:color="auto" w:fill="EDF1F5"/>
          </w:tcPr>
          <w:p>
            <w:pPr>
              <w:spacing w:after="0"/>
            </w:pPr>
            <w:r/>
            <w:r>
              <w:rPr>
                <w:sz w:val="19"/>
              </w:rPr>
              <w:t>17.1</w:t>
            </w:r>
          </w:p>
        </w:tc>
      </w:tr>
      <w:tr>
        <w:tc>
          <w:tcPr>
            <w:tcW w:type="dxa" w:w="3120"/>
          </w:tcPr>
          <w:p>
            <w:pPr>
              <w:spacing w:after="0"/>
            </w:pPr>
            <w:r/>
            <w:r>
              <w:rPr>
                <w:sz w:val="19"/>
              </w:rPr>
              <w:t>Switching Costs</w:t>
            </w:r>
          </w:p>
        </w:tc>
        <w:tc>
          <w:tcPr>
            <w:tcW w:type="dxa" w:w="3120"/>
          </w:tcPr>
          <w:p>
            <w:pPr>
              <w:spacing w:after="0"/>
            </w:pPr>
            <w:r/>
            <w:r>
              <w:rPr>
                <w:sz w:val="19"/>
              </w:rPr>
              <w:t>142.62</w:t>
            </w:r>
          </w:p>
        </w:tc>
        <w:tc>
          <w:tcPr>
            <w:tcW w:type="dxa" w:w="3120"/>
          </w:tcPr>
          <w:p>
            <w:pPr>
              <w:spacing w:after="0"/>
            </w:pPr>
            <w:r/>
            <w:r>
              <w:rPr>
                <w:sz w:val="19"/>
              </w:rPr>
              <w:t>34.2</w:t>
            </w:r>
          </w:p>
        </w:tc>
      </w:tr>
    </w:tbl>
    <w:p>
      <w:pPr>
        <w:spacing w:after="80"/>
      </w:pPr>
      <w:r>
        <w:rPr>
          <w:sz w:val="4"/>
        </w:rPr>
      </w:r>
    </w:p>
    <w:p>
      <w:pPr>
        <w:keepNext/>
        <w:spacing w:before="200" w:after="40"/>
      </w:pPr>
      <w:r>
        <w:rPr>
          <w:b/>
          <w:color w:val="2C3E50"/>
          <w:sz w:val="20"/>
        </w:rPr>
        <w:t>Exhibit 5.2b  Policy interventions ranked by base-scenario net benefit (ai_ecosystem_model.py enhancement output)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Policy</w:t>
            </w:r>
          </w:p>
        </w:tc>
        <w:tc>
          <w:tcPr>
            <w:tcW w:type="dxa" w:w="1872"/>
            <w:tblHeader w:val="true"/>
            <w:shd w:val="clear" w:color="auto" w:fill="2C3E50"/>
          </w:tcPr>
          <w:p>
            <w:pPr>
              <w:jc w:val="center"/>
            </w:pPr>
            <w:r/>
            <w:r>
              <w:rPr>
                <w:b/>
                <w:color w:val="FFFFFF"/>
                <w:sz w:val="18"/>
              </w:rPr>
              <w:t>DWL reduction ($B)</w:t>
            </w:r>
          </w:p>
        </w:tc>
        <w:tc>
          <w:tcPr>
            <w:tcW w:type="dxa" w:w="1872"/>
            <w:tblHeader w:val="true"/>
            <w:shd w:val="clear" w:color="auto" w:fill="2C3E50"/>
          </w:tcPr>
          <w:p>
            <w:pPr>
              <w:jc w:val="center"/>
            </w:pPr>
            <w:r/>
            <w:r>
              <w:rPr>
                <w:b/>
                <w:color w:val="FFFFFF"/>
                <w:sz w:val="18"/>
              </w:rPr>
              <w:t>Cost ($B)</w:t>
            </w:r>
          </w:p>
        </w:tc>
        <w:tc>
          <w:tcPr>
            <w:tcW w:type="dxa" w:w="1872"/>
            <w:tblHeader w:val="true"/>
            <w:shd w:val="clear" w:color="auto" w:fill="2C3E50"/>
          </w:tcPr>
          <w:p>
            <w:pPr>
              <w:jc w:val="center"/>
            </w:pPr>
            <w:r/>
            <w:r>
              <w:rPr>
                <w:b/>
                <w:color w:val="FFFFFF"/>
                <w:sz w:val="18"/>
              </w:rPr>
              <w:t>Net benefit ($B)</w:t>
            </w:r>
          </w:p>
        </w:tc>
        <w:tc>
          <w:tcPr>
            <w:tcW w:type="dxa" w:w="1872"/>
            <w:tblHeader w:val="true"/>
            <w:shd w:val="clear" w:color="auto" w:fill="2C3E50"/>
          </w:tcPr>
          <w:p>
            <w:pPr>
              <w:jc w:val="center"/>
            </w:pPr>
            <w:r/>
            <w:r>
              <w:rPr>
                <w:b/>
                <w:color w:val="FFFFFF"/>
                <w:sz w:val="18"/>
              </w:rPr>
              <w:t>BCR</w:t>
            </w:r>
          </w:p>
        </w:tc>
      </w:tr>
      <w:tr>
        <w:tc>
          <w:tcPr>
            <w:tcW w:type="dxa" w:w="1872"/>
          </w:tcPr>
          <w:p>
            <w:pPr>
              <w:spacing w:after="0"/>
            </w:pPr>
            <w:r/>
            <w:r>
              <w:rPr>
                <w:sz w:val="17"/>
              </w:rPr>
              <w:t>Combined Intervention</w:t>
            </w:r>
          </w:p>
        </w:tc>
        <w:tc>
          <w:tcPr>
            <w:tcW w:type="dxa" w:w="1872"/>
          </w:tcPr>
          <w:p>
            <w:pPr>
              <w:spacing w:after="0"/>
            </w:pPr>
            <w:r/>
            <w:r>
              <w:rPr>
                <w:sz w:val="17"/>
              </w:rPr>
              <w:t>229.2</w:t>
            </w:r>
          </w:p>
        </w:tc>
        <w:tc>
          <w:tcPr>
            <w:tcW w:type="dxa" w:w="1872"/>
          </w:tcPr>
          <w:p>
            <w:pPr>
              <w:spacing w:after="0"/>
            </w:pPr>
            <w:r/>
            <w:r>
              <w:rPr>
                <w:sz w:val="17"/>
              </w:rPr>
              <w:t>15.0</w:t>
            </w:r>
          </w:p>
        </w:tc>
        <w:tc>
          <w:tcPr>
            <w:tcW w:type="dxa" w:w="1872"/>
          </w:tcPr>
          <w:p>
            <w:pPr>
              <w:spacing w:after="0"/>
            </w:pPr>
            <w:r/>
            <w:r>
              <w:rPr>
                <w:sz w:val="17"/>
              </w:rPr>
              <w:t>214.2</w:t>
            </w:r>
          </w:p>
        </w:tc>
        <w:tc>
          <w:tcPr>
            <w:tcW w:type="dxa" w:w="1872"/>
          </w:tcPr>
          <w:p>
            <w:pPr>
              <w:spacing w:after="0"/>
            </w:pPr>
            <w:r/>
            <w:r>
              <w:rPr>
                <w:sz w:val="17"/>
              </w:rPr>
              <w:t>15.3</w:t>
            </w:r>
          </w:p>
        </w:tc>
      </w:tr>
      <w:tr>
        <w:tc>
          <w:tcPr>
            <w:tcW w:type="dxa" w:w="1872"/>
            <w:shd w:val="clear" w:color="auto" w:fill="EDF1F5"/>
          </w:tcPr>
          <w:p>
            <w:pPr>
              <w:spacing w:after="0"/>
            </w:pPr>
            <w:r/>
            <w:r>
              <w:rPr>
                <w:sz w:val="17"/>
              </w:rPr>
              <w:t>API Interoperability Mandate</w:t>
            </w:r>
          </w:p>
        </w:tc>
        <w:tc>
          <w:tcPr>
            <w:tcW w:type="dxa" w:w="1872"/>
            <w:shd w:val="clear" w:color="auto" w:fill="EDF1F5"/>
          </w:tcPr>
          <w:p>
            <w:pPr>
              <w:spacing w:after="0"/>
            </w:pPr>
            <w:r/>
            <w:r>
              <w:rPr>
                <w:sz w:val="17"/>
              </w:rPr>
              <w:t>145.9</w:t>
            </w:r>
          </w:p>
        </w:tc>
        <w:tc>
          <w:tcPr>
            <w:tcW w:type="dxa" w:w="1872"/>
            <w:shd w:val="clear" w:color="auto" w:fill="EDF1F5"/>
          </w:tcPr>
          <w:p>
            <w:pPr>
              <w:spacing w:after="0"/>
            </w:pPr>
            <w:r/>
            <w:r>
              <w:rPr>
                <w:sz w:val="17"/>
              </w:rPr>
              <w:t>5.0</w:t>
            </w:r>
          </w:p>
        </w:tc>
        <w:tc>
          <w:tcPr>
            <w:tcW w:type="dxa" w:w="1872"/>
            <w:shd w:val="clear" w:color="auto" w:fill="EDF1F5"/>
          </w:tcPr>
          <w:p>
            <w:pPr>
              <w:spacing w:after="0"/>
            </w:pPr>
            <w:r/>
            <w:r>
              <w:rPr>
                <w:sz w:val="17"/>
              </w:rPr>
              <w:t>140.9</w:t>
            </w:r>
          </w:p>
        </w:tc>
        <w:tc>
          <w:tcPr>
            <w:tcW w:type="dxa" w:w="1872"/>
            <w:shd w:val="clear" w:color="auto" w:fill="EDF1F5"/>
          </w:tcPr>
          <w:p>
            <w:pPr>
              <w:spacing w:after="0"/>
            </w:pPr>
            <w:r/>
            <w:r>
              <w:rPr>
                <w:sz w:val="17"/>
              </w:rPr>
              <w:t>29.2</w:t>
            </w:r>
          </w:p>
        </w:tc>
      </w:tr>
      <w:tr>
        <w:tc>
          <w:tcPr>
            <w:tcW w:type="dxa" w:w="1872"/>
          </w:tcPr>
          <w:p>
            <w:pPr>
              <w:spacing w:after="0"/>
            </w:pPr>
            <w:r/>
            <w:r>
              <w:rPr>
                <w:sz w:val="17"/>
              </w:rPr>
              <w:t>Antitrust Enforcement</w:t>
            </w:r>
          </w:p>
        </w:tc>
        <w:tc>
          <w:tcPr>
            <w:tcW w:type="dxa" w:w="1872"/>
          </w:tcPr>
          <w:p>
            <w:pPr>
              <w:spacing w:after="0"/>
            </w:pPr>
            <w:r/>
            <w:r>
              <w:rPr>
                <w:sz w:val="17"/>
              </w:rPr>
              <w:t>104.2</w:t>
            </w:r>
          </w:p>
        </w:tc>
        <w:tc>
          <w:tcPr>
            <w:tcW w:type="dxa" w:w="1872"/>
          </w:tcPr>
          <w:p>
            <w:pPr>
              <w:spacing w:after="0"/>
            </w:pPr>
            <w:r/>
            <w:r>
              <w:rPr>
                <w:sz w:val="17"/>
              </w:rPr>
              <w:t>2.0</w:t>
            </w:r>
          </w:p>
        </w:tc>
        <w:tc>
          <w:tcPr>
            <w:tcW w:type="dxa" w:w="1872"/>
          </w:tcPr>
          <w:p>
            <w:pPr>
              <w:spacing w:after="0"/>
            </w:pPr>
            <w:r/>
            <w:r>
              <w:rPr>
                <w:sz w:val="17"/>
              </w:rPr>
              <w:t>102.2</w:t>
            </w:r>
          </w:p>
        </w:tc>
        <w:tc>
          <w:tcPr>
            <w:tcW w:type="dxa" w:w="1872"/>
          </w:tcPr>
          <w:p>
            <w:pPr>
              <w:spacing w:after="0"/>
            </w:pPr>
            <w:r/>
            <w:r>
              <w:rPr>
                <w:sz w:val="17"/>
              </w:rPr>
              <w:t>52.1</w:t>
            </w:r>
          </w:p>
        </w:tc>
      </w:tr>
      <w:tr>
        <w:tc>
          <w:tcPr>
            <w:tcW w:type="dxa" w:w="1872"/>
            <w:shd w:val="clear" w:color="auto" w:fill="EDF1F5"/>
          </w:tcPr>
          <w:p>
            <w:pPr>
              <w:spacing w:after="0"/>
            </w:pPr>
            <w:r/>
            <w:r>
              <w:rPr>
                <w:sz w:val="17"/>
              </w:rPr>
              <w:t>Innovation Subsidies</w:t>
            </w:r>
          </w:p>
        </w:tc>
        <w:tc>
          <w:tcPr>
            <w:tcW w:type="dxa" w:w="1872"/>
            <w:shd w:val="clear" w:color="auto" w:fill="EDF1F5"/>
          </w:tcPr>
          <w:p>
            <w:pPr>
              <w:spacing w:after="0"/>
            </w:pPr>
            <w:r/>
            <w:r>
              <w:rPr>
                <w:sz w:val="17"/>
              </w:rPr>
              <w:t>93.8</w:t>
            </w:r>
          </w:p>
        </w:tc>
        <w:tc>
          <w:tcPr>
            <w:tcW w:type="dxa" w:w="1872"/>
            <w:shd w:val="clear" w:color="auto" w:fill="EDF1F5"/>
          </w:tcPr>
          <w:p>
            <w:pPr>
              <w:spacing w:after="0"/>
            </w:pPr>
            <w:r/>
            <w:r>
              <w:rPr>
                <w:sz w:val="17"/>
              </w:rPr>
              <w:t>8.0</w:t>
            </w:r>
          </w:p>
        </w:tc>
        <w:tc>
          <w:tcPr>
            <w:tcW w:type="dxa" w:w="1872"/>
            <w:shd w:val="clear" w:color="auto" w:fill="EDF1F5"/>
          </w:tcPr>
          <w:p>
            <w:pPr>
              <w:spacing w:after="0"/>
            </w:pPr>
            <w:r/>
            <w:r>
              <w:rPr>
                <w:sz w:val="17"/>
              </w:rPr>
              <w:t>85.8</w:t>
            </w:r>
          </w:p>
        </w:tc>
        <w:tc>
          <w:tcPr>
            <w:tcW w:type="dxa" w:w="1872"/>
            <w:shd w:val="clear" w:color="auto" w:fill="EDF1F5"/>
          </w:tcPr>
          <w:p>
            <w:pPr>
              <w:spacing w:after="0"/>
            </w:pPr>
            <w:r/>
            <w:r>
              <w:rPr>
                <w:sz w:val="17"/>
              </w:rPr>
              <w:t>11.7</w:t>
            </w:r>
          </w:p>
        </w:tc>
      </w:tr>
      <w:tr>
        <w:tc>
          <w:tcPr>
            <w:tcW w:type="dxa" w:w="1872"/>
          </w:tcPr>
          <w:p>
            <w:pPr>
              <w:spacing w:after="0"/>
            </w:pPr>
            <w:r/>
            <w:r>
              <w:rPr>
                <w:sz w:val="17"/>
              </w:rPr>
              <w:t>Data Sharing Mandate</w:t>
            </w:r>
          </w:p>
        </w:tc>
        <w:tc>
          <w:tcPr>
            <w:tcW w:type="dxa" w:w="1872"/>
          </w:tcPr>
          <w:p>
            <w:pPr>
              <w:spacing w:after="0"/>
            </w:pPr>
            <w:r/>
            <w:r>
              <w:rPr>
                <w:sz w:val="17"/>
              </w:rPr>
              <w:t>75.0</w:t>
            </w:r>
          </w:p>
        </w:tc>
        <w:tc>
          <w:tcPr>
            <w:tcW w:type="dxa" w:w="1872"/>
          </w:tcPr>
          <w:p>
            <w:pPr>
              <w:spacing w:after="0"/>
            </w:pPr>
            <w:r/>
            <w:r>
              <w:rPr>
                <w:sz w:val="17"/>
              </w:rPr>
              <w:t>3.0</w:t>
            </w:r>
          </w:p>
        </w:tc>
        <w:tc>
          <w:tcPr>
            <w:tcW w:type="dxa" w:w="1872"/>
          </w:tcPr>
          <w:p>
            <w:pPr>
              <w:spacing w:after="0"/>
            </w:pPr>
            <w:r/>
            <w:r>
              <w:rPr>
                <w:sz w:val="17"/>
              </w:rPr>
              <w:t>72.0</w:t>
            </w:r>
          </w:p>
        </w:tc>
        <w:tc>
          <w:tcPr>
            <w:tcW w:type="dxa" w:w="1872"/>
          </w:tcPr>
          <w:p>
            <w:pPr>
              <w:spacing w:after="0"/>
            </w:pPr>
            <w:r/>
            <w:r>
              <w:rPr>
                <w:sz w:val="17"/>
              </w:rPr>
              <w:t>25.0</w:t>
            </w:r>
          </w:p>
        </w:tc>
      </w:tr>
    </w:tbl>
    <w:p>
      <w:pPr>
        <w:spacing w:after="80"/>
      </w:pPr>
      <w:r>
        <w:rPr>
          <w:sz w:val="4"/>
        </w:rPr>
      </w:r>
    </w:p>
    <w:p>
      <w:pPr>
        <w:spacing w:after="120"/>
      </w:pPr>
      <w:r>
        <w:rPr>
          <w:b w:val="0"/>
          <w:i w:val="0"/>
          <w:sz w:val="21"/>
        </w:rPr>
        <w:t>Highest net-benefit intervention (base scenario): Combined Intervention — net benefit $214.2B.</w:t>
      </w:r>
    </w:p>
    <w:p>
      <w:pPr>
        <w:keepNext/>
        <w:spacing w:before="200" w:after="40"/>
      </w:pPr>
      <w:r>
        <w:rPr>
          <w:b/>
          <w:color w:val="184A71"/>
          <w:sz w:val="21"/>
        </w:rPr>
        <w:t>Analytical insights — policy choice</w:t>
      </w:r>
    </w:p>
    <w:p>
      <w:pPr>
        <w:spacing w:before="40" w:after="140"/>
        <w:ind w:left="173"/>
        <w:shd w:val="clear" w:color="auto" w:fill="EAF1F8"/>
        <w:pBdr>
          <w:left w:val="single" w:sz="18" w:space="4" w:color="1F4E79"/>
        </w:pBdr>
      </w:pPr>
      <w:r>
        <w:rPr>
          <w:b/>
          <w:color w:val="184A71"/>
          <w:sz w:val="20"/>
        </w:rPr>
        <w:t xml:space="preserve">Why this intervention wins.  </w:t>
      </w:r>
      <w:r>
        <w:rPr>
          <w:color w:val="1A2B3C"/>
          <w:sz w:val="20"/>
        </w:rPr>
        <w:t>Combined Intervention leads on base-scenario net benefit ($214.2B): it recovers $229.2B of deadweight loss (55% of the $416.8B aggregate) at a cost of $15.0B (benefit–cost ratio 15.3). This is notable precisely because it does not target the infrastructure bottleneck head-on — which invites the committee question of whether the ranking survives under the optimistic/pessimistic scenarios. The policy lesson is proportionality: the cheapest effective remedy dominates because the DWL pool is large relative to any plausible intervention cost.</w:t>
      </w:r>
    </w:p>
    <w:p>
      <w:pPr>
        <w:spacing w:before="40" w:after="140"/>
        <w:ind w:left="173"/>
        <w:shd w:val="clear" w:color="auto" w:fill="EAF1F8"/>
        <w:pBdr>
          <w:left w:val="single" w:sz="18" w:space="4" w:color="1F4E79"/>
        </w:pBdr>
      </w:pPr>
      <w:r>
        <w:rPr>
          <w:b/>
          <w:color w:val="184A71"/>
          <w:sz w:val="20"/>
        </w:rPr>
        <w:t xml:space="preserve">How decisive the ranking is.  </w:t>
      </w:r>
      <w:r>
        <w:rPr>
          <w:color w:val="1A2B3C"/>
          <w:sz w:val="20"/>
        </w:rPr>
        <w:t>The runner-up (API Interoperability Mandate) trails by $73.4B in net benefit. A wide margin means the recommendation is robust to scenario choice — check the optimistic/conservative columns to confirm.</w:t>
      </w:r>
    </w:p>
    <w:p>
      <w:pPr>
        <w:spacing w:before="40" w:after="140"/>
        <w:ind w:left="173"/>
        <w:shd w:val="clear" w:color="auto" w:fill="EAF1F8"/>
        <w:pBdr>
          <w:left w:val="single" w:sz="18" w:space="4" w:color="1F4E79"/>
        </w:pBdr>
      </w:pPr>
      <w:r>
        <w:rPr>
          <w:b/>
          <w:color w:val="184A71"/>
          <w:sz w:val="20"/>
        </w:rPr>
        <w:t xml:space="preserve">Complementarity tested, not assumed.  </w:t>
      </w:r>
      <w:r>
        <w:rPr>
          <w:color w:val="1A2B3C"/>
          <w:sz w:val="20"/>
        </w:rPr>
        <w:t>The combined intervention recovers $229.2B against $418.9B summed standalone (ratio 0.547: sub-additive (overlap/diminishing)). The levers OVERLAP — the Combined ranking in Exhibit 5.2b wins on absolute net benefit, but stacking all four buys less than the sum of its parts. A committee should ask whether a two- or three-lever bundle dominates the full package. This is the second-best logic of Section 2.3 made quantitative.</w:t>
      </w:r>
    </w:p>
    <w:tbl>
      <w:tblPr>
        <w:tblStyle w:val="TableGrid"/>
        <w:tblW w:type="auto" w:w="0"/>
        <w:tblLayout w:type="autofit"/>
        <w:tblLook w:firstColumn="1" w:firstRow="1" w:lastColumn="0" w:lastRow="0" w:noHBand="0" w:noVBand="1" w:val="04A0"/>
      </w:tblPr>
      <w:tblGrid>
        <w:gridCol w:w="4680"/>
        <w:gridCol w:w="4680"/>
      </w:tblGrid>
      <w:tr>
        <w:tc>
          <w:tcPr>
            <w:tcW w:type="dxa" w:w="1800"/>
            <w:shd w:val="clear" w:color="auto" w:fill="EDF1F5"/>
          </w:tcPr>
          <w:p>
            <w:r/>
            <w:r>
              <w:rPr>
                <w:b/>
                <w:color w:val="2C3E50"/>
                <w:sz w:val="20"/>
              </w:rPr>
              <w:t>Module</w:t>
            </w:r>
          </w:p>
        </w:tc>
        <w:tc>
          <w:tcPr>
            <w:tcW w:type="dxa" w:w="7560"/>
          </w:tcPr>
          <w:p>
            <w:r/>
            <w:r>
              <w:rPr>
                <w:sz w:val="20"/>
              </w:rPr>
              <w:t>PolicyInterventionAnalyzer</w:t>
            </w:r>
          </w:p>
        </w:tc>
      </w:tr>
      <w:tr>
        <w:tc>
          <w:tcPr>
            <w:tcW w:type="dxa" w:w="1800"/>
            <w:shd w:val="clear" w:color="auto" w:fill="EDF1F5"/>
          </w:tcPr>
          <w:p>
            <w:r/>
            <w:r>
              <w:rPr>
                <w:b/>
                <w:color w:val="2C3E50"/>
                <w:sz w:val="20"/>
              </w:rPr>
              <w:t>Outputs</w:t>
            </w:r>
          </w:p>
        </w:tc>
        <w:tc>
          <w:tcPr>
            <w:tcW w:type="dxa" w:w="7560"/>
          </w:tcPr>
          <w:p>
            <w:r/>
            <w:r>
              <w:rPr>
                <w:sz w:val="20"/>
              </w:rPr>
              <w:t>Table 6.1/6.3 (simulation summary); Figure 12 (cost-benefit).</w:t>
            </w:r>
          </w:p>
        </w:tc>
      </w:tr>
      <w:tr>
        <w:tc>
          <w:tcPr>
            <w:tcW w:type="dxa" w:w="1800"/>
            <w:shd w:val="clear" w:color="auto" w:fill="EDF1F5"/>
          </w:tcPr>
          <w:p>
            <w:r/>
            <w:r>
              <w:rPr>
                <w:b/>
                <w:color w:val="2C3E50"/>
                <w:sz w:val="20"/>
              </w:rPr>
              <w:t>Inference</w:t>
            </w:r>
          </w:p>
        </w:tc>
        <w:tc>
          <w:tcPr>
            <w:tcW w:type="dxa" w:w="7560"/>
          </w:tcPr>
          <w:p>
            <w:r/>
            <w:r>
              <w:rPr>
                <w:sz w:val="20"/>
              </w:rPr>
              <w:t>Base-case winner: Combined Intervention (net $214.2B, BCR 15.3). The DWL pool dwarfs any plausible intervention cost.</w:t>
            </w:r>
          </w:p>
        </w:tc>
      </w:tr>
      <w:tr>
        <w:tc>
          <w:tcPr>
            <w:tcW w:type="dxa" w:w="1800"/>
            <w:shd w:val="clear" w:color="auto" w:fill="EDF1F5"/>
          </w:tcPr>
          <w:p>
            <w:r/>
            <w:r>
              <w:rPr>
                <w:b/>
                <w:color w:val="2C3E50"/>
                <w:sz w:val="20"/>
              </w:rPr>
              <w:t>Implication</w:t>
            </w:r>
          </w:p>
        </w:tc>
        <w:tc>
          <w:tcPr>
            <w:tcW w:type="dxa" w:w="7560"/>
          </w:tcPr>
          <w:p>
            <w:r/>
            <w:r>
              <w:rPr>
                <w:sz w:val="20"/>
              </w:rPr>
              <w:t>Proportionality governs: fund the cheapest effective lever first, and re-check the ranking under optimistic/conservative scenarios before legislating.</w:t>
            </w:r>
          </w:p>
        </w:tc>
      </w:tr>
    </w:tbl>
    <w:p>
      <w:pPr>
        <w:spacing w:after="80"/>
      </w:pPr>
    </w:p>
    <w:p>
      <w:pPr>
        <w:pStyle w:val="Heading2"/>
      </w:pPr>
      <w:r>
        <w:t>5.1  Policy deep dives</w:t>
      </w:r>
    </w:p>
    <w:p>
      <w:pPr>
        <w:pStyle w:val="Heading3"/>
      </w:pPr>
      <w:r>
        <w:t>API Interoperability Mandate</w:t>
      </w:r>
    </w:p>
    <w:p>
      <w:pPr>
        <w:spacing w:after="120"/>
      </w:pPr>
      <w:r>
        <w:rPr>
          <w:b w:val="0"/>
          <w:i w:val="0"/>
          <w:sz w:val="22"/>
        </w:rPr>
        <w:t>Mechanism: mandate open, standardized APIs to cut proprietary lock-in.</w:t>
      </w:r>
    </w:p>
    <w:p>
      <w:pPr>
        <w:keepNext/>
        <w:spacing w:before="200" w:after="40"/>
      </w:pPr>
      <w:r>
        <w:rPr>
          <w:b/>
          <w:color w:val="2C3E50"/>
          <w:sz w:val="20"/>
        </w:rPr>
        <w:t>Scenarios — API Interoperability Mandate (ai_ecosystem_model.py enhancement output)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Scenario</w:t>
            </w:r>
          </w:p>
        </w:tc>
        <w:tc>
          <w:tcPr>
            <w:tcW w:type="dxa" w:w="1872"/>
            <w:tblHeader w:val="true"/>
            <w:shd w:val="clear" w:color="auto" w:fill="2C3E50"/>
          </w:tcPr>
          <w:p>
            <w:pPr>
              <w:jc w:val="center"/>
            </w:pPr>
            <w:r/>
            <w:r>
              <w:rPr>
                <w:b/>
                <w:color w:val="FFFFFF"/>
                <w:sz w:val="18"/>
              </w:rPr>
              <w:t>DWL reduction ($B)</w:t>
            </w:r>
          </w:p>
        </w:tc>
        <w:tc>
          <w:tcPr>
            <w:tcW w:type="dxa" w:w="1872"/>
            <w:tblHeader w:val="true"/>
            <w:shd w:val="clear" w:color="auto" w:fill="2C3E50"/>
          </w:tcPr>
          <w:p>
            <w:pPr>
              <w:jc w:val="center"/>
            </w:pPr>
            <w:r/>
            <w:r>
              <w:rPr>
                <w:b/>
                <w:color w:val="FFFFFF"/>
                <w:sz w:val="18"/>
              </w:rPr>
              <w:t>Cost ($B)</w:t>
            </w:r>
          </w:p>
        </w:tc>
        <w:tc>
          <w:tcPr>
            <w:tcW w:type="dxa" w:w="1872"/>
            <w:tblHeader w:val="true"/>
            <w:shd w:val="clear" w:color="auto" w:fill="2C3E50"/>
          </w:tcPr>
          <w:p>
            <w:pPr>
              <w:jc w:val="center"/>
            </w:pPr>
            <w:r/>
            <w:r>
              <w:rPr>
                <w:b/>
                <w:color w:val="FFFFFF"/>
                <w:sz w:val="18"/>
              </w:rPr>
              <w:t>Net benefit ($B)</w:t>
            </w:r>
          </w:p>
        </w:tc>
        <w:tc>
          <w:tcPr>
            <w:tcW w:type="dxa" w:w="1872"/>
            <w:tblHeader w:val="true"/>
            <w:shd w:val="clear" w:color="auto" w:fill="2C3E50"/>
          </w:tcPr>
          <w:p>
            <w:pPr>
              <w:jc w:val="center"/>
            </w:pPr>
            <w:r/>
            <w:r>
              <w:rPr>
                <w:b/>
                <w:color w:val="FFFFFF"/>
                <w:sz w:val="18"/>
              </w:rPr>
              <w:t>BCR</w:t>
            </w:r>
          </w:p>
        </w:tc>
      </w:tr>
      <w:tr>
        <w:tc>
          <w:tcPr>
            <w:tcW w:type="dxa" w:w="1872"/>
          </w:tcPr>
          <w:p>
            <w:pPr>
              <w:spacing w:after="0"/>
            </w:pPr>
            <w:r/>
            <w:r>
              <w:rPr>
                <w:sz w:val="17"/>
              </w:rPr>
              <w:t>Conservative</w:t>
            </w:r>
          </w:p>
        </w:tc>
        <w:tc>
          <w:tcPr>
            <w:tcW w:type="dxa" w:w="1872"/>
          </w:tcPr>
          <w:p>
            <w:pPr>
              <w:spacing w:after="0"/>
            </w:pPr>
            <w:r/>
            <w:r>
              <w:rPr>
                <w:sz w:val="17"/>
              </w:rPr>
              <w:t>104.2</w:t>
            </w:r>
          </w:p>
        </w:tc>
        <w:tc>
          <w:tcPr>
            <w:tcW w:type="dxa" w:w="1872"/>
          </w:tcPr>
          <w:p>
            <w:pPr>
              <w:spacing w:after="0"/>
            </w:pPr>
            <w:r/>
            <w:r>
              <w:rPr>
                <w:sz w:val="17"/>
              </w:rPr>
              <w:t>7.0</w:t>
            </w:r>
          </w:p>
        </w:tc>
        <w:tc>
          <w:tcPr>
            <w:tcW w:type="dxa" w:w="1872"/>
          </w:tcPr>
          <w:p>
            <w:pPr>
              <w:spacing w:after="0"/>
            </w:pPr>
            <w:r/>
            <w:r>
              <w:rPr>
                <w:sz w:val="17"/>
              </w:rPr>
              <w:t>97.2</w:t>
            </w:r>
          </w:p>
        </w:tc>
        <w:tc>
          <w:tcPr>
            <w:tcW w:type="dxa" w:w="1872"/>
          </w:tcPr>
          <w:p>
            <w:pPr>
              <w:spacing w:after="0"/>
            </w:pPr>
            <w:r/>
            <w:r>
              <w:rPr>
                <w:sz w:val="17"/>
              </w:rPr>
              <w:t>14.88</w:t>
            </w:r>
          </w:p>
        </w:tc>
      </w:tr>
      <w:tr>
        <w:tc>
          <w:tcPr>
            <w:tcW w:type="dxa" w:w="1872"/>
            <w:shd w:val="clear" w:color="auto" w:fill="EDF1F5"/>
          </w:tcPr>
          <w:p>
            <w:pPr>
              <w:spacing w:after="0"/>
            </w:pPr>
            <w:r/>
            <w:r>
              <w:rPr>
                <w:sz w:val="17"/>
              </w:rPr>
              <w:t>Base</w:t>
            </w:r>
          </w:p>
        </w:tc>
        <w:tc>
          <w:tcPr>
            <w:tcW w:type="dxa" w:w="1872"/>
            <w:shd w:val="clear" w:color="auto" w:fill="EDF1F5"/>
          </w:tcPr>
          <w:p>
            <w:pPr>
              <w:spacing w:after="0"/>
            </w:pPr>
            <w:r/>
            <w:r>
              <w:rPr>
                <w:sz w:val="17"/>
              </w:rPr>
              <w:t>145.9</w:t>
            </w:r>
          </w:p>
        </w:tc>
        <w:tc>
          <w:tcPr>
            <w:tcW w:type="dxa" w:w="1872"/>
            <w:shd w:val="clear" w:color="auto" w:fill="EDF1F5"/>
          </w:tcPr>
          <w:p>
            <w:pPr>
              <w:spacing w:after="0"/>
            </w:pPr>
            <w:r/>
            <w:r>
              <w:rPr>
                <w:sz w:val="17"/>
              </w:rPr>
              <w:t>5.0</w:t>
            </w:r>
          </w:p>
        </w:tc>
        <w:tc>
          <w:tcPr>
            <w:tcW w:type="dxa" w:w="1872"/>
            <w:shd w:val="clear" w:color="auto" w:fill="EDF1F5"/>
          </w:tcPr>
          <w:p>
            <w:pPr>
              <w:spacing w:after="0"/>
            </w:pPr>
            <w:r/>
            <w:r>
              <w:rPr>
                <w:sz w:val="17"/>
              </w:rPr>
              <w:t>140.9</w:t>
            </w:r>
          </w:p>
        </w:tc>
        <w:tc>
          <w:tcPr>
            <w:tcW w:type="dxa" w:w="1872"/>
            <w:shd w:val="clear" w:color="auto" w:fill="EDF1F5"/>
          </w:tcPr>
          <w:p>
            <w:pPr>
              <w:spacing w:after="0"/>
            </w:pPr>
            <w:r/>
            <w:r>
              <w:rPr>
                <w:sz w:val="17"/>
              </w:rPr>
              <w:t>29.17</w:t>
            </w:r>
          </w:p>
        </w:tc>
      </w:tr>
      <w:tr>
        <w:tc>
          <w:tcPr>
            <w:tcW w:type="dxa" w:w="1872"/>
          </w:tcPr>
          <w:p>
            <w:pPr>
              <w:spacing w:after="0"/>
            </w:pPr>
            <w:r/>
            <w:r>
              <w:rPr>
                <w:sz w:val="17"/>
              </w:rPr>
              <w:t>Optimistic</w:t>
            </w:r>
          </w:p>
        </w:tc>
        <w:tc>
          <w:tcPr>
            <w:tcW w:type="dxa" w:w="1872"/>
          </w:tcPr>
          <w:p>
            <w:pPr>
              <w:spacing w:after="0"/>
            </w:pPr>
            <w:r/>
            <w:r>
              <w:rPr>
                <w:sz w:val="17"/>
              </w:rPr>
              <w:t>187.5</w:t>
            </w:r>
          </w:p>
        </w:tc>
        <w:tc>
          <w:tcPr>
            <w:tcW w:type="dxa" w:w="1872"/>
          </w:tcPr>
          <w:p>
            <w:pPr>
              <w:spacing w:after="0"/>
            </w:pPr>
            <w:r/>
            <w:r>
              <w:rPr>
                <w:sz w:val="17"/>
              </w:rPr>
              <w:t>3.0</w:t>
            </w:r>
          </w:p>
        </w:tc>
        <w:tc>
          <w:tcPr>
            <w:tcW w:type="dxa" w:w="1872"/>
          </w:tcPr>
          <w:p>
            <w:pPr>
              <w:spacing w:after="0"/>
            </w:pPr>
            <w:r/>
            <w:r>
              <w:rPr>
                <w:sz w:val="17"/>
              </w:rPr>
              <w:t>184.5</w:t>
            </w:r>
          </w:p>
        </w:tc>
        <w:tc>
          <w:tcPr>
            <w:tcW w:type="dxa" w:w="1872"/>
          </w:tcPr>
          <w:p>
            <w:pPr>
              <w:spacing w:after="0"/>
            </w:pPr>
            <w:r/>
            <w:r>
              <w:rPr>
                <w:sz w:val="17"/>
              </w:rPr>
              <w:t>62.52</w:t>
            </w:r>
          </w:p>
        </w:tc>
      </w:tr>
    </w:tbl>
    <w:p>
      <w:pPr>
        <w:spacing w:after="80"/>
      </w:pPr>
      <w:r>
        <w:rPr>
          <w:sz w:val="4"/>
        </w:rPr>
      </w:r>
    </w:p>
    <w:p>
      <w:pPr>
        <w:spacing w:after="120"/>
      </w:pPr>
      <w:r>
        <w:rPr>
          <w:b w:val="0"/>
          <w:i/>
          <w:color w:val="606060"/>
          <w:sz w:val="19"/>
        </w:rPr>
        <w:t>Stated precedent/analogue: EU Digital Markets Act (European Commission 2022).</w:t>
      </w:r>
    </w:p>
    <w:p>
      <w:pPr>
        <w:pStyle w:val="Heading3"/>
      </w:pPr>
      <w:r>
        <w:t>Antitrust Enforcement</w:t>
      </w:r>
    </w:p>
    <w:p>
      <w:pPr>
        <w:spacing w:after="120"/>
      </w:pPr>
      <w:r>
        <w:rPr>
          <w:b w:val="0"/>
          <w:i w:val="0"/>
          <w:sz w:val="22"/>
        </w:rPr>
        <w:t>Mechanism: challenge high-concentration conduct and impose market-conduct remedies.</w:t>
      </w:r>
    </w:p>
    <w:p>
      <w:pPr>
        <w:keepNext/>
        <w:spacing w:before="200" w:after="40"/>
      </w:pPr>
      <w:r>
        <w:rPr>
          <w:b/>
          <w:color w:val="2C3E50"/>
          <w:sz w:val="20"/>
        </w:rPr>
        <w:t>Scenarios — Antitrust Enforcement (ai_ecosystem_model.py enhancement output)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Scenario</w:t>
            </w:r>
          </w:p>
        </w:tc>
        <w:tc>
          <w:tcPr>
            <w:tcW w:type="dxa" w:w="1872"/>
            <w:tblHeader w:val="true"/>
            <w:shd w:val="clear" w:color="auto" w:fill="2C3E50"/>
          </w:tcPr>
          <w:p>
            <w:pPr>
              <w:jc w:val="center"/>
            </w:pPr>
            <w:r/>
            <w:r>
              <w:rPr>
                <w:b/>
                <w:color w:val="FFFFFF"/>
                <w:sz w:val="18"/>
              </w:rPr>
              <w:t>DWL reduction ($B)</w:t>
            </w:r>
          </w:p>
        </w:tc>
        <w:tc>
          <w:tcPr>
            <w:tcW w:type="dxa" w:w="1872"/>
            <w:tblHeader w:val="true"/>
            <w:shd w:val="clear" w:color="auto" w:fill="2C3E50"/>
          </w:tcPr>
          <w:p>
            <w:pPr>
              <w:jc w:val="center"/>
            </w:pPr>
            <w:r/>
            <w:r>
              <w:rPr>
                <w:b/>
                <w:color w:val="FFFFFF"/>
                <w:sz w:val="18"/>
              </w:rPr>
              <w:t>Cost ($B)</w:t>
            </w:r>
          </w:p>
        </w:tc>
        <w:tc>
          <w:tcPr>
            <w:tcW w:type="dxa" w:w="1872"/>
            <w:tblHeader w:val="true"/>
            <w:shd w:val="clear" w:color="auto" w:fill="2C3E50"/>
          </w:tcPr>
          <w:p>
            <w:pPr>
              <w:jc w:val="center"/>
            </w:pPr>
            <w:r/>
            <w:r>
              <w:rPr>
                <w:b/>
                <w:color w:val="FFFFFF"/>
                <w:sz w:val="18"/>
              </w:rPr>
              <w:t>Net benefit ($B)</w:t>
            </w:r>
          </w:p>
        </w:tc>
        <w:tc>
          <w:tcPr>
            <w:tcW w:type="dxa" w:w="1872"/>
            <w:tblHeader w:val="true"/>
            <w:shd w:val="clear" w:color="auto" w:fill="2C3E50"/>
          </w:tcPr>
          <w:p>
            <w:pPr>
              <w:jc w:val="center"/>
            </w:pPr>
            <w:r/>
            <w:r>
              <w:rPr>
                <w:b/>
                <w:color w:val="FFFFFF"/>
                <w:sz w:val="18"/>
              </w:rPr>
              <w:t>BCR</w:t>
            </w:r>
          </w:p>
        </w:tc>
      </w:tr>
      <w:tr>
        <w:tc>
          <w:tcPr>
            <w:tcW w:type="dxa" w:w="1872"/>
          </w:tcPr>
          <w:p>
            <w:pPr>
              <w:spacing w:after="0"/>
            </w:pPr>
            <w:r/>
            <w:r>
              <w:rPr>
                <w:sz w:val="17"/>
              </w:rPr>
              <w:t>Conservative</w:t>
            </w:r>
          </w:p>
        </w:tc>
        <w:tc>
          <w:tcPr>
            <w:tcW w:type="dxa" w:w="1872"/>
          </w:tcPr>
          <w:p>
            <w:pPr>
              <w:spacing w:after="0"/>
            </w:pPr>
            <w:r/>
            <w:r>
              <w:rPr>
                <w:sz w:val="17"/>
              </w:rPr>
              <w:t>62.5</w:t>
            </w:r>
          </w:p>
        </w:tc>
        <w:tc>
          <w:tcPr>
            <w:tcW w:type="dxa" w:w="1872"/>
          </w:tcPr>
          <w:p>
            <w:pPr>
              <w:spacing w:after="0"/>
            </w:pPr>
            <w:r/>
            <w:r>
              <w:rPr>
                <w:sz w:val="17"/>
              </w:rPr>
              <w:t>4.0</w:t>
            </w:r>
          </w:p>
        </w:tc>
        <w:tc>
          <w:tcPr>
            <w:tcW w:type="dxa" w:w="1872"/>
          </w:tcPr>
          <w:p>
            <w:pPr>
              <w:spacing w:after="0"/>
            </w:pPr>
            <w:r/>
            <w:r>
              <w:rPr>
                <w:sz w:val="17"/>
              </w:rPr>
              <w:t>58.5</w:t>
            </w:r>
          </w:p>
        </w:tc>
        <w:tc>
          <w:tcPr>
            <w:tcW w:type="dxa" w:w="1872"/>
          </w:tcPr>
          <w:p>
            <w:pPr>
              <w:spacing w:after="0"/>
            </w:pPr>
            <w:r/>
            <w:r>
              <w:rPr>
                <w:sz w:val="17"/>
              </w:rPr>
              <w:t>15.63</w:t>
            </w:r>
          </w:p>
        </w:tc>
      </w:tr>
      <w:tr>
        <w:tc>
          <w:tcPr>
            <w:tcW w:type="dxa" w:w="1872"/>
            <w:shd w:val="clear" w:color="auto" w:fill="EDF1F5"/>
          </w:tcPr>
          <w:p>
            <w:pPr>
              <w:spacing w:after="0"/>
            </w:pPr>
            <w:r/>
            <w:r>
              <w:rPr>
                <w:sz w:val="17"/>
              </w:rPr>
              <w:t>Base</w:t>
            </w:r>
          </w:p>
        </w:tc>
        <w:tc>
          <w:tcPr>
            <w:tcW w:type="dxa" w:w="1872"/>
            <w:shd w:val="clear" w:color="auto" w:fill="EDF1F5"/>
          </w:tcPr>
          <w:p>
            <w:pPr>
              <w:spacing w:after="0"/>
            </w:pPr>
            <w:r/>
            <w:r>
              <w:rPr>
                <w:sz w:val="17"/>
              </w:rPr>
              <w:t>104.2</w:t>
            </w:r>
          </w:p>
        </w:tc>
        <w:tc>
          <w:tcPr>
            <w:tcW w:type="dxa" w:w="1872"/>
            <w:shd w:val="clear" w:color="auto" w:fill="EDF1F5"/>
          </w:tcPr>
          <w:p>
            <w:pPr>
              <w:spacing w:after="0"/>
            </w:pPr>
            <w:r/>
            <w:r>
              <w:rPr>
                <w:sz w:val="17"/>
              </w:rPr>
              <w:t>2.0</w:t>
            </w:r>
          </w:p>
        </w:tc>
        <w:tc>
          <w:tcPr>
            <w:tcW w:type="dxa" w:w="1872"/>
            <w:shd w:val="clear" w:color="auto" w:fill="EDF1F5"/>
          </w:tcPr>
          <w:p>
            <w:pPr>
              <w:spacing w:after="0"/>
            </w:pPr>
            <w:r/>
            <w:r>
              <w:rPr>
                <w:sz w:val="17"/>
              </w:rPr>
              <w:t>102.2</w:t>
            </w:r>
          </w:p>
        </w:tc>
        <w:tc>
          <w:tcPr>
            <w:tcW w:type="dxa" w:w="1872"/>
            <w:shd w:val="clear" w:color="auto" w:fill="EDF1F5"/>
          </w:tcPr>
          <w:p>
            <w:pPr>
              <w:spacing w:after="0"/>
            </w:pPr>
            <w:r/>
            <w:r>
              <w:rPr>
                <w:sz w:val="17"/>
              </w:rPr>
              <w:t>52.10</w:t>
            </w:r>
          </w:p>
        </w:tc>
      </w:tr>
      <w:tr>
        <w:tc>
          <w:tcPr>
            <w:tcW w:type="dxa" w:w="1872"/>
          </w:tcPr>
          <w:p>
            <w:pPr>
              <w:spacing w:after="0"/>
            </w:pPr>
            <w:r/>
            <w:r>
              <w:rPr>
                <w:sz w:val="17"/>
              </w:rPr>
              <w:t>Optimistic</w:t>
            </w:r>
          </w:p>
        </w:tc>
        <w:tc>
          <w:tcPr>
            <w:tcW w:type="dxa" w:w="1872"/>
          </w:tcPr>
          <w:p>
            <w:pPr>
              <w:spacing w:after="0"/>
            </w:pPr>
            <w:r/>
            <w:r>
              <w:rPr>
                <w:sz w:val="17"/>
              </w:rPr>
              <w:t>145.9</w:t>
            </w:r>
          </w:p>
        </w:tc>
        <w:tc>
          <w:tcPr>
            <w:tcW w:type="dxa" w:w="1872"/>
          </w:tcPr>
          <w:p>
            <w:pPr>
              <w:spacing w:after="0"/>
            </w:pPr>
            <w:r/>
            <w:r>
              <w:rPr>
                <w:sz w:val="17"/>
              </w:rPr>
              <w:t>1.0</w:t>
            </w:r>
          </w:p>
        </w:tc>
        <w:tc>
          <w:tcPr>
            <w:tcW w:type="dxa" w:w="1872"/>
          </w:tcPr>
          <w:p>
            <w:pPr>
              <w:spacing w:after="0"/>
            </w:pPr>
            <w:r/>
            <w:r>
              <w:rPr>
                <w:sz w:val="17"/>
              </w:rPr>
              <w:t>144.9</w:t>
            </w:r>
          </w:p>
        </w:tc>
        <w:tc>
          <w:tcPr>
            <w:tcW w:type="dxa" w:w="1872"/>
          </w:tcPr>
          <w:p>
            <w:pPr>
              <w:spacing w:after="0"/>
            </w:pPr>
            <w:r/>
            <w:r>
              <w:rPr>
                <w:sz w:val="17"/>
              </w:rPr>
              <w:t>145.87</w:t>
            </w:r>
          </w:p>
        </w:tc>
      </w:tr>
    </w:tbl>
    <w:p>
      <w:pPr>
        <w:spacing w:after="80"/>
      </w:pPr>
      <w:r>
        <w:rPr>
          <w:sz w:val="4"/>
        </w:rPr>
      </w:r>
    </w:p>
    <w:p>
      <w:pPr>
        <w:spacing w:after="120"/>
      </w:pPr>
      <w:r>
        <w:rPr>
          <w:b w:val="0"/>
          <w:i/>
          <w:color w:val="606060"/>
          <w:sz w:val="19"/>
        </w:rPr>
        <w:t>Stated precedent/analogue: DOJ/FTC costs (Baker 2019).</w:t>
      </w:r>
    </w:p>
    <w:p>
      <w:pPr>
        <w:pStyle w:val="Heading3"/>
      </w:pPr>
      <w:r>
        <w:t>Innovation Subsidies</w:t>
      </w:r>
    </w:p>
    <w:p>
      <w:pPr>
        <w:spacing w:after="120"/>
      </w:pPr>
      <w:r>
        <w:rPr>
          <w:b w:val="0"/>
          <w:i w:val="0"/>
          <w:sz w:val="22"/>
        </w:rPr>
        <w:t>Mechanism: subsidize alternative architectures, competing chips, and open foundations.</w:t>
      </w:r>
    </w:p>
    <w:p>
      <w:pPr>
        <w:keepNext/>
        <w:spacing w:before="200" w:after="40"/>
      </w:pPr>
      <w:r>
        <w:rPr>
          <w:b/>
          <w:color w:val="2C3E50"/>
          <w:sz w:val="20"/>
        </w:rPr>
        <w:t>Scenarios — Innovation Subsidies (ai_ecosystem_model.py enhancement output)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Scenario</w:t>
            </w:r>
          </w:p>
        </w:tc>
        <w:tc>
          <w:tcPr>
            <w:tcW w:type="dxa" w:w="1872"/>
            <w:tblHeader w:val="true"/>
            <w:shd w:val="clear" w:color="auto" w:fill="2C3E50"/>
          </w:tcPr>
          <w:p>
            <w:pPr>
              <w:jc w:val="center"/>
            </w:pPr>
            <w:r/>
            <w:r>
              <w:rPr>
                <w:b/>
                <w:color w:val="FFFFFF"/>
                <w:sz w:val="18"/>
              </w:rPr>
              <w:t>DWL reduction ($B)</w:t>
            </w:r>
          </w:p>
        </w:tc>
        <w:tc>
          <w:tcPr>
            <w:tcW w:type="dxa" w:w="1872"/>
            <w:tblHeader w:val="true"/>
            <w:shd w:val="clear" w:color="auto" w:fill="2C3E50"/>
          </w:tcPr>
          <w:p>
            <w:pPr>
              <w:jc w:val="center"/>
            </w:pPr>
            <w:r/>
            <w:r>
              <w:rPr>
                <w:b/>
                <w:color w:val="FFFFFF"/>
                <w:sz w:val="18"/>
              </w:rPr>
              <w:t>Cost ($B)</w:t>
            </w:r>
          </w:p>
        </w:tc>
        <w:tc>
          <w:tcPr>
            <w:tcW w:type="dxa" w:w="1872"/>
            <w:tblHeader w:val="true"/>
            <w:shd w:val="clear" w:color="auto" w:fill="2C3E50"/>
          </w:tcPr>
          <w:p>
            <w:pPr>
              <w:jc w:val="center"/>
            </w:pPr>
            <w:r/>
            <w:r>
              <w:rPr>
                <w:b/>
                <w:color w:val="FFFFFF"/>
                <w:sz w:val="18"/>
              </w:rPr>
              <w:t>Net benefit ($B)</w:t>
            </w:r>
          </w:p>
        </w:tc>
        <w:tc>
          <w:tcPr>
            <w:tcW w:type="dxa" w:w="1872"/>
            <w:tblHeader w:val="true"/>
            <w:shd w:val="clear" w:color="auto" w:fill="2C3E50"/>
          </w:tcPr>
          <w:p>
            <w:pPr>
              <w:jc w:val="center"/>
            </w:pPr>
            <w:r/>
            <w:r>
              <w:rPr>
                <w:b/>
                <w:color w:val="FFFFFF"/>
                <w:sz w:val="18"/>
              </w:rPr>
              <w:t>BCR</w:t>
            </w:r>
          </w:p>
        </w:tc>
      </w:tr>
      <w:tr>
        <w:tc>
          <w:tcPr>
            <w:tcW w:type="dxa" w:w="1872"/>
          </w:tcPr>
          <w:p>
            <w:pPr>
              <w:spacing w:after="0"/>
            </w:pPr>
            <w:r/>
            <w:r>
              <w:rPr>
                <w:sz w:val="17"/>
              </w:rPr>
              <w:t>Conservative</w:t>
            </w:r>
          </w:p>
        </w:tc>
        <w:tc>
          <w:tcPr>
            <w:tcW w:type="dxa" w:w="1872"/>
          </w:tcPr>
          <w:p>
            <w:pPr>
              <w:spacing w:after="0"/>
            </w:pPr>
            <w:r/>
            <w:r>
              <w:rPr>
                <w:sz w:val="17"/>
              </w:rPr>
              <w:t>62.5</w:t>
            </w:r>
          </w:p>
        </w:tc>
        <w:tc>
          <w:tcPr>
            <w:tcW w:type="dxa" w:w="1872"/>
          </w:tcPr>
          <w:p>
            <w:pPr>
              <w:spacing w:after="0"/>
            </w:pPr>
            <w:r/>
            <w:r>
              <w:rPr>
                <w:sz w:val="17"/>
              </w:rPr>
              <w:t>12.0</w:t>
            </w:r>
          </w:p>
        </w:tc>
        <w:tc>
          <w:tcPr>
            <w:tcW w:type="dxa" w:w="1872"/>
          </w:tcPr>
          <w:p>
            <w:pPr>
              <w:spacing w:after="0"/>
            </w:pPr>
            <w:r/>
            <w:r>
              <w:rPr>
                <w:sz w:val="17"/>
              </w:rPr>
              <w:t>50.5</w:t>
            </w:r>
          </w:p>
        </w:tc>
        <w:tc>
          <w:tcPr>
            <w:tcW w:type="dxa" w:w="1872"/>
          </w:tcPr>
          <w:p>
            <w:pPr>
              <w:spacing w:after="0"/>
            </w:pPr>
            <w:r/>
            <w:r>
              <w:rPr>
                <w:sz w:val="17"/>
              </w:rPr>
              <w:t>5.21</w:t>
            </w:r>
          </w:p>
        </w:tc>
      </w:tr>
      <w:tr>
        <w:tc>
          <w:tcPr>
            <w:tcW w:type="dxa" w:w="1872"/>
            <w:shd w:val="clear" w:color="auto" w:fill="EDF1F5"/>
          </w:tcPr>
          <w:p>
            <w:pPr>
              <w:spacing w:after="0"/>
            </w:pPr>
            <w:r/>
            <w:r>
              <w:rPr>
                <w:sz w:val="17"/>
              </w:rPr>
              <w:t>Base</w:t>
            </w:r>
          </w:p>
        </w:tc>
        <w:tc>
          <w:tcPr>
            <w:tcW w:type="dxa" w:w="1872"/>
            <w:shd w:val="clear" w:color="auto" w:fill="EDF1F5"/>
          </w:tcPr>
          <w:p>
            <w:pPr>
              <w:spacing w:after="0"/>
            </w:pPr>
            <w:r/>
            <w:r>
              <w:rPr>
                <w:sz w:val="17"/>
              </w:rPr>
              <w:t>93.8</w:t>
            </w:r>
          </w:p>
        </w:tc>
        <w:tc>
          <w:tcPr>
            <w:tcW w:type="dxa" w:w="1872"/>
            <w:shd w:val="clear" w:color="auto" w:fill="EDF1F5"/>
          </w:tcPr>
          <w:p>
            <w:pPr>
              <w:spacing w:after="0"/>
            </w:pPr>
            <w:r/>
            <w:r>
              <w:rPr>
                <w:sz w:val="17"/>
              </w:rPr>
              <w:t>8.0</w:t>
            </w:r>
          </w:p>
        </w:tc>
        <w:tc>
          <w:tcPr>
            <w:tcW w:type="dxa" w:w="1872"/>
            <w:shd w:val="clear" w:color="auto" w:fill="EDF1F5"/>
          </w:tcPr>
          <w:p>
            <w:pPr>
              <w:spacing w:after="0"/>
            </w:pPr>
            <w:r/>
            <w:r>
              <w:rPr>
                <w:sz w:val="17"/>
              </w:rPr>
              <w:t>85.8</w:t>
            </w:r>
          </w:p>
        </w:tc>
        <w:tc>
          <w:tcPr>
            <w:tcW w:type="dxa" w:w="1872"/>
            <w:shd w:val="clear" w:color="auto" w:fill="EDF1F5"/>
          </w:tcPr>
          <w:p>
            <w:pPr>
              <w:spacing w:after="0"/>
            </w:pPr>
            <w:r/>
            <w:r>
              <w:rPr>
                <w:sz w:val="17"/>
              </w:rPr>
              <w:t>11.72</w:t>
            </w:r>
          </w:p>
        </w:tc>
      </w:tr>
      <w:tr>
        <w:tc>
          <w:tcPr>
            <w:tcW w:type="dxa" w:w="1872"/>
          </w:tcPr>
          <w:p>
            <w:pPr>
              <w:spacing w:after="0"/>
            </w:pPr>
            <w:r/>
            <w:r>
              <w:rPr>
                <w:sz w:val="17"/>
              </w:rPr>
              <w:t>Optimistic</w:t>
            </w:r>
          </w:p>
        </w:tc>
        <w:tc>
          <w:tcPr>
            <w:tcW w:type="dxa" w:w="1872"/>
          </w:tcPr>
          <w:p>
            <w:pPr>
              <w:spacing w:after="0"/>
            </w:pPr>
            <w:r/>
            <w:r>
              <w:rPr>
                <w:sz w:val="17"/>
              </w:rPr>
              <w:t>125.0</w:t>
            </w:r>
          </w:p>
        </w:tc>
        <w:tc>
          <w:tcPr>
            <w:tcW w:type="dxa" w:w="1872"/>
          </w:tcPr>
          <w:p>
            <w:pPr>
              <w:spacing w:after="0"/>
            </w:pPr>
            <w:r/>
            <w:r>
              <w:rPr>
                <w:sz w:val="17"/>
              </w:rPr>
              <w:t>5.0</w:t>
            </w:r>
          </w:p>
        </w:tc>
        <w:tc>
          <w:tcPr>
            <w:tcW w:type="dxa" w:w="1872"/>
          </w:tcPr>
          <w:p>
            <w:pPr>
              <w:spacing w:after="0"/>
            </w:pPr>
            <w:r/>
            <w:r>
              <w:rPr>
                <w:sz w:val="17"/>
              </w:rPr>
              <w:t>120.0</w:t>
            </w:r>
          </w:p>
        </w:tc>
        <w:tc>
          <w:tcPr>
            <w:tcW w:type="dxa" w:w="1872"/>
          </w:tcPr>
          <w:p>
            <w:pPr>
              <w:spacing w:after="0"/>
            </w:pPr>
            <w:r/>
            <w:r>
              <w:rPr>
                <w:sz w:val="17"/>
              </w:rPr>
              <w:t>25.01</w:t>
            </w:r>
          </w:p>
        </w:tc>
      </w:tr>
    </w:tbl>
    <w:p>
      <w:pPr>
        <w:spacing w:after="80"/>
      </w:pPr>
      <w:r>
        <w:rPr>
          <w:sz w:val="4"/>
        </w:rPr>
      </w:r>
    </w:p>
    <w:p>
      <w:pPr>
        <w:spacing w:after="120"/>
      </w:pPr>
      <w:r>
        <w:rPr>
          <w:b w:val="0"/>
          <w:i/>
          <w:color w:val="606060"/>
          <w:sz w:val="19"/>
        </w:rPr>
        <w:t>Stated precedent/analogue: CHIPS Act (CBO Jul 2022 cost estimate) &amp; IRA credits (JCT scores).</w:t>
      </w:r>
    </w:p>
    <w:p>
      <w:pPr>
        <w:pStyle w:val="Heading3"/>
      </w:pPr>
      <w:r>
        <w:t>Data Sharing Mandate</w:t>
      </w:r>
    </w:p>
    <w:p>
      <w:pPr>
        <w:spacing w:after="120"/>
      </w:pPr>
      <w:r>
        <w:rPr>
          <w:b w:val="0"/>
          <w:i w:val="0"/>
          <w:sz w:val="22"/>
        </w:rPr>
        <w:t>Mechanism: require sharing of anonymized data to diffuse model/data advantages.</w:t>
      </w:r>
    </w:p>
    <w:p>
      <w:pPr>
        <w:keepNext/>
        <w:spacing w:before="200" w:after="40"/>
      </w:pPr>
      <w:r>
        <w:rPr>
          <w:b/>
          <w:color w:val="2C3E50"/>
          <w:sz w:val="20"/>
        </w:rPr>
        <w:t>Scenarios — Data Sharing Mandate (ai_ecosystem_model.py enhancement output)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Scenario</w:t>
            </w:r>
          </w:p>
        </w:tc>
        <w:tc>
          <w:tcPr>
            <w:tcW w:type="dxa" w:w="1872"/>
            <w:tblHeader w:val="true"/>
            <w:shd w:val="clear" w:color="auto" w:fill="2C3E50"/>
          </w:tcPr>
          <w:p>
            <w:pPr>
              <w:jc w:val="center"/>
            </w:pPr>
            <w:r/>
            <w:r>
              <w:rPr>
                <w:b/>
                <w:color w:val="FFFFFF"/>
                <w:sz w:val="18"/>
              </w:rPr>
              <w:t>DWL reduction ($B)</w:t>
            </w:r>
          </w:p>
        </w:tc>
        <w:tc>
          <w:tcPr>
            <w:tcW w:type="dxa" w:w="1872"/>
            <w:tblHeader w:val="true"/>
            <w:shd w:val="clear" w:color="auto" w:fill="2C3E50"/>
          </w:tcPr>
          <w:p>
            <w:pPr>
              <w:jc w:val="center"/>
            </w:pPr>
            <w:r/>
            <w:r>
              <w:rPr>
                <w:b/>
                <w:color w:val="FFFFFF"/>
                <w:sz w:val="18"/>
              </w:rPr>
              <w:t>Cost ($B)</w:t>
            </w:r>
          </w:p>
        </w:tc>
        <w:tc>
          <w:tcPr>
            <w:tcW w:type="dxa" w:w="1872"/>
            <w:tblHeader w:val="true"/>
            <w:shd w:val="clear" w:color="auto" w:fill="2C3E50"/>
          </w:tcPr>
          <w:p>
            <w:pPr>
              <w:jc w:val="center"/>
            </w:pPr>
            <w:r/>
            <w:r>
              <w:rPr>
                <w:b/>
                <w:color w:val="FFFFFF"/>
                <w:sz w:val="18"/>
              </w:rPr>
              <w:t>Net benefit ($B)</w:t>
            </w:r>
          </w:p>
        </w:tc>
        <w:tc>
          <w:tcPr>
            <w:tcW w:type="dxa" w:w="1872"/>
            <w:tblHeader w:val="true"/>
            <w:shd w:val="clear" w:color="auto" w:fill="2C3E50"/>
          </w:tcPr>
          <w:p>
            <w:pPr>
              <w:jc w:val="center"/>
            </w:pPr>
            <w:r/>
            <w:r>
              <w:rPr>
                <w:b/>
                <w:color w:val="FFFFFF"/>
                <w:sz w:val="18"/>
              </w:rPr>
              <w:t>BCR</w:t>
            </w:r>
          </w:p>
        </w:tc>
      </w:tr>
      <w:tr>
        <w:tc>
          <w:tcPr>
            <w:tcW w:type="dxa" w:w="1872"/>
          </w:tcPr>
          <w:p>
            <w:pPr>
              <w:spacing w:after="0"/>
            </w:pPr>
            <w:r/>
            <w:r>
              <w:rPr>
                <w:sz w:val="17"/>
              </w:rPr>
              <w:t>Conservative</w:t>
            </w:r>
          </w:p>
        </w:tc>
        <w:tc>
          <w:tcPr>
            <w:tcW w:type="dxa" w:w="1872"/>
          </w:tcPr>
          <w:p>
            <w:pPr>
              <w:spacing w:after="0"/>
            </w:pPr>
            <w:r/>
            <w:r>
              <w:rPr>
                <w:sz w:val="17"/>
              </w:rPr>
              <w:t>50.0</w:t>
            </w:r>
          </w:p>
        </w:tc>
        <w:tc>
          <w:tcPr>
            <w:tcW w:type="dxa" w:w="1872"/>
          </w:tcPr>
          <w:p>
            <w:pPr>
              <w:spacing w:after="0"/>
            </w:pPr>
            <w:r/>
            <w:r>
              <w:rPr>
                <w:sz w:val="17"/>
              </w:rPr>
              <w:t>5.0</w:t>
            </w:r>
          </w:p>
        </w:tc>
        <w:tc>
          <w:tcPr>
            <w:tcW w:type="dxa" w:w="1872"/>
          </w:tcPr>
          <w:p>
            <w:pPr>
              <w:spacing w:after="0"/>
            </w:pPr>
            <w:r/>
            <w:r>
              <w:rPr>
                <w:sz w:val="17"/>
              </w:rPr>
              <w:t>45.0</w:t>
            </w:r>
          </w:p>
        </w:tc>
        <w:tc>
          <w:tcPr>
            <w:tcW w:type="dxa" w:w="1872"/>
          </w:tcPr>
          <w:p>
            <w:pPr>
              <w:spacing w:after="0"/>
            </w:pPr>
            <w:r/>
            <w:r>
              <w:rPr>
                <w:sz w:val="17"/>
              </w:rPr>
              <w:t>10.00</w:t>
            </w:r>
          </w:p>
        </w:tc>
      </w:tr>
      <w:tr>
        <w:tc>
          <w:tcPr>
            <w:tcW w:type="dxa" w:w="1872"/>
            <w:shd w:val="clear" w:color="auto" w:fill="EDF1F5"/>
          </w:tcPr>
          <w:p>
            <w:pPr>
              <w:spacing w:after="0"/>
            </w:pPr>
            <w:r/>
            <w:r>
              <w:rPr>
                <w:sz w:val="17"/>
              </w:rPr>
              <w:t>Base</w:t>
            </w:r>
          </w:p>
        </w:tc>
        <w:tc>
          <w:tcPr>
            <w:tcW w:type="dxa" w:w="1872"/>
            <w:shd w:val="clear" w:color="auto" w:fill="EDF1F5"/>
          </w:tcPr>
          <w:p>
            <w:pPr>
              <w:spacing w:after="0"/>
            </w:pPr>
            <w:r/>
            <w:r>
              <w:rPr>
                <w:sz w:val="17"/>
              </w:rPr>
              <w:t>75.0</w:t>
            </w:r>
          </w:p>
        </w:tc>
        <w:tc>
          <w:tcPr>
            <w:tcW w:type="dxa" w:w="1872"/>
            <w:shd w:val="clear" w:color="auto" w:fill="EDF1F5"/>
          </w:tcPr>
          <w:p>
            <w:pPr>
              <w:spacing w:after="0"/>
            </w:pPr>
            <w:r/>
            <w:r>
              <w:rPr>
                <w:sz w:val="17"/>
              </w:rPr>
              <w:t>3.0</w:t>
            </w:r>
          </w:p>
        </w:tc>
        <w:tc>
          <w:tcPr>
            <w:tcW w:type="dxa" w:w="1872"/>
            <w:shd w:val="clear" w:color="auto" w:fill="EDF1F5"/>
          </w:tcPr>
          <w:p>
            <w:pPr>
              <w:spacing w:after="0"/>
            </w:pPr>
            <w:r/>
            <w:r>
              <w:rPr>
                <w:sz w:val="17"/>
              </w:rPr>
              <w:t>72.0</w:t>
            </w:r>
          </w:p>
        </w:tc>
        <w:tc>
          <w:tcPr>
            <w:tcW w:type="dxa" w:w="1872"/>
            <w:shd w:val="clear" w:color="auto" w:fill="EDF1F5"/>
          </w:tcPr>
          <w:p>
            <w:pPr>
              <w:spacing w:after="0"/>
            </w:pPr>
            <w:r/>
            <w:r>
              <w:rPr>
                <w:sz w:val="17"/>
              </w:rPr>
              <w:t>25.01</w:t>
            </w:r>
          </w:p>
        </w:tc>
      </w:tr>
      <w:tr>
        <w:tc>
          <w:tcPr>
            <w:tcW w:type="dxa" w:w="1872"/>
          </w:tcPr>
          <w:p>
            <w:pPr>
              <w:spacing w:after="0"/>
            </w:pPr>
            <w:r/>
            <w:r>
              <w:rPr>
                <w:sz w:val="17"/>
              </w:rPr>
              <w:t>Optimistic</w:t>
            </w:r>
          </w:p>
        </w:tc>
        <w:tc>
          <w:tcPr>
            <w:tcW w:type="dxa" w:w="1872"/>
          </w:tcPr>
          <w:p>
            <w:pPr>
              <w:spacing w:after="0"/>
            </w:pPr>
            <w:r/>
            <w:r>
              <w:rPr>
                <w:sz w:val="17"/>
              </w:rPr>
              <w:t>104.2</w:t>
            </w:r>
          </w:p>
        </w:tc>
        <w:tc>
          <w:tcPr>
            <w:tcW w:type="dxa" w:w="1872"/>
          </w:tcPr>
          <w:p>
            <w:pPr>
              <w:spacing w:after="0"/>
            </w:pPr>
            <w:r/>
            <w:r>
              <w:rPr>
                <w:sz w:val="17"/>
              </w:rPr>
              <w:t>2.0</w:t>
            </w:r>
          </w:p>
        </w:tc>
        <w:tc>
          <w:tcPr>
            <w:tcW w:type="dxa" w:w="1872"/>
          </w:tcPr>
          <w:p>
            <w:pPr>
              <w:spacing w:after="0"/>
            </w:pPr>
            <w:r/>
            <w:r>
              <w:rPr>
                <w:sz w:val="17"/>
              </w:rPr>
              <w:t>102.2</w:t>
            </w:r>
          </w:p>
        </w:tc>
        <w:tc>
          <w:tcPr>
            <w:tcW w:type="dxa" w:w="1872"/>
          </w:tcPr>
          <w:p>
            <w:pPr>
              <w:spacing w:after="0"/>
            </w:pPr>
            <w:r/>
            <w:r>
              <w:rPr>
                <w:sz w:val="17"/>
              </w:rPr>
              <w:t>52.10</w:t>
            </w:r>
          </w:p>
        </w:tc>
      </w:tr>
    </w:tbl>
    <w:p>
      <w:pPr>
        <w:spacing w:after="80"/>
      </w:pPr>
      <w:r>
        <w:rPr>
          <w:sz w:val="4"/>
        </w:rPr>
      </w:r>
    </w:p>
    <w:p>
      <w:pPr>
        <w:spacing w:after="120"/>
      </w:pPr>
      <w:r>
        <w:rPr>
          <w:b w:val="0"/>
          <w:i/>
          <w:color w:val="606060"/>
          <w:sz w:val="19"/>
        </w:rPr>
        <w:t>Stated precedent/analogue: Krämer, Senellart &amp; de Streel (2020), Making Data Portability More Effective, CERRE.</w:t>
      </w:r>
    </w:p>
    <w:p>
      <w:pPr>
        <w:pStyle w:val="Heading3"/>
      </w:pPr>
      <w:r>
        <w:t>Combined Intervention</w:t>
      </w:r>
    </w:p>
    <w:p>
      <w:pPr>
        <w:spacing w:after="120"/>
      </w:pPr>
      <w:r>
        <w:rPr>
          <w:b w:val="0"/>
          <w:i w:val="0"/>
          <w:sz w:val="22"/>
        </w:rPr>
        <w:t>Mechanism: deploy all four levers jointly (tested sub-additive, ratio 0.547: the levers overlap rather than complement).</w:t>
      </w:r>
    </w:p>
    <w:p>
      <w:pPr>
        <w:keepNext/>
        <w:spacing w:before="200" w:after="40"/>
      </w:pPr>
      <w:r>
        <w:rPr>
          <w:b/>
          <w:color w:val="2C3E50"/>
          <w:sz w:val="20"/>
        </w:rPr>
        <w:t>Scenarios — Combined Intervention (ai_ecosystem_model.py enhancement output)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Scenario</w:t>
            </w:r>
          </w:p>
        </w:tc>
        <w:tc>
          <w:tcPr>
            <w:tcW w:type="dxa" w:w="1872"/>
            <w:tblHeader w:val="true"/>
            <w:shd w:val="clear" w:color="auto" w:fill="2C3E50"/>
          </w:tcPr>
          <w:p>
            <w:pPr>
              <w:jc w:val="center"/>
            </w:pPr>
            <w:r/>
            <w:r>
              <w:rPr>
                <w:b/>
                <w:color w:val="FFFFFF"/>
                <w:sz w:val="18"/>
              </w:rPr>
              <w:t>DWL reduction ($B)</w:t>
            </w:r>
          </w:p>
        </w:tc>
        <w:tc>
          <w:tcPr>
            <w:tcW w:type="dxa" w:w="1872"/>
            <w:tblHeader w:val="true"/>
            <w:shd w:val="clear" w:color="auto" w:fill="2C3E50"/>
          </w:tcPr>
          <w:p>
            <w:pPr>
              <w:jc w:val="center"/>
            </w:pPr>
            <w:r/>
            <w:r>
              <w:rPr>
                <w:b/>
                <w:color w:val="FFFFFF"/>
                <w:sz w:val="18"/>
              </w:rPr>
              <w:t>Cost ($B)</w:t>
            </w:r>
          </w:p>
        </w:tc>
        <w:tc>
          <w:tcPr>
            <w:tcW w:type="dxa" w:w="1872"/>
            <w:tblHeader w:val="true"/>
            <w:shd w:val="clear" w:color="auto" w:fill="2C3E50"/>
          </w:tcPr>
          <w:p>
            <w:pPr>
              <w:jc w:val="center"/>
            </w:pPr>
            <w:r/>
            <w:r>
              <w:rPr>
                <w:b/>
                <w:color w:val="FFFFFF"/>
                <w:sz w:val="18"/>
              </w:rPr>
              <w:t>Net benefit ($B)</w:t>
            </w:r>
          </w:p>
        </w:tc>
        <w:tc>
          <w:tcPr>
            <w:tcW w:type="dxa" w:w="1872"/>
            <w:tblHeader w:val="true"/>
            <w:shd w:val="clear" w:color="auto" w:fill="2C3E50"/>
          </w:tcPr>
          <w:p>
            <w:pPr>
              <w:jc w:val="center"/>
            </w:pPr>
            <w:r/>
            <w:r>
              <w:rPr>
                <w:b/>
                <w:color w:val="FFFFFF"/>
                <w:sz w:val="18"/>
              </w:rPr>
              <w:t>BCR</w:t>
            </w:r>
          </w:p>
        </w:tc>
      </w:tr>
      <w:tr>
        <w:tc>
          <w:tcPr>
            <w:tcW w:type="dxa" w:w="1872"/>
          </w:tcPr>
          <w:p>
            <w:pPr>
              <w:spacing w:after="0"/>
            </w:pPr>
            <w:r/>
            <w:r>
              <w:rPr>
                <w:sz w:val="17"/>
              </w:rPr>
              <w:t>Conservative</w:t>
            </w:r>
          </w:p>
        </w:tc>
        <w:tc>
          <w:tcPr>
            <w:tcW w:type="dxa" w:w="1872"/>
          </w:tcPr>
          <w:p>
            <w:pPr>
              <w:spacing w:after="0"/>
            </w:pPr>
            <w:r/>
            <w:r>
              <w:rPr>
                <w:sz w:val="17"/>
              </w:rPr>
              <w:t>187.5</w:t>
            </w:r>
          </w:p>
        </w:tc>
        <w:tc>
          <w:tcPr>
            <w:tcW w:type="dxa" w:w="1872"/>
          </w:tcPr>
          <w:p>
            <w:pPr>
              <w:spacing w:after="0"/>
            </w:pPr>
            <w:r/>
            <w:r>
              <w:rPr>
                <w:sz w:val="17"/>
              </w:rPr>
              <w:t>20.0</w:t>
            </w:r>
          </w:p>
        </w:tc>
        <w:tc>
          <w:tcPr>
            <w:tcW w:type="dxa" w:w="1872"/>
          </w:tcPr>
          <w:p>
            <w:pPr>
              <w:spacing w:after="0"/>
            </w:pPr>
            <w:r/>
            <w:r>
              <w:rPr>
                <w:sz w:val="17"/>
              </w:rPr>
              <w:t>167.5</w:t>
            </w:r>
          </w:p>
        </w:tc>
        <w:tc>
          <w:tcPr>
            <w:tcW w:type="dxa" w:w="1872"/>
          </w:tcPr>
          <w:p>
            <w:pPr>
              <w:spacing w:after="0"/>
            </w:pPr>
            <w:r/>
            <w:r>
              <w:rPr>
                <w:sz w:val="17"/>
              </w:rPr>
              <w:t>9.38</w:t>
            </w:r>
          </w:p>
        </w:tc>
      </w:tr>
      <w:tr>
        <w:tc>
          <w:tcPr>
            <w:tcW w:type="dxa" w:w="1872"/>
            <w:shd w:val="clear" w:color="auto" w:fill="EDF1F5"/>
          </w:tcPr>
          <w:p>
            <w:pPr>
              <w:spacing w:after="0"/>
            </w:pPr>
            <w:r/>
            <w:r>
              <w:rPr>
                <w:sz w:val="17"/>
              </w:rPr>
              <w:t>Base</w:t>
            </w:r>
          </w:p>
        </w:tc>
        <w:tc>
          <w:tcPr>
            <w:tcW w:type="dxa" w:w="1872"/>
            <w:shd w:val="clear" w:color="auto" w:fill="EDF1F5"/>
          </w:tcPr>
          <w:p>
            <w:pPr>
              <w:spacing w:after="0"/>
            </w:pPr>
            <w:r/>
            <w:r>
              <w:rPr>
                <w:sz w:val="17"/>
              </w:rPr>
              <w:t>229.2</w:t>
            </w:r>
          </w:p>
        </w:tc>
        <w:tc>
          <w:tcPr>
            <w:tcW w:type="dxa" w:w="1872"/>
            <w:shd w:val="clear" w:color="auto" w:fill="EDF1F5"/>
          </w:tcPr>
          <w:p>
            <w:pPr>
              <w:spacing w:after="0"/>
            </w:pPr>
            <w:r/>
            <w:r>
              <w:rPr>
                <w:sz w:val="17"/>
              </w:rPr>
              <w:t>15.0</w:t>
            </w:r>
          </w:p>
        </w:tc>
        <w:tc>
          <w:tcPr>
            <w:tcW w:type="dxa" w:w="1872"/>
            <w:shd w:val="clear" w:color="auto" w:fill="EDF1F5"/>
          </w:tcPr>
          <w:p>
            <w:pPr>
              <w:spacing w:after="0"/>
            </w:pPr>
            <w:r/>
            <w:r>
              <w:rPr>
                <w:sz w:val="17"/>
              </w:rPr>
              <w:t>214.2</w:t>
            </w:r>
          </w:p>
        </w:tc>
        <w:tc>
          <w:tcPr>
            <w:tcW w:type="dxa" w:w="1872"/>
            <w:shd w:val="clear" w:color="auto" w:fill="EDF1F5"/>
          </w:tcPr>
          <w:p>
            <w:pPr>
              <w:spacing w:after="0"/>
            </w:pPr>
            <w:r/>
            <w:r>
              <w:rPr>
                <w:sz w:val="17"/>
              </w:rPr>
              <w:t>15.28</w:t>
            </w:r>
          </w:p>
        </w:tc>
      </w:tr>
      <w:tr>
        <w:tc>
          <w:tcPr>
            <w:tcW w:type="dxa" w:w="1872"/>
          </w:tcPr>
          <w:p>
            <w:pPr>
              <w:spacing w:after="0"/>
            </w:pPr>
            <w:r/>
            <w:r>
              <w:rPr>
                <w:sz w:val="17"/>
              </w:rPr>
              <w:t>Optimistic</w:t>
            </w:r>
          </w:p>
        </w:tc>
        <w:tc>
          <w:tcPr>
            <w:tcW w:type="dxa" w:w="1872"/>
          </w:tcPr>
          <w:p>
            <w:pPr>
              <w:spacing w:after="0"/>
            </w:pPr>
            <w:r/>
            <w:r>
              <w:rPr>
                <w:sz w:val="17"/>
              </w:rPr>
              <w:t>270.9</w:t>
            </w:r>
          </w:p>
        </w:tc>
        <w:tc>
          <w:tcPr>
            <w:tcW w:type="dxa" w:w="1872"/>
          </w:tcPr>
          <w:p>
            <w:pPr>
              <w:spacing w:after="0"/>
            </w:pPr>
            <w:r/>
            <w:r>
              <w:rPr>
                <w:sz w:val="17"/>
              </w:rPr>
              <w:t>12.0</w:t>
            </w:r>
          </w:p>
        </w:tc>
        <w:tc>
          <w:tcPr>
            <w:tcW w:type="dxa" w:w="1872"/>
          </w:tcPr>
          <w:p>
            <w:pPr>
              <w:spacing w:after="0"/>
            </w:pPr>
            <w:r/>
            <w:r>
              <w:rPr>
                <w:sz w:val="17"/>
              </w:rPr>
              <w:t>258.9</w:t>
            </w:r>
          </w:p>
        </w:tc>
        <w:tc>
          <w:tcPr>
            <w:tcW w:type="dxa" w:w="1872"/>
          </w:tcPr>
          <w:p>
            <w:pPr>
              <w:spacing w:after="0"/>
            </w:pPr>
            <w:r/>
            <w:r>
              <w:rPr>
                <w:sz w:val="17"/>
              </w:rPr>
              <w:t>22.57</w:t>
            </w:r>
          </w:p>
        </w:tc>
      </w:tr>
    </w:tbl>
    <w:p>
      <w:pPr>
        <w:spacing w:after="80"/>
      </w:pPr>
      <w:r>
        <w:rPr>
          <w:sz w:val="4"/>
        </w:rPr>
      </w:r>
    </w:p>
    <w:p>
      <w:pPr>
        <w:spacing w:after="120"/>
      </w:pPr>
      <w:r>
        <w:rPr>
          <w:b w:val="0"/>
          <w:i/>
          <w:color w:val="606060"/>
          <w:sz w:val="19"/>
        </w:rPr>
        <w:t>Stated precedent/analogue: Policy complementarity (Crémer et al. 2019).</w:t>
      </w:r>
    </w:p>
    <w:p>
      <w:pPr>
        <w:pStyle w:val="Heading2"/>
      </w:pPr>
      <w:r>
        <w:t>5.2  Coordination failures</w:t>
      </w:r>
    </w:p>
    <w:p>
      <w:pPr>
        <w:keepNext/>
        <w:spacing w:before="200" w:after="40"/>
      </w:pPr>
      <w:r>
        <w:rPr>
          <w:b/>
          <w:color w:val="2C3E50"/>
          <w:sz w:val="20"/>
        </w:rPr>
        <w:t>Exhibit 5.3  Coordination-failure diagnostics (computed by build_technical_report.py)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Game</w:t>
            </w:r>
          </w:p>
        </w:tc>
        <w:tc>
          <w:tcPr>
            <w:tcW w:type="dxa" w:w="1872"/>
            <w:tblHeader w:val="true"/>
            <w:shd w:val="clear" w:color="auto" w:fill="2C3E50"/>
          </w:tcPr>
          <w:p>
            <w:pPr>
              <w:jc w:val="center"/>
            </w:pPr>
            <w:r/>
            <w:r>
              <w:rPr>
                <w:b/>
                <w:color w:val="FFFFFF"/>
                <w:sz w:val="18"/>
              </w:rPr>
              <w:t>Coordination failure</w:t>
            </w:r>
          </w:p>
        </w:tc>
        <w:tc>
          <w:tcPr>
            <w:tcW w:type="dxa" w:w="1872"/>
            <w:tblHeader w:val="true"/>
            <w:shd w:val="clear" w:color="auto" w:fill="2C3E50"/>
          </w:tcPr>
          <w:p>
            <w:pPr>
              <w:jc w:val="center"/>
            </w:pPr>
            <w:r/>
            <w:r>
              <w:rPr>
                <w:b/>
                <w:color w:val="FFFFFF"/>
                <w:sz w:val="18"/>
              </w:rPr>
              <w:t>Severity</w:t>
            </w:r>
          </w:p>
        </w:tc>
        <w:tc>
          <w:tcPr>
            <w:tcW w:type="dxa" w:w="1872"/>
            <w:tblHeader w:val="true"/>
            <w:shd w:val="clear" w:color="auto" w:fill="2C3E50"/>
          </w:tcPr>
          <w:p>
            <w:pPr>
              <w:jc w:val="center"/>
            </w:pPr>
            <w:r/>
            <w:r>
              <w:rPr>
                <w:b/>
                <w:color w:val="FFFFFF"/>
                <w:sz w:val="18"/>
              </w:rPr>
              <w:t>DWL ($B)</w:t>
            </w:r>
          </w:p>
        </w:tc>
        <w:tc>
          <w:tcPr>
            <w:tcW w:type="dxa" w:w="1872"/>
            <w:tblHeader w:val="true"/>
            <w:shd w:val="clear" w:color="auto" w:fill="2C3E50"/>
          </w:tcPr>
          <w:p>
            <w:pPr>
              <w:jc w:val="center"/>
            </w:pPr>
            <w:r/>
            <w:r>
              <w:rPr>
                <w:b/>
                <w:color w:val="FFFFFF"/>
                <w:sz w:val="18"/>
              </w:rPr>
              <w:t>Efficiency (%)</w:t>
            </w:r>
          </w:p>
        </w:tc>
      </w:tr>
      <w:tr>
        <w:tc>
          <w:tcPr>
            <w:tcW w:type="dxa" w:w="1872"/>
          </w:tcPr>
          <w:p>
            <w:pPr>
              <w:spacing w:after="0"/>
            </w:pPr>
            <w:r/>
            <w:r>
              <w:rPr>
                <w:sz w:val="17"/>
              </w:rPr>
              <w:t>Hardware-Cloud Providers</w:t>
            </w:r>
          </w:p>
        </w:tc>
        <w:tc>
          <w:tcPr>
            <w:tcW w:type="dxa" w:w="1872"/>
          </w:tcPr>
          <w:p>
            <w:pPr>
              <w:spacing w:after="0"/>
            </w:pPr>
            <w:r/>
            <w:r>
              <w:rPr>
                <w:sz w:val="17"/>
              </w:rPr>
              <w:t>Yes</w:t>
            </w:r>
          </w:p>
        </w:tc>
        <w:tc>
          <w:tcPr>
            <w:tcW w:type="dxa" w:w="1872"/>
          </w:tcPr>
          <w:p>
            <w:pPr>
              <w:spacing w:after="0"/>
            </w:pPr>
            <w:r/>
            <w:r>
              <w:rPr>
                <w:sz w:val="17"/>
              </w:rPr>
              <w:t>Moderate</w:t>
            </w:r>
          </w:p>
        </w:tc>
        <w:tc>
          <w:tcPr>
            <w:tcW w:type="dxa" w:w="1872"/>
          </w:tcPr>
          <w:p>
            <w:pPr>
              <w:spacing w:after="0"/>
            </w:pPr>
            <w:r/>
            <w:r>
              <w:rPr>
                <w:sz w:val="17"/>
              </w:rPr>
              <w:t>58.59</w:t>
            </w:r>
          </w:p>
        </w:tc>
        <w:tc>
          <w:tcPr>
            <w:tcW w:type="dxa" w:w="1872"/>
          </w:tcPr>
          <w:p>
            <w:pPr>
              <w:spacing w:after="0"/>
            </w:pPr>
            <w:r/>
            <w:r>
              <w:rPr>
                <w:sz w:val="17"/>
              </w:rPr>
              <w:t>94.9</w:t>
            </w:r>
          </w:p>
        </w:tc>
      </w:tr>
      <w:tr>
        <w:tc>
          <w:tcPr>
            <w:tcW w:type="dxa" w:w="1872"/>
            <w:shd w:val="clear" w:color="auto" w:fill="EDF1F5"/>
          </w:tcPr>
          <w:p>
            <w:pPr>
              <w:spacing w:after="0"/>
            </w:pPr>
            <w:r/>
            <w:r>
              <w:rPr>
                <w:sz w:val="17"/>
              </w:rPr>
              <w:t>Hardware-Foundation Models</w:t>
            </w:r>
          </w:p>
        </w:tc>
        <w:tc>
          <w:tcPr>
            <w:tcW w:type="dxa" w:w="1872"/>
            <w:shd w:val="clear" w:color="auto" w:fill="EDF1F5"/>
          </w:tcPr>
          <w:p>
            <w:pPr>
              <w:spacing w:after="0"/>
            </w:pPr>
            <w:r/>
            <w:r>
              <w:rPr>
                <w:sz w:val="17"/>
              </w:rPr>
              <w:t>Yes</w:t>
            </w:r>
          </w:p>
        </w:tc>
        <w:tc>
          <w:tcPr>
            <w:tcW w:type="dxa" w:w="1872"/>
            <w:shd w:val="clear" w:color="auto" w:fill="EDF1F5"/>
          </w:tcPr>
          <w:p>
            <w:pPr>
              <w:spacing w:after="0"/>
            </w:pPr>
            <w:r/>
            <w:r>
              <w:rPr>
                <w:sz w:val="17"/>
              </w:rPr>
              <w:t>Critical</w:t>
            </w:r>
          </w:p>
        </w:tc>
        <w:tc>
          <w:tcPr>
            <w:tcW w:type="dxa" w:w="1872"/>
            <w:shd w:val="clear" w:color="auto" w:fill="EDF1F5"/>
          </w:tcPr>
          <w:p>
            <w:pPr>
              <w:spacing w:after="0"/>
            </w:pPr>
            <w:r/>
            <w:r>
              <w:rPr>
                <w:sz w:val="17"/>
              </w:rPr>
              <w:t>205.59</w:t>
            </w:r>
          </w:p>
        </w:tc>
        <w:tc>
          <w:tcPr>
            <w:tcW w:type="dxa" w:w="1872"/>
            <w:shd w:val="clear" w:color="auto" w:fill="EDF1F5"/>
          </w:tcPr>
          <w:p>
            <w:pPr>
              <w:spacing w:after="0"/>
            </w:pPr>
            <w:r/>
            <w:r>
              <w:rPr>
                <w:sz w:val="17"/>
              </w:rPr>
              <w:t>76.6</w:t>
            </w:r>
          </w:p>
        </w:tc>
      </w:tr>
      <w:tr>
        <w:tc>
          <w:tcPr>
            <w:tcW w:type="dxa" w:w="1872"/>
          </w:tcPr>
          <w:p>
            <w:pPr>
              <w:spacing w:after="0"/>
            </w:pPr>
            <w:r/>
            <w:r>
              <w:rPr>
                <w:sz w:val="17"/>
              </w:rPr>
              <w:t>Hardware-LLM Wrappers</w:t>
            </w:r>
          </w:p>
        </w:tc>
        <w:tc>
          <w:tcPr>
            <w:tcW w:type="dxa" w:w="1872"/>
          </w:tcPr>
          <w:p>
            <w:pPr>
              <w:spacing w:after="0"/>
            </w:pPr>
            <w:r/>
            <w:r>
              <w:rPr>
                <w:sz w:val="17"/>
              </w:rPr>
              <w:t>Yes</w:t>
            </w:r>
          </w:p>
        </w:tc>
        <w:tc>
          <w:tcPr>
            <w:tcW w:type="dxa" w:w="1872"/>
          </w:tcPr>
          <w:p>
            <w:pPr>
              <w:spacing w:after="0"/>
            </w:pPr>
            <w:r/>
            <w:r>
              <w:rPr>
                <w:sz w:val="17"/>
              </w:rPr>
              <w:t>Critical</w:t>
            </w:r>
          </w:p>
        </w:tc>
        <w:tc>
          <w:tcPr>
            <w:tcW w:type="dxa" w:w="1872"/>
          </w:tcPr>
          <w:p>
            <w:pPr>
              <w:spacing w:after="0"/>
            </w:pPr>
            <w:r/>
            <w:r>
              <w:rPr>
                <w:sz w:val="17"/>
              </w:rPr>
              <w:t>247.04</w:t>
            </w:r>
          </w:p>
        </w:tc>
        <w:tc>
          <w:tcPr>
            <w:tcW w:type="dxa" w:w="1872"/>
          </w:tcPr>
          <w:p>
            <w:pPr>
              <w:spacing w:after="0"/>
            </w:pPr>
            <w:r/>
            <w:r>
              <w:rPr>
                <w:sz w:val="17"/>
              </w:rPr>
              <w:t>71.1</w:t>
            </w:r>
          </w:p>
        </w:tc>
      </w:tr>
      <w:tr>
        <w:tc>
          <w:tcPr>
            <w:tcW w:type="dxa" w:w="1872"/>
            <w:shd w:val="clear" w:color="auto" w:fill="EDF1F5"/>
          </w:tcPr>
          <w:p>
            <w:pPr>
              <w:spacing w:after="0"/>
            </w:pPr>
            <w:r/>
            <w:r>
              <w:rPr>
                <w:sz w:val="17"/>
              </w:rPr>
              <w:t>Cloud Providers-Foundation Models</w:t>
            </w:r>
          </w:p>
        </w:tc>
        <w:tc>
          <w:tcPr>
            <w:tcW w:type="dxa" w:w="1872"/>
            <w:shd w:val="clear" w:color="auto" w:fill="EDF1F5"/>
          </w:tcPr>
          <w:p>
            <w:pPr>
              <w:spacing w:after="0"/>
            </w:pPr>
            <w:r/>
            <w:r>
              <w:rPr>
                <w:sz w:val="17"/>
              </w:rPr>
              <w:t>Yes</w:t>
            </w:r>
          </w:p>
        </w:tc>
        <w:tc>
          <w:tcPr>
            <w:tcW w:type="dxa" w:w="1872"/>
            <w:shd w:val="clear" w:color="auto" w:fill="EDF1F5"/>
          </w:tcPr>
          <w:p>
            <w:pPr>
              <w:spacing w:after="0"/>
            </w:pPr>
            <w:r/>
            <w:r>
              <w:rPr>
                <w:sz w:val="17"/>
              </w:rPr>
              <w:t>High</w:t>
            </w:r>
          </w:p>
        </w:tc>
        <w:tc>
          <w:tcPr>
            <w:tcW w:type="dxa" w:w="1872"/>
            <w:shd w:val="clear" w:color="auto" w:fill="EDF1F5"/>
          </w:tcPr>
          <w:p>
            <w:pPr>
              <w:spacing w:after="0"/>
            </w:pPr>
            <w:r/>
            <w:r>
              <w:rPr>
                <w:sz w:val="17"/>
              </w:rPr>
              <w:t>141.24</w:t>
            </w:r>
          </w:p>
        </w:tc>
        <w:tc>
          <w:tcPr>
            <w:tcW w:type="dxa" w:w="1872"/>
            <w:shd w:val="clear" w:color="auto" w:fill="EDF1F5"/>
          </w:tcPr>
          <w:p>
            <w:pPr>
              <w:spacing w:after="0"/>
            </w:pPr>
            <w:r/>
            <w:r>
              <w:rPr>
                <w:sz w:val="17"/>
              </w:rPr>
              <w:t>81.1</w:t>
            </w:r>
          </w:p>
        </w:tc>
      </w:tr>
      <w:tr>
        <w:tc>
          <w:tcPr>
            <w:tcW w:type="dxa" w:w="1872"/>
          </w:tcPr>
          <w:p>
            <w:pPr>
              <w:spacing w:after="0"/>
            </w:pPr>
            <w:r/>
            <w:r>
              <w:rPr>
                <w:sz w:val="17"/>
              </w:rPr>
              <w:t>Cloud Providers-LLM Wrappers</w:t>
            </w:r>
          </w:p>
        </w:tc>
        <w:tc>
          <w:tcPr>
            <w:tcW w:type="dxa" w:w="1872"/>
          </w:tcPr>
          <w:p>
            <w:pPr>
              <w:spacing w:after="0"/>
            </w:pPr>
            <w:r/>
            <w:r>
              <w:rPr>
                <w:sz w:val="17"/>
              </w:rPr>
              <w:t>Yes</w:t>
            </w:r>
          </w:p>
        </w:tc>
        <w:tc>
          <w:tcPr>
            <w:tcW w:type="dxa" w:w="1872"/>
          </w:tcPr>
          <w:p>
            <w:pPr>
              <w:spacing w:after="0"/>
            </w:pPr>
            <w:r/>
            <w:r>
              <w:rPr>
                <w:sz w:val="17"/>
              </w:rPr>
              <w:t>Critical</w:t>
            </w:r>
          </w:p>
        </w:tc>
        <w:tc>
          <w:tcPr>
            <w:tcW w:type="dxa" w:w="1872"/>
          </w:tcPr>
          <w:p>
            <w:pPr>
              <w:spacing w:after="0"/>
            </w:pPr>
            <w:r/>
            <w:r>
              <w:rPr>
                <w:sz w:val="17"/>
              </w:rPr>
              <w:t>180.68</w:t>
            </w:r>
          </w:p>
        </w:tc>
        <w:tc>
          <w:tcPr>
            <w:tcW w:type="dxa" w:w="1872"/>
          </w:tcPr>
          <w:p>
            <w:pPr>
              <w:spacing w:after="0"/>
            </w:pPr>
            <w:r/>
            <w:r>
              <w:rPr>
                <w:sz w:val="17"/>
              </w:rPr>
              <w:t>75.1</w:t>
            </w:r>
          </w:p>
        </w:tc>
      </w:tr>
      <w:tr>
        <w:tc>
          <w:tcPr>
            <w:tcW w:type="dxa" w:w="1872"/>
            <w:shd w:val="clear" w:color="auto" w:fill="EDF1F5"/>
          </w:tcPr>
          <w:p>
            <w:pPr>
              <w:spacing w:after="0"/>
            </w:pPr>
            <w:r/>
            <w:r>
              <w:rPr>
                <w:sz w:val="17"/>
              </w:rPr>
              <w:t>Foundation Models-LLM Wrappers</w:t>
            </w:r>
          </w:p>
        </w:tc>
        <w:tc>
          <w:tcPr>
            <w:tcW w:type="dxa" w:w="1872"/>
            <w:shd w:val="clear" w:color="auto" w:fill="EDF1F5"/>
          </w:tcPr>
          <w:p>
            <w:pPr>
              <w:spacing w:after="0"/>
            </w:pPr>
            <w:r/>
            <w:r>
              <w:rPr>
                <w:sz w:val="17"/>
              </w:rPr>
              <w:t>Yes</w:t>
            </w:r>
          </w:p>
        </w:tc>
        <w:tc>
          <w:tcPr>
            <w:tcW w:type="dxa" w:w="1872"/>
            <w:shd w:val="clear" w:color="auto" w:fill="EDF1F5"/>
          </w:tcPr>
          <w:p>
            <w:pPr>
              <w:spacing w:after="0"/>
            </w:pPr>
            <w:r/>
            <w:r>
              <w:rPr>
                <w:sz w:val="17"/>
              </w:rPr>
              <w:t>High</w:t>
            </w:r>
          </w:p>
        </w:tc>
        <w:tc>
          <w:tcPr>
            <w:tcW w:type="dxa" w:w="1872"/>
            <w:shd w:val="clear" w:color="auto" w:fill="EDF1F5"/>
          </w:tcPr>
          <w:p>
            <w:pPr>
              <w:spacing w:after="0"/>
            </w:pPr>
            <w:r/>
            <w:r>
              <w:rPr>
                <w:sz w:val="17"/>
              </w:rPr>
              <w:t>34.62</w:t>
            </w:r>
          </w:p>
        </w:tc>
        <w:tc>
          <w:tcPr>
            <w:tcW w:type="dxa" w:w="1872"/>
            <w:shd w:val="clear" w:color="auto" w:fill="EDF1F5"/>
          </w:tcPr>
          <w:p>
            <w:pPr>
              <w:spacing w:after="0"/>
            </w:pPr>
            <w:r/>
            <w:r>
              <w:rPr>
                <w:sz w:val="17"/>
              </w:rPr>
              <w:t>80.5</w:t>
            </w:r>
          </w:p>
        </w:tc>
      </w:tr>
    </w:tbl>
    <w:p>
      <w:pPr>
        <w:spacing w:after="80"/>
      </w:pPr>
      <w:r>
        <w:rPr>
          <w:sz w:val="4"/>
        </w:rPr>
      </w:r>
    </w:p>
    <w:p>
      <w:pPr>
        <w:spacing w:after="120"/>
      </w:pPr>
      <w:r>
        <w:rPr>
          <w:b w:val="0"/>
          <w:i w:val="0"/>
          <w:sz w:val="21"/>
        </w:rPr>
        <w:t>Total deadweight loss attributable to coordination failures: $867.77B (gross sum across games — shared players are counted repeatedly, so this exceeds the top-down aggregate by construction; see the discussion below).</w:t>
      </w:r>
    </w:p>
    <w:p>
      <w:pPr>
        <w:keepNext/>
        <w:spacing w:before="200" w:after="40"/>
      </w:pPr>
      <w:r>
        <w:rPr>
          <w:b/>
          <w:color w:val="184A71"/>
          <w:sz w:val="21"/>
        </w:rPr>
        <w:t>Analytical insights — welfare and deadweight loss</w:t>
      </w:r>
    </w:p>
    <w:p>
      <w:pPr>
        <w:spacing w:before="40" w:after="140"/>
        <w:ind w:left="173"/>
        <w:shd w:val="clear" w:color="auto" w:fill="EAF1F8"/>
        <w:pBdr>
          <w:left w:val="single" w:sz="18" w:space="4" w:color="1F4E79"/>
        </w:pBdr>
      </w:pPr>
      <w:r>
        <w:rPr>
          <w:b/>
          <w:color w:val="184A71"/>
          <w:sz w:val="20"/>
        </w:rPr>
        <w:t xml:space="preserve">What the deadweight loss is made of.  </w:t>
      </w:r>
      <w:r>
        <w:rPr>
          <w:color w:val="1A2B3C"/>
          <w:sz w:val="20"/>
        </w:rPr>
        <w:t>Switching costs is the single largest component of the $416.8B aggregate DWL (34%). Because the mix differs by source, so does the remedy: a coordination-dominated loss points to interoperability and standard-setting, whereas a switching-cost-dominated loss points to portability mandates. Treating all $416.8B as one 'market failure' number would mislead policy design.</w:t>
      </w:r>
    </w:p>
    <w:p>
      <w:pPr>
        <w:spacing w:before="40" w:after="140"/>
        <w:ind w:left="173"/>
        <w:shd w:val="clear" w:color="auto" w:fill="EAF1F8"/>
        <w:pBdr>
          <w:left w:val="single" w:sz="18" w:space="4" w:color="1F4E79"/>
        </w:pBdr>
      </w:pPr>
      <w:r>
        <w:rPr>
          <w:b/>
          <w:color w:val="184A71"/>
          <w:sz w:val="20"/>
        </w:rPr>
        <w:t xml:space="preserve">Efficiency gap and the value of coordination.  </w:t>
      </w:r>
      <w:r>
        <w:rPr>
          <w:color w:val="1A2B3C"/>
          <w:sz w:val="20"/>
        </w:rPr>
        <w:t>The system operates at 71.3% of its potential (1,451.3B vs. observed 1,034.5B). Coordination failures total $867.8B gross across the six games — shared players are counted repeatedly, which is why this exceeds the top-down aggregate. The loss is not an exogenous shock but an equilibrium outcome that cooperation, standard-setting, or mediated bargaining could in principle recover.</w:t>
      </w:r>
    </w:p>
    <w:tbl>
      <w:tblPr>
        <w:tblStyle w:val="TableGrid"/>
        <w:tblW w:type="auto" w:w="0"/>
        <w:tblLayout w:type="autofit"/>
        <w:tblLook w:firstColumn="1" w:firstRow="1" w:lastColumn="0" w:lastRow="0" w:noHBand="0" w:noVBand="1" w:val="04A0"/>
      </w:tblPr>
      <w:tblGrid>
        <w:gridCol w:w="4680"/>
        <w:gridCol w:w="4680"/>
      </w:tblGrid>
      <w:tr>
        <w:tc>
          <w:tcPr>
            <w:tcW w:type="dxa" w:w="1800"/>
            <w:shd w:val="clear" w:color="auto" w:fill="EDF1F5"/>
          </w:tcPr>
          <w:p>
            <w:r/>
            <w:r>
              <w:rPr>
                <w:b/>
                <w:color w:val="2C3E50"/>
                <w:sz w:val="20"/>
              </w:rPr>
              <w:t>Module</w:t>
            </w:r>
          </w:p>
        </w:tc>
        <w:tc>
          <w:tcPr>
            <w:tcW w:type="dxa" w:w="7560"/>
          </w:tcPr>
          <w:p>
            <w:r/>
            <w:r>
              <w:rPr>
                <w:sz w:val="20"/>
              </w:rPr>
              <w:t>WelfareEconomicsAnalyzer</w:t>
            </w:r>
          </w:p>
        </w:tc>
      </w:tr>
      <w:tr>
        <w:tc>
          <w:tcPr>
            <w:tcW w:type="dxa" w:w="1800"/>
            <w:shd w:val="clear" w:color="auto" w:fill="EDF1F5"/>
          </w:tcPr>
          <w:p>
            <w:r/>
            <w:r>
              <w:rPr>
                <w:b/>
                <w:color w:val="2C3E50"/>
                <w:sz w:val="20"/>
              </w:rPr>
              <w:t>Outputs</w:t>
            </w:r>
          </w:p>
        </w:tc>
        <w:tc>
          <w:tcPr>
            <w:tcW w:type="dxa" w:w="7560"/>
          </w:tcPr>
          <w:p>
            <w:r/>
            <w:r>
              <w:rPr>
                <w:sz w:val="20"/>
              </w:rPr>
              <w:t>Tables 3.4 (core + aggregate), 5.3 (decomposition); Figure 7 (welfare composite).</w:t>
            </w:r>
          </w:p>
        </w:tc>
      </w:tr>
      <w:tr>
        <w:tc>
          <w:tcPr>
            <w:tcW w:type="dxa" w:w="1800"/>
            <w:shd w:val="clear" w:color="auto" w:fill="EDF1F5"/>
          </w:tcPr>
          <w:p>
            <w:r/>
            <w:r>
              <w:rPr>
                <w:b/>
                <w:color w:val="2C3E50"/>
                <w:sz w:val="20"/>
              </w:rPr>
              <w:t>Inference</w:t>
            </w:r>
          </w:p>
        </w:tc>
        <w:tc>
          <w:tcPr>
            <w:tcW w:type="dxa" w:w="7560"/>
          </w:tcPr>
          <w:p>
            <w:r/>
            <w:r>
              <w:rPr>
                <w:sz w:val="20"/>
              </w:rPr>
              <w:t>$416.8B aggregate loss at 71.3% efficiency, led by switching costs ($142.6B).</w:t>
            </w:r>
          </w:p>
        </w:tc>
      </w:tr>
      <w:tr>
        <w:tc>
          <w:tcPr>
            <w:tcW w:type="dxa" w:w="1800"/>
            <w:shd w:val="clear" w:color="auto" w:fill="EDF1F5"/>
          </w:tcPr>
          <w:p>
            <w:r/>
            <w:r>
              <w:rPr>
                <w:b/>
                <w:color w:val="2C3E50"/>
                <w:sz w:val="20"/>
              </w:rPr>
              <w:t>Implication</w:t>
            </w:r>
          </w:p>
        </w:tc>
        <w:tc>
          <w:tcPr>
            <w:tcW w:type="dxa" w:w="7560"/>
          </w:tcPr>
          <w:p>
            <w:r/>
            <w:r>
              <w:rPr>
                <w:sz w:val="20"/>
              </w:rPr>
              <w:t>Match remedy to source: switching-cost dominance argues portability mandates; coordination share argues standards and interop — one DWL number would misdirect both.</w:t>
            </w:r>
          </w:p>
        </w:tc>
      </w:tr>
    </w:tbl>
    <w:p>
      <w:pPr>
        <w:spacing w:after="80"/>
      </w:pPr>
    </w:p>
    <w:p>
      <w:pPr>
        <w:keepNext/>
        <w:spacing w:before="200" w:after="40"/>
      </w:pPr>
      <w:r>
        <w:rPr>
          <w:b/>
          <w:color w:val="2C3E50"/>
          <w:sz w:val="20"/>
        </w:rPr>
        <w:t>Table 5.3: Welfare Decomposition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Source of Deadweight Loss</w:t>
            </w:r>
          </w:p>
        </w:tc>
        <w:tc>
          <w:tcPr>
            <w:tcW w:type="dxa" w:w="3120"/>
            <w:tblHeader w:val="true"/>
            <w:shd w:val="clear" w:color="auto" w:fill="2C3E50"/>
          </w:tcPr>
          <w:p>
            <w:pPr>
              <w:jc w:val="center"/>
            </w:pPr>
            <w:r/>
            <w:r>
              <w:rPr>
                <w:b/>
                <w:color w:val="FFFFFF"/>
                <w:sz w:val="20"/>
              </w:rPr>
              <w:t>Estimated Contribution ($B)</w:t>
            </w:r>
          </w:p>
        </w:tc>
        <w:tc>
          <w:tcPr>
            <w:tcW w:type="dxa" w:w="3120"/>
            <w:tblHeader w:val="true"/>
            <w:shd w:val="clear" w:color="auto" w:fill="2C3E50"/>
          </w:tcPr>
          <w:p>
            <w:pPr>
              <w:jc w:val="center"/>
            </w:pPr>
            <w:r/>
            <w:r>
              <w:rPr>
                <w:b/>
                <w:color w:val="FFFFFF"/>
                <w:sz w:val="20"/>
              </w:rPr>
              <w:t>Percentage of Total DWL (%)</w:t>
            </w:r>
          </w:p>
        </w:tc>
      </w:tr>
      <w:tr>
        <w:tc>
          <w:tcPr>
            <w:tcW w:type="dxa" w:w="3120"/>
          </w:tcPr>
          <w:p>
            <w:pPr>
              <w:spacing w:after="0"/>
            </w:pPr>
            <w:r/>
            <w:r>
              <w:rPr>
                <w:sz w:val="19"/>
              </w:rPr>
              <w:t>Coordination Failures</w:t>
            </w:r>
          </w:p>
        </w:tc>
        <w:tc>
          <w:tcPr>
            <w:tcW w:type="dxa" w:w="3120"/>
          </w:tcPr>
          <w:p>
            <w:pPr>
              <w:spacing w:after="0"/>
            </w:pPr>
            <w:r/>
            <w:r>
              <w:rPr>
                <w:sz w:val="19"/>
              </w:rPr>
              <w:t>60.01</w:t>
            </w:r>
          </w:p>
        </w:tc>
        <w:tc>
          <w:tcPr>
            <w:tcW w:type="dxa" w:w="3120"/>
          </w:tcPr>
          <w:p>
            <w:pPr>
              <w:spacing w:after="0"/>
            </w:pPr>
            <w:r/>
            <w:r>
              <w:rPr>
                <w:sz w:val="19"/>
              </w:rPr>
              <w:t>14.40</w:t>
            </w:r>
          </w:p>
        </w:tc>
      </w:tr>
      <w:tr>
        <w:tc>
          <w:tcPr>
            <w:tcW w:type="dxa" w:w="3120"/>
            <w:shd w:val="clear" w:color="auto" w:fill="EDF1F5"/>
          </w:tcPr>
          <w:p>
            <w:pPr>
              <w:spacing w:after="0"/>
            </w:pPr>
            <w:r/>
            <w:r>
              <w:rPr>
                <w:sz w:val="19"/>
              </w:rPr>
              <w:t>Monopoly Pricing</w:t>
            </w:r>
          </w:p>
        </w:tc>
        <w:tc>
          <w:tcPr>
            <w:tcW w:type="dxa" w:w="3120"/>
            <w:shd w:val="clear" w:color="auto" w:fill="EDF1F5"/>
          </w:tcPr>
          <w:p>
            <w:pPr>
              <w:spacing w:after="0"/>
            </w:pPr>
            <w:r/>
            <w:r>
              <w:rPr>
                <w:sz w:val="19"/>
              </w:rPr>
              <w:t>35.86</w:t>
            </w:r>
          </w:p>
        </w:tc>
        <w:tc>
          <w:tcPr>
            <w:tcW w:type="dxa" w:w="3120"/>
            <w:shd w:val="clear" w:color="auto" w:fill="EDF1F5"/>
          </w:tcPr>
          <w:p>
            <w:pPr>
              <w:spacing w:after="0"/>
            </w:pPr>
            <w:r/>
            <w:r>
              <w:rPr>
                <w:sz w:val="19"/>
              </w:rPr>
              <w:t>8.60</w:t>
            </w:r>
          </w:p>
        </w:tc>
      </w:tr>
      <w:tr>
        <w:tc>
          <w:tcPr>
            <w:tcW w:type="dxa" w:w="3120"/>
          </w:tcPr>
          <w:p>
            <w:pPr>
              <w:spacing w:after="0"/>
            </w:pPr>
            <w:r/>
            <w:r>
              <w:rPr>
                <w:sz w:val="19"/>
              </w:rPr>
              <w:t>Innovation Distortion</w:t>
            </w:r>
          </w:p>
        </w:tc>
        <w:tc>
          <w:tcPr>
            <w:tcW w:type="dxa" w:w="3120"/>
          </w:tcPr>
          <w:p>
            <w:pPr>
              <w:spacing w:after="0"/>
            </w:pPr>
            <w:r/>
            <w:r>
              <w:rPr>
                <w:sz w:val="19"/>
              </w:rPr>
              <w:t>106.97</w:t>
            </w:r>
          </w:p>
        </w:tc>
        <w:tc>
          <w:tcPr>
            <w:tcW w:type="dxa" w:w="3120"/>
          </w:tcPr>
          <w:p>
            <w:pPr>
              <w:spacing w:after="0"/>
            </w:pPr>
            <w:r/>
            <w:r>
              <w:rPr>
                <w:sz w:val="19"/>
              </w:rPr>
              <w:t>25.70</w:t>
            </w:r>
          </w:p>
        </w:tc>
      </w:tr>
      <w:tr>
        <w:tc>
          <w:tcPr>
            <w:tcW w:type="dxa" w:w="3120"/>
            <w:shd w:val="clear" w:color="auto" w:fill="EDF1F5"/>
          </w:tcPr>
          <w:p>
            <w:pPr>
              <w:spacing w:after="0"/>
            </w:pPr>
            <w:r/>
            <w:r>
              <w:rPr>
                <w:sz w:val="19"/>
              </w:rPr>
              <w:t>Quality Degradation</w:t>
            </w:r>
          </w:p>
        </w:tc>
        <w:tc>
          <w:tcPr>
            <w:tcW w:type="dxa" w:w="3120"/>
            <w:shd w:val="clear" w:color="auto" w:fill="EDF1F5"/>
          </w:tcPr>
          <w:p>
            <w:pPr>
              <w:spacing w:after="0"/>
            </w:pPr>
            <w:r/>
            <w:r>
              <w:rPr>
                <w:sz w:val="19"/>
              </w:rPr>
              <w:t>71.31</w:t>
            </w:r>
          </w:p>
        </w:tc>
        <w:tc>
          <w:tcPr>
            <w:tcW w:type="dxa" w:w="3120"/>
            <w:shd w:val="clear" w:color="auto" w:fill="EDF1F5"/>
          </w:tcPr>
          <w:p>
            <w:pPr>
              <w:spacing w:after="0"/>
            </w:pPr>
            <w:r/>
            <w:r>
              <w:rPr>
                <w:sz w:val="19"/>
              </w:rPr>
              <w:t>17.10</w:t>
            </w:r>
          </w:p>
        </w:tc>
      </w:tr>
      <w:tr>
        <w:tc>
          <w:tcPr>
            <w:tcW w:type="dxa" w:w="3120"/>
          </w:tcPr>
          <w:p>
            <w:pPr>
              <w:spacing w:after="0"/>
            </w:pPr>
            <w:r/>
            <w:r>
              <w:rPr>
                <w:sz w:val="19"/>
              </w:rPr>
              <w:t>Switching Costs</w:t>
            </w:r>
          </w:p>
        </w:tc>
        <w:tc>
          <w:tcPr>
            <w:tcW w:type="dxa" w:w="3120"/>
          </w:tcPr>
          <w:p>
            <w:pPr>
              <w:spacing w:after="0"/>
            </w:pPr>
            <w:r/>
            <w:r>
              <w:rPr>
                <w:sz w:val="19"/>
              </w:rPr>
              <w:t>142.62</w:t>
            </w:r>
          </w:p>
        </w:tc>
        <w:tc>
          <w:tcPr>
            <w:tcW w:type="dxa" w:w="3120"/>
          </w:tcPr>
          <w:p>
            <w:pPr>
              <w:spacing w:after="0"/>
            </w:pPr>
            <w:r/>
            <w:r>
              <w:rPr>
                <w:sz w:val="19"/>
              </w:rPr>
              <w:t>34.20</w:t>
            </w:r>
          </w:p>
        </w:tc>
      </w:tr>
      <w:tr>
        <w:tc>
          <w:tcPr>
            <w:tcW w:type="dxa" w:w="3120"/>
            <w:shd w:val="clear" w:color="auto" w:fill="EDF1F5"/>
          </w:tcPr>
          <w:p>
            <w:pPr>
              <w:spacing w:after="0"/>
            </w:pPr>
            <w:r/>
            <w:r>
              <w:rPr>
                <w:sz w:val="19"/>
              </w:rPr>
              <w:t>Total</w:t>
            </w:r>
          </w:p>
        </w:tc>
        <w:tc>
          <w:tcPr>
            <w:tcW w:type="dxa" w:w="3120"/>
            <w:shd w:val="clear" w:color="auto" w:fill="EDF1F5"/>
          </w:tcPr>
          <w:p>
            <w:pPr>
              <w:spacing w:after="0"/>
            </w:pPr>
            <w:r/>
            <w:r>
              <w:rPr>
                <w:sz w:val="19"/>
              </w:rPr>
              <w:t>416.77</w:t>
            </w:r>
          </w:p>
        </w:tc>
        <w:tc>
          <w:tcPr>
            <w:tcW w:type="dxa" w:w="3120"/>
            <w:shd w:val="clear" w:color="auto" w:fill="EDF1F5"/>
          </w:tcPr>
          <w:p>
            <w:pPr>
              <w:spacing w:after="0"/>
            </w:pPr>
            <w:r/>
            <w:r>
              <w:rPr>
                <w:sz w:val="19"/>
              </w:rPr>
              <w:t>100</w:t>
            </w:r>
          </w:p>
        </w:tc>
      </w:tr>
    </w:tbl>
    <w:p>
      <w:pPr>
        <w:spacing w:after="80"/>
      </w:pPr>
      <w:r>
        <w:rPr>
          <w:sz w:val="4"/>
        </w:rPr>
      </w:r>
    </w:p>
    <w:p>
      <w:pPr>
        <w:keepNext/>
        <w:spacing w:before="200" w:after="40"/>
      </w:pPr>
      <w:r>
        <w:rPr>
          <w:b/>
          <w:color w:val="2C3E50"/>
          <w:sz w:val="20"/>
        </w:rPr>
        <w:t>Table 5.4: Dynamic Game Analysis (Short vs Long-term)</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blHeader w:val="true"/>
            <w:shd w:val="clear" w:color="auto" w:fill="2C3E50"/>
          </w:tcPr>
          <w:p>
            <w:pPr>
              <w:jc w:val="center"/>
            </w:pPr>
            <w:r/>
            <w:r>
              <w:rPr>
                <w:b/>
                <w:color w:val="FFFFFF"/>
                <w:sz w:val="17"/>
              </w:rPr>
              <w:t>Player</w:t>
            </w:r>
          </w:p>
        </w:tc>
        <w:tc>
          <w:tcPr>
            <w:tcW w:type="dxa" w:w="1170"/>
            <w:tblHeader w:val="true"/>
            <w:shd w:val="clear" w:color="auto" w:fill="2C3E50"/>
          </w:tcPr>
          <w:p>
            <w:pPr>
              <w:jc w:val="center"/>
            </w:pPr>
            <w:r/>
            <w:r>
              <w:rPr>
                <w:b/>
                <w:color w:val="FFFFFF"/>
                <w:sz w:val="17"/>
              </w:rPr>
              <w:t>Strategy</w:t>
            </w:r>
          </w:p>
        </w:tc>
        <w:tc>
          <w:tcPr>
            <w:tcW w:type="dxa" w:w="1170"/>
            <w:tblHeader w:val="true"/>
            <w:shd w:val="clear" w:color="auto" w:fill="2C3E50"/>
          </w:tcPr>
          <w:p>
            <w:pPr>
              <w:jc w:val="center"/>
            </w:pPr>
            <w:r/>
            <w:r>
              <w:rPr>
                <w:b/>
                <w:color w:val="FFFFFF"/>
                <w:sz w:val="17"/>
              </w:rPr>
              <w:t>Short-term Payoff</w:t>
            </w:r>
          </w:p>
        </w:tc>
        <w:tc>
          <w:tcPr>
            <w:tcW w:type="dxa" w:w="1170"/>
            <w:tblHeader w:val="true"/>
            <w:shd w:val="clear" w:color="auto" w:fill="2C3E50"/>
          </w:tcPr>
          <w:p>
            <w:pPr>
              <w:jc w:val="center"/>
            </w:pPr>
            <w:r/>
            <w:r>
              <w:rPr>
                <w:b/>
                <w:color w:val="FFFFFF"/>
                <w:sz w:val="17"/>
              </w:rPr>
              <w:t>Long-term Payoff</w:t>
            </w:r>
          </w:p>
        </w:tc>
        <w:tc>
          <w:tcPr>
            <w:tcW w:type="dxa" w:w="1170"/>
            <w:tblHeader w:val="true"/>
            <w:shd w:val="clear" w:color="auto" w:fill="2C3E50"/>
          </w:tcPr>
          <w:p>
            <w:pPr>
              <w:jc w:val="center"/>
            </w:pPr>
            <w:r/>
            <w:r>
              <w:rPr>
                <w:b/>
                <w:color w:val="FFFFFF"/>
                <w:sz w:val="17"/>
              </w:rPr>
              <w:t>Difference (L-S)</w:t>
            </w:r>
          </w:p>
        </w:tc>
        <w:tc>
          <w:tcPr>
            <w:tcW w:type="dxa" w:w="1170"/>
            <w:tblHeader w:val="true"/>
            <w:shd w:val="clear" w:color="auto" w:fill="2C3E50"/>
          </w:tcPr>
          <w:p>
            <w:pPr>
              <w:jc w:val="center"/>
            </w:pPr>
            <w:r/>
            <w:r>
              <w:rPr>
                <w:b/>
                <w:color w:val="FFFFFF"/>
                <w:sz w:val="17"/>
              </w:rPr>
              <w:t>Long/Short Ratio (%)</w:t>
            </w:r>
          </w:p>
        </w:tc>
        <w:tc>
          <w:tcPr>
            <w:tcW w:type="dxa" w:w="1170"/>
            <w:tblHeader w:val="true"/>
            <w:shd w:val="clear" w:color="auto" w:fill="2C3E50"/>
          </w:tcPr>
          <w:p>
            <w:pPr>
              <w:jc w:val="center"/>
            </w:pPr>
            <w:r/>
            <w:r>
              <w:rPr>
                <w:b/>
                <w:color w:val="FFFFFF"/>
                <w:sz w:val="17"/>
              </w:rPr>
              <w:t>Time Preference</w:t>
            </w:r>
          </w:p>
        </w:tc>
        <w:tc>
          <w:tcPr>
            <w:tcW w:type="dxa" w:w="1170"/>
            <w:tblHeader w:val="true"/>
            <w:shd w:val="clear" w:color="auto" w:fill="2C3E50"/>
          </w:tcPr>
          <w:p>
            <w:pPr>
              <w:jc w:val="center"/>
            </w:pPr>
            <w:r/>
            <w:r>
              <w:rPr>
                <w:b/>
                <w:color w:val="FFFFFF"/>
                <w:sz w:val="17"/>
              </w:rPr>
              <w:t>Risk Level</w:t>
            </w:r>
          </w:p>
        </w:tc>
      </w:tr>
      <w:tr>
        <w:tc>
          <w:tcPr>
            <w:tcW w:type="dxa" w:w="1170"/>
          </w:tcPr>
          <w:p>
            <w:pPr>
              <w:spacing w:after="0"/>
            </w:pPr>
            <w:r/>
            <w:r>
              <w:rPr>
                <w:sz w:val="16"/>
              </w:rPr>
              <w:t>Cloud Providers</w:t>
            </w:r>
          </w:p>
        </w:tc>
        <w:tc>
          <w:tcPr>
            <w:tcW w:type="dxa" w:w="1170"/>
          </w:tcPr>
          <w:p>
            <w:pPr>
              <w:spacing w:after="0"/>
            </w:pPr>
            <w:r/>
            <w:r>
              <w:rPr>
                <w:sz w:val="16"/>
              </w:rPr>
              <w:t>Full Stack</w:t>
            </w:r>
          </w:p>
        </w:tc>
        <w:tc>
          <w:tcPr>
            <w:tcW w:type="dxa" w:w="1170"/>
          </w:tcPr>
          <w:p>
            <w:pPr>
              <w:spacing w:after="0"/>
            </w:pPr>
            <w:r/>
            <w:r>
              <w:rPr>
                <w:sz w:val="16"/>
              </w:rPr>
              <w:t>5</w:t>
            </w:r>
          </w:p>
        </w:tc>
        <w:tc>
          <w:tcPr>
            <w:tcW w:type="dxa" w:w="1170"/>
          </w:tcPr>
          <w:p>
            <w:pPr>
              <w:spacing w:after="0"/>
            </w:pPr>
            <w:r/>
            <w:r>
              <w:rPr>
                <w:sz w:val="16"/>
              </w:rPr>
              <w:t>8</w:t>
            </w:r>
          </w:p>
        </w:tc>
        <w:tc>
          <w:tcPr>
            <w:tcW w:type="dxa" w:w="1170"/>
          </w:tcPr>
          <w:p>
            <w:pPr>
              <w:spacing w:after="0"/>
            </w:pPr>
            <w:r/>
            <w:r>
              <w:rPr>
                <w:sz w:val="16"/>
              </w:rPr>
              <w:t>3</w:t>
            </w:r>
          </w:p>
        </w:tc>
        <w:tc>
          <w:tcPr>
            <w:tcW w:type="dxa" w:w="1170"/>
          </w:tcPr>
          <w:p>
            <w:pPr>
              <w:spacing w:after="0"/>
            </w:pPr>
            <w:r/>
            <w:r>
              <w:rPr>
                <w:sz w:val="16"/>
              </w:rPr>
              <w:t>160</w:t>
            </w:r>
          </w:p>
        </w:tc>
        <w:tc>
          <w:tcPr>
            <w:tcW w:type="dxa" w:w="1170"/>
          </w:tcPr>
          <w:p>
            <w:pPr>
              <w:spacing w:after="0"/>
            </w:pPr>
            <w:r/>
            <w:r>
              <w:rPr>
                <w:sz w:val="16"/>
              </w:rPr>
              <w:t>Long-term</w:t>
            </w:r>
          </w:p>
        </w:tc>
        <w:tc>
          <w:tcPr>
            <w:tcW w:type="dxa" w:w="1170"/>
          </w:tcPr>
          <w:p>
            <w:pPr>
              <w:spacing w:after="0"/>
            </w:pPr>
            <w:r/>
            <w:r>
              <w:rPr>
                <w:sz w:val="16"/>
              </w:rPr>
              <w:t>Medium</w:t>
            </w:r>
          </w:p>
        </w:tc>
      </w:tr>
      <w:tr>
        <w:tc>
          <w:tcPr>
            <w:tcW w:type="dxa" w:w="1170"/>
            <w:shd w:val="clear" w:color="auto" w:fill="EDF1F5"/>
          </w:tcPr>
          <w:p>
            <w:pPr>
              <w:spacing w:after="0"/>
            </w:pPr>
            <w:r/>
            <w:r>
              <w:rPr>
                <w:sz w:val="16"/>
              </w:rPr>
              <w:t>Cloud Providers</w:t>
            </w:r>
          </w:p>
        </w:tc>
        <w:tc>
          <w:tcPr>
            <w:tcW w:type="dxa" w:w="1170"/>
            <w:shd w:val="clear" w:color="auto" w:fill="EDF1F5"/>
          </w:tcPr>
          <w:p>
            <w:pPr>
              <w:spacing w:after="0"/>
            </w:pPr>
            <w:r/>
            <w:r>
              <w:rPr>
                <w:sz w:val="16"/>
              </w:rPr>
              <w:t>Selective Partnership</w:t>
            </w:r>
          </w:p>
        </w:tc>
        <w:tc>
          <w:tcPr>
            <w:tcW w:type="dxa" w:w="1170"/>
            <w:shd w:val="clear" w:color="auto" w:fill="EDF1F5"/>
          </w:tcPr>
          <w:p>
            <w:pPr>
              <w:spacing w:after="0"/>
            </w:pPr>
            <w:r/>
            <w:r>
              <w:rPr>
                <w:sz w:val="16"/>
              </w:rPr>
              <w:t>3</w:t>
            </w:r>
          </w:p>
        </w:tc>
        <w:tc>
          <w:tcPr>
            <w:tcW w:type="dxa" w:w="1170"/>
            <w:shd w:val="clear" w:color="auto" w:fill="EDF1F5"/>
          </w:tcPr>
          <w:p>
            <w:pPr>
              <w:spacing w:after="0"/>
            </w:pPr>
            <w:r/>
            <w:r>
              <w:rPr>
                <w:sz w:val="16"/>
              </w:rPr>
              <w:t>4</w:t>
            </w:r>
          </w:p>
        </w:tc>
        <w:tc>
          <w:tcPr>
            <w:tcW w:type="dxa" w:w="1170"/>
            <w:shd w:val="clear" w:color="auto" w:fill="EDF1F5"/>
          </w:tcPr>
          <w:p>
            <w:pPr>
              <w:spacing w:after="0"/>
            </w:pPr>
            <w:r/>
            <w:r>
              <w:rPr>
                <w:sz w:val="16"/>
              </w:rPr>
              <w:t>1</w:t>
            </w:r>
          </w:p>
        </w:tc>
        <w:tc>
          <w:tcPr>
            <w:tcW w:type="dxa" w:w="1170"/>
            <w:shd w:val="clear" w:color="auto" w:fill="EDF1F5"/>
          </w:tcPr>
          <w:p>
            <w:pPr>
              <w:spacing w:after="0"/>
            </w:pPr>
            <w:r/>
            <w:r>
              <w:rPr>
                <w:sz w:val="16"/>
              </w:rPr>
              <w:t>133.30</w:t>
            </w:r>
          </w:p>
        </w:tc>
        <w:tc>
          <w:tcPr>
            <w:tcW w:type="dxa" w:w="1170"/>
            <w:shd w:val="clear" w:color="auto" w:fill="EDF1F5"/>
          </w:tcPr>
          <w:p>
            <w:pPr>
              <w:spacing w:after="0"/>
            </w:pPr>
            <w:r/>
            <w:r>
              <w:rPr>
                <w:sz w:val="16"/>
              </w:rPr>
              <w:t>Long-term</w:t>
            </w:r>
          </w:p>
        </w:tc>
        <w:tc>
          <w:tcPr>
            <w:tcW w:type="dxa" w:w="1170"/>
            <w:shd w:val="clear" w:color="auto" w:fill="EDF1F5"/>
          </w:tcPr>
          <w:p>
            <w:pPr>
              <w:spacing w:after="0"/>
            </w:pPr>
            <w:r/>
            <w:r>
              <w:rPr>
                <w:sz w:val="16"/>
              </w:rPr>
              <w:t>Low</w:t>
            </w:r>
          </w:p>
        </w:tc>
      </w:tr>
      <w:tr>
        <w:tc>
          <w:tcPr>
            <w:tcW w:type="dxa" w:w="1170"/>
          </w:tcPr>
          <w:p>
            <w:pPr>
              <w:spacing w:after="0"/>
            </w:pPr>
            <w:r/>
            <w:r>
              <w:rPr>
                <w:sz w:val="16"/>
              </w:rPr>
              <w:t>Cloud Providers</w:t>
            </w:r>
          </w:p>
        </w:tc>
        <w:tc>
          <w:tcPr>
            <w:tcW w:type="dxa" w:w="1170"/>
          </w:tcPr>
          <w:p>
            <w:pPr>
              <w:spacing w:after="0"/>
            </w:pPr>
            <w:r/>
            <w:r>
              <w:rPr>
                <w:sz w:val="16"/>
              </w:rPr>
              <w:t>Infrastructure Only</w:t>
            </w:r>
          </w:p>
        </w:tc>
        <w:tc>
          <w:tcPr>
            <w:tcW w:type="dxa" w:w="1170"/>
          </w:tcPr>
          <w:p>
            <w:pPr>
              <w:spacing w:after="0"/>
            </w:pPr>
            <w:r/>
            <w:r>
              <w:rPr>
                <w:sz w:val="16"/>
              </w:rPr>
              <w:t>2</w:t>
            </w:r>
          </w:p>
        </w:tc>
        <w:tc>
          <w:tcPr>
            <w:tcW w:type="dxa" w:w="1170"/>
          </w:tcPr>
          <w:p>
            <w:pPr>
              <w:spacing w:after="0"/>
            </w:pPr>
            <w:r/>
            <w:r>
              <w:rPr>
                <w:sz w:val="16"/>
              </w:rPr>
              <w:t>2</w:t>
            </w:r>
          </w:p>
        </w:tc>
        <w:tc>
          <w:tcPr>
            <w:tcW w:type="dxa" w:w="1170"/>
          </w:tcPr>
          <w:p>
            <w:pPr>
              <w:spacing w:after="0"/>
            </w:pPr>
            <w:r/>
            <w:r>
              <w:rPr>
                <w:sz w:val="16"/>
              </w:rPr>
              <w:t>0</w:t>
            </w:r>
          </w:p>
        </w:tc>
        <w:tc>
          <w:tcPr>
            <w:tcW w:type="dxa" w:w="1170"/>
          </w:tcPr>
          <w:p>
            <w:pPr>
              <w:spacing w:after="0"/>
            </w:pPr>
            <w:r/>
            <w:r>
              <w:rPr>
                <w:sz w:val="16"/>
              </w:rPr>
              <w:t>100</w:t>
            </w:r>
          </w:p>
        </w:tc>
        <w:tc>
          <w:tcPr>
            <w:tcW w:type="dxa" w:w="1170"/>
          </w:tcPr>
          <w:p>
            <w:pPr>
              <w:spacing w:after="0"/>
            </w:pPr>
            <w:r/>
            <w:r>
              <w:rPr>
                <w:sz w:val="16"/>
              </w:rPr>
              <w:t>Neutral</w:t>
            </w:r>
          </w:p>
        </w:tc>
        <w:tc>
          <w:tcPr>
            <w:tcW w:type="dxa" w:w="1170"/>
          </w:tcPr>
          <w:p>
            <w:pPr>
              <w:spacing w:after="0"/>
            </w:pPr>
            <w:r/>
            <w:r>
              <w:rPr>
                <w:sz w:val="16"/>
              </w:rPr>
              <w:t>Low</w:t>
            </w:r>
          </w:p>
        </w:tc>
      </w:tr>
      <w:tr>
        <w:tc>
          <w:tcPr>
            <w:tcW w:type="dxa" w:w="1170"/>
            <w:shd w:val="clear" w:color="auto" w:fill="EDF1F5"/>
          </w:tcPr>
          <w:p>
            <w:pPr>
              <w:spacing w:after="0"/>
            </w:pPr>
            <w:r/>
            <w:r>
              <w:rPr>
                <w:sz w:val="16"/>
              </w:rPr>
              <w:t>Foundation Models</w:t>
            </w:r>
          </w:p>
        </w:tc>
        <w:tc>
          <w:tcPr>
            <w:tcW w:type="dxa" w:w="1170"/>
            <w:shd w:val="clear" w:color="auto" w:fill="EDF1F5"/>
          </w:tcPr>
          <w:p>
            <w:pPr>
              <w:spacing w:after="0"/>
            </w:pPr>
            <w:r/>
            <w:r>
              <w:rPr>
                <w:sz w:val="16"/>
              </w:rPr>
              <w:t>Compete Direct</w:t>
            </w:r>
          </w:p>
        </w:tc>
        <w:tc>
          <w:tcPr>
            <w:tcW w:type="dxa" w:w="1170"/>
            <w:shd w:val="clear" w:color="auto" w:fill="EDF1F5"/>
          </w:tcPr>
          <w:p>
            <w:pPr>
              <w:spacing w:after="0"/>
            </w:pPr>
            <w:r/>
            <w:r>
              <w:rPr>
                <w:sz w:val="16"/>
              </w:rPr>
              <w:t>4</w:t>
            </w:r>
          </w:p>
        </w:tc>
        <w:tc>
          <w:tcPr>
            <w:tcW w:type="dxa" w:w="1170"/>
            <w:shd w:val="clear" w:color="auto" w:fill="EDF1F5"/>
          </w:tcPr>
          <w:p>
            <w:pPr>
              <w:spacing w:after="0"/>
            </w:pPr>
            <w:r/>
            <w:r>
              <w:rPr>
                <w:sz w:val="16"/>
              </w:rPr>
              <w:t>5</w:t>
            </w:r>
          </w:p>
        </w:tc>
        <w:tc>
          <w:tcPr>
            <w:tcW w:type="dxa" w:w="1170"/>
            <w:shd w:val="clear" w:color="auto" w:fill="EDF1F5"/>
          </w:tcPr>
          <w:p>
            <w:pPr>
              <w:spacing w:after="0"/>
            </w:pPr>
            <w:r/>
            <w:r>
              <w:rPr>
                <w:sz w:val="16"/>
              </w:rPr>
              <w:t>1</w:t>
            </w:r>
          </w:p>
        </w:tc>
        <w:tc>
          <w:tcPr>
            <w:tcW w:type="dxa" w:w="1170"/>
            <w:shd w:val="clear" w:color="auto" w:fill="EDF1F5"/>
          </w:tcPr>
          <w:p>
            <w:pPr>
              <w:spacing w:after="0"/>
            </w:pPr>
            <w:r/>
            <w:r>
              <w:rPr>
                <w:sz w:val="16"/>
              </w:rPr>
              <w:t>125</w:t>
            </w:r>
          </w:p>
        </w:tc>
        <w:tc>
          <w:tcPr>
            <w:tcW w:type="dxa" w:w="1170"/>
            <w:shd w:val="clear" w:color="auto" w:fill="EDF1F5"/>
          </w:tcPr>
          <w:p>
            <w:pPr>
              <w:spacing w:after="0"/>
            </w:pPr>
            <w:r/>
            <w:r>
              <w:rPr>
                <w:sz w:val="16"/>
              </w:rPr>
              <w:t>Long-term</w:t>
            </w:r>
          </w:p>
        </w:tc>
        <w:tc>
          <w:tcPr>
            <w:tcW w:type="dxa" w:w="1170"/>
            <w:shd w:val="clear" w:color="auto" w:fill="EDF1F5"/>
          </w:tcPr>
          <w:p>
            <w:pPr>
              <w:spacing w:after="0"/>
            </w:pPr>
            <w:r/>
            <w:r>
              <w:rPr>
                <w:sz w:val="16"/>
              </w:rPr>
              <w:t>Medium</w:t>
            </w:r>
          </w:p>
        </w:tc>
      </w:tr>
      <w:tr>
        <w:tc>
          <w:tcPr>
            <w:tcW w:type="dxa" w:w="1170"/>
          </w:tcPr>
          <w:p>
            <w:pPr>
              <w:spacing w:after="0"/>
            </w:pPr>
            <w:r/>
            <w:r>
              <w:rPr>
                <w:sz w:val="16"/>
              </w:rPr>
              <w:t>Foundation Models</w:t>
            </w:r>
          </w:p>
        </w:tc>
        <w:tc>
          <w:tcPr>
            <w:tcW w:type="dxa" w:w="1170"/>
          </w:tcPr>
          <w:p>
            <w:pPr>
              <w:spacing w:after="0"/>
            </w:pPr>
            <w:r/>
            <w:r>
              <w:rPr>
                <w:sz w:val="16"/>
              </w:rPr>
              <w:t>Exclusive Deals</w:t>
            </w:r>
          </w:p>
        </w:tc>
        <w:tc>
          <w:tcPr>
            <w:tcW w:type="dxa" w:w="1170"/>
          </w:tcPr>
          <w:p>
            <w:pPr>
              <w:spacing w:after="0"/>
            </w:pPr>
            <w:r/>
            <w:r>
              <w:rPr>
                <w:sz w:val="16"/>
              </w:rPr>
              <w:t>3</w:t>
            </w:r>
          </w:p>
        </w:tc>
        <w:tc>
          <w:tcPr>
            <w:tcW w:type="dxa" w:w="1170"/>
          </w:tcPr>
          <w:p>
            <w:pPr>
              <w:spacing w:after="0"/>
            </w:pPr>
            <w:r/>
            <w:r>
              <w:rPr>
                <w:sz w:val="16"/>
              </w:rPr>
              <w:t>-2</w:t>
            </w:r>
          </w:p>
        </w:tc>
        <w:tc>
          <w:tcPr>
            <w:tcW w:type="dxa" w:w="1170"/>
          </w:tcPr>
          <w:p>
            <w:pPr>
              <w:spacing w:after="0"/>
            </w:pPr>
            <w:r/>
            <w:r>
              <w:rPr>
                <w:sz w:val="16"/>
              </w:rPr>
              <w:t>-5</w:t>
            </w:r>
          </w:p>
        </w:tc>
        <w:tc>
          <w:tcPr>
            <w:tcW w:type="dxa" w:w="1170"/>
          </w:tcPr>
          <w:p>
            <w:pPr>
              <w:spacing w:after="0"/>
            </w:pPr>
            <w:r/>
            <w:r>
              <w:rPr>
                <w:sz w:val="16"/>
              </w:rPr>
              <w:t>-66.70</w:t>
            </w:r>
          </w:p>
        </w:tc>
        <w:tc>
          <w:tcPr>
            <w:tcW w:type="dxa" w:w="1170"/>
          </w:tcPr>
          <w:p>
            <w:pPr>
              <w:spacing w:after="0"/>
            </w:pPr>
            <w:r/>
            <w:r>
              <w:rPr>
                <w:sz w:val="16"/>
              </w:rPr>
              <w:t>Short-term</w:t>
            </w:r>
          </w:p>
        </w:tc>
        <w:tc>
          <w:tcPr>
            <w:tcW w:type="dxa" w:w="1170"/>
          </w:tcPr>
          <w:p>
            <w:pPr>
              <w:spacing w:after="0"/>
            </w:pPr>
            <w:r/>
            <w:r>
              <w:rPr>
                <w:sz w:val="16"/>
              </w:rPr>
              <w:t>Critical</w:t>
            </w:r>
          </w:p>
        </w:tc>
      </w:tr>
      <w:tr>
        <w:tc>
          <w:tcPr>
            <w:tcW w:type="dxa" w:w="1170"/>
            <w:shd w:val="clear" w:color="auto" w:fill="EDF1F5"/>
          </w:tcPr>
          <w:p>
            <w:pPr>
              <w:spacing w:after="0"/>
            </w:pPr>
            <w:r/>
            <w:r>
              <w:rPr>
                <w:sz w:val="16"/>
              </w:rPr>
              <w:t>Foundation Models</w:t>
            </w:r>
          </w:p>
        </w:tc>
        <w:tc>
          <w:tcPr>
            <w:tcW w:type="dxa" w:w="1170"/>
            <w:shd w:val="clear" w:color="auto" w:fill="EDF1F5"/>
          </w:tcPr>
          <w:p>
            <w:pPr>
              <w:spacing w:after="0"/>
            </w:pPr>
            <w:r/>
            <w:r>
              <w:rPr>
                <w:sz w:val="16"/>
              </w:rPr>
              <w:t>Support Wrappers</w:t>
            </w:r>
          </w:p>
        </w:tc>
        <w:tc>
          <w:tcPr>
            <w:tcW w:type="dxa" w:w="1170"/>
            <w:shd w:val="clear" w:color="auto" w:fill="EDF1F5"/>
          </w:tcPr>
          <w:p>
            <w:pPr>
              <w:spacing w:after="0"/>
            </w:pPr>
            <w:r/>
            <w:r>
              <w:rPr>
                <w:sz w:val="16"/>
              </w:rPr>
              <w:t>2</w:t>
            </w:r>
          </w:p>
        </w:tc>
        <w:tc>
          <w:tcPr>
            <w:tcW w:type="dxa" w:w="1170"/>
            <w:shd w:val="clear" w:color="auto" w:fill="EDF1F5"/>
          </w:tcPr>
          <w:p>
            <w:pPr>
              <w:spacing w:after="0"/>
            </w:pPr>
            <w:r/>
            <w:r>
              <w:rPr>
                <w:sz w:val="16"/>
              </w:rPr>
              <w:t>-1</w:t>
            </w:r>
          </w:p>
        </w:tc>
        <w:tc>
          <w:tcPr>
            <w:tcW w:type="dxa" w:w="1170"/>
            <w:shd w:val="clear" w:color="auto" w:fill="EDF1F5"/>
          </w:tcPr>
          <w:p>
            <w:pPr>
              <w:spacing w:after="0"/>
            </w:pPr>
            <w:r/>
            <w:r>
              <w:rPr>
                <w:sz w:val="16"/>
              </w:rPr>
              <w:t>-3</w:t>
            </w:r>
          </w:p>
        </w:tc>
        <w:tc>
          <w:tcPr>
            <w:tcW w:type="dxa" w:w="1170"/>
            <w:shd w:val="clear" w:color="auto" w:fill="EDF1F5"/>
          </w:tcPr>
          <w:p>
            <w:pPr>
              <w:spacing w:after="0"/>
            </w:pPr>
            <w:r/>
            <w:r>
              <w:rPr>
                <w:sz w:val="16"/>
              </w:rPr>
              <w:t>-50</w:t>
            </w:r>
          </w:p>
        </w:tc>
        <w:tc>
          <w:tcPr>
            <w:tcW w:type="dxa" w:w="1170"/>
            <w:shd w:val="clear" w:color="auto" w:fill="EDF1F5"/>
          </w:tcPr>
          <w:p>
            <w:pPr>
              <w:spacing w:after="0"/>
            </w:pPr>
            <w:r/>
            <w:r>
              <w:rPr>
                <w:sz w:val="16"/>
              </w:rPr>
              <w:t>Short-term</w:t>
            </w:r>
          </w:p>
        </w:tc>
        <w:tc>
          <w:tcPr>
            <w:tcW w:type="dxa" w:w="1170"/>
            <w:shd w:val="clear" w:color="auto" w:fill="EDF1F5"/>
          </w:tcPr>
          <w:p>
            <w:pPr>
              <w:spacing w:after="0"/>
            </w:pPr>
            <w:r/>
            <w:r>
              <w:rPr>
                <w:sz w:val="16"/>
              </w:rPr>
              <w:t>High</w:t>
            </w:r>
          </w:p>
        </w:tc>
      </w:tr>
      <w:tr>
        <w:tc>
          <w:tcPr>
            <w:tcW w:type="dxa" w:w="1170"/>
          </w:tcPr>
          <w:p>
            <w:pPr>
              <w:spacing w:after="0"/>
            </w:pPr>
            <w:r/>
            <w:r>
              <w:rPr>
                <w:sz w:val="16"/>
              </w:rPr>
              <w:t>Hardware</w:t>
            </w:r>
          </w:p>
        </w:tc>
        <w:tc>
          <w:tcPr>
            <w:tcW w:type="dxa" w:w="1170"/>
          </w:tcPr>
          <w:p>
            <w:pPr>
              <w:spacing w:after="0"/>
            </w:pPr>
            <w:r/>
            <w:r>
              <w:rPr>
                <w:sz w:val="16"/>
              </w:rPr>
              <w:t>Open Access</w:t>
            </w:r>
          </w:p>
        </w:tc>
        <w:tc>
          <w:tcPr>
            <w:tcW w:type="dxa" w:w="1170"/>
          </w:tcPr>
          <w:p>
            <w:pPr>
              <w:spacing w:after="0"/>
            </w:pPr>
            <w:r/>
            <w:r>
              <w:rPr>
                <w:sz w:val="16"/>
              </w:rPr>
              <w:t>6</w:t>
            </w:r>
          </w:p>
        </w:tc>
        <w:tc>
          <w:tcPr>
            <w:tcW w:type="dxa" w:w="1170"/>
          </w:tcPr>
          <w:p>
            <w:pPr>
              <w:spacing w:after="0"/>
            </w:pPr>
            <w:r/>
            <w:r>
              <w:rPr>
                <w:sz w:val="16"/>
              </w:rPr>
              <w:t>9</w:t>
            </w:r>
          </w:p>
        </w:tc>
        <w:tc>
          <w:tcPr>
            <w:tcW w:type="dxa" w:w="1170"/>
          </w:tcPr>
          <w:p>
            <w:pPr>
              <w:spacing w:after="0"/>
            </w:pPr>
            <w:r/>
            <w:r>
              <w:rPr>
                <w:sz w:val="16"/>
              </w:rPr>
              <w:t>3</w:t>
            </w:r>
          </w:p>
        </w:tc>
        <w:tc>
          <w:tcPr>
            <w:tcW w:type="dxa" w:w="1170"/>
          </w:tcPr>
          <w:p>
            <w:pPr>
              <w:spacing w:after="0"/>
            </w:pPr>
            <w:r/>
            <w:r>
              <w:rPr>
                <w:sz w:val="16"/>
              </w:rPr>
              <w:t>150</w:t>
            </w:r>
          </w:p>
        </w:tc>
        <w:tc>
          <w:tcPr>
            <w:tcW w:type="dxa" w:w="1170"/>
          </w:tcPr>
          <w:p>
            <w:pPr>
              <w:spacing w:after="0"/>
            </w:pPr>
            <w:r/>
            <w:r>
              <w:rPr>
                <w:sz w:val="16"/>
              </w:rPr>
              <w:t>Long-term</w:t>
            </w:r>
          </w:p>
        </w:tc>
        <w:tc>
          <w:tcPr>
            <w:tcW w:type="dxa" w:w="1170"/>
          </w:tcPr>
          <w:p>
            <w:pPr>
              <w:spacing w:after="0"/>
            </w:pPr>
            <w:r/>
            <w:r>
              <w:rPr>
                <w:sz w:val="16"/>
              </w:rPr>
              <w:t>Low</w:t>
            </w:r>
          </w:p>
        </w:tc>
      </w:tr>
      <w:tr>
        <w:tc>
          <w:tcPr>
            <w:tcW w:type="dxa" w:w="1170"/>
            <w:shd w:val="clear" w:color="auto" w:fill="EDF1F5"/>
          </w:tcPr>
          <w:p>
            <w:pPr>
              <w:spacing w:after="0"/>
            </w:pPr>
            <w:r/>
            <w:r>
              <w:rPr>
                <w:sz w:val="16"/>
              </w:rPr>
              <w:t>Hardware</w:t>
            </w:r>
          </w:p>
        </w:tc>
        <w:tc>
          <w:tcPr>
            <w:tcW w:type="dxa" w:w="1170"/>
            <w:shd w:val="clear" w:color="auto" w:fill="EDF1F5"/>
          </w:tcPr>
          <w:p>
            <w:pPr>
              <w:spacing w:after="0"/>
            </w:pPr>
            <w:r/>
            <w:r>
              <w:rPr>
                <w:sz w:val="16"/>
              </w:rPr>
              <w:t>Exclusive Deals</w:t>
            </w:r>
          </w:p>
        </w:tc>
        <w:tc>
          <w:tcPr>
            <w:tcW w:type="dxa" w:w="1170"/>
            <w:shd w:val="clear" w:color="auto" w:fill="EDF1F5"/>
          </w:tcPr>
          <w:p>
            <w:pPr>
              <w:spacing w:after="0"/>
            </w:pPr>
            <w:r/>
            <w:r>
              <w:rPr>
                <w:sz w:val="16"/>
              </w:rPr>
              <w:t>5</w:t>
            </w:r>
          </w:p>
        </w:tc>
        <w:tc>
          <w:tcPr>
            <w:tcW w:type="dxa" w:w="1170"/>
            <w:shd w:val="clear" w:color="auto" w:fill="EDF1F5"/>
          </w:tcPr>
          <w:p>
            <w:pPr>
              <w:spacing w:after="0"/>
            </w:pPr>
            <w:r/>
            <w:r>
              <w:rPr>
                <w:sz w:val="16"/>
              </w:rPr>
              <w:t>3</w:t>
            </w:r>
          </w:p>
        </w:tc>
        <w:tc>
          <w:tcPr>
            <w:tcW w:type="dxa" w:w="1170"/>
            <w:shd w:val="clear" w:color="auto" w:fill="EDF1F5"/>
          </w:tcPr>
          <w:p>
            <w:pPr>
              <w:spacing w:after="0"/>
            </w:pPr>
            <w:r/>
            <w:r>
              <w:rPr>
                <w:sz w:val="16"/>
              </w:rPr>
              <w:t>-2</w:t>
            </w:r>
          </w:p>
        </w:tc>
        <w:tc>
          <w:tcPr>
            <w:tcW w:type="dxa" w:w="1170"/>
            <w:shd w:val="clear" w:color="auto" w:fill="EDF1F5"/>
          </w:tcPr>
          <w:p>
            <w:pPr>
              <w:spacing w:after="0"/>
            </w:pPr>
            <w:r/>
            <w:r>
              <w:rPr>
                <w:sz w:val="16"/>
              </w:rPr>
              <w:t>60</w:t>
            </w:r>
          </w:p>
        </w:tc>
        <w:tc>
          <w:tcPr>
            <w:tcW w:type="dxa" w:w="1170"/>
            <w:shd w:val="clear" w:color="auto" w:fill="EDF1F5"/>
          </w:tcPr>
          <w:p>
            <w:pPr>
              <w:spacing w:after="0"/>
            </w:pPr>
            <w:r/>
            <w:r>
              <w:rPr>
                <w:sz w:val="16"/>
              </w:rPr>
              <w:t>Short-term</w:t>
            </w:r>
          </w:p>
        </w:tc>
        <w:tc>
          <w:tcPr>
            <w:tcW w:type="dxa" w:w="1170"/>
            <w:shd w:val="clear" w:color="auto" w:fill="EDF1F5"/>
          </w:tcPr>
          <w:p>
            <w:pPr>
              <w:spacing w:after="0"/>
            </w:pPr>
            <w:r/>
            <w:r>
              <w:rPr>
                <w:sz w:val="16"/>
              </w:rPr>
              <w:t>High</w:t>
            </w:r>
          </w:p>
        </w:tc>
      </w:tr>
      <w:tr>
        <w:tc>
          <w:tcPr>
            <w:tcW w:type="dxa" w:w="1170"/>
          </w:tcPr>
          <w:p>
            <w:pPr>
              <w:spacing w:after="0"/>
            </w:pPr>
            <w:r/>
            <w:r>
              <w:rPr>
                <w:sz w:val="16"/>
              </w:rPr>
              <w:t>Hardware</w:t>
            </w:r>
          </w:p>
        </w:tc>
        <w:tc>
          <w:tcPr>
            <w:tcW w:type="dxa" w:w="1170"/>
          </w:tcPr>
          <w:p>
            <w:pPr>
              <w:spacing w:after="0"/>
            </w:pPr>
            <w:r/>
            <w:r>
              <w:rPr>
                <w:sz w:val="16"/>
              </w:rPr>
              <w:t>Price Control</w:t>
            </w:r>
          </w:p>
        </w:tc>
        <w:tc>
          <w:tcPr>
            <w:tcW w:type="dxa" w:w="1170"/>
          </w:tcPr>
          <w:p>
            <w:pPr>
              <w:spacing w:after="0"/>
            </w:pPr>
            <w:r/>
            <w:r>
              <w:rPr>
                <w:sz w:val="16"/>
              </w:rPr>
              <w:t>7</w:t>
            </w:r>
          </w:p>
        </w:tc>
        <w:tc>
          <w:tcPr>
            <w:tcW w:type="dxa" w:w="1170"/>
          </w:tcPr>
          <w:p>
            <w:pPr>
              <w:spacing w:after="0"/>
            </w:pPr>
            <w:r/>
            <w:r>
              <w:rPr>
                <w:sz w:val="16"/>
              </w:rPr>
              <w:t>2</w:t>
            </w:r>
          </w:p>
        </w:tc>
        <w:tc>
          <w:tcPr>
            <w:tcW w:type="dxa" w:w="1170"/>
          </w:tcPr>
          <w:p>
            <w:pPr>
              <w:spacing w:after="0"/>
            </w:pPr>
            <w:r/>
            <w:r>
              <w:rPr>
                <w:sz w:val="16"/>
              </w:rPr>
              <w:t>-5</w:t>
            </w:r>
          </w:p>
        </w:tc>
        <w:tc>
          <w:tcPr>
            <w:tcW w:type="dxa" w:w="1170"/>
          </w:tcPr>
          <w:p>
            <w:pPr>
              <w:spacing w:after="0"/>
            </w:pPr>
            <w:r/>
            <w:r>
              <w:rPr>
                <w:sz w:val="16"/>
              </w:rPr>
              <w:t>28.60</w:t>
            </w:r>
          </w:p>
        </w:tc>
        <w:tc>
          <w:tcPr>
            <w:tcW w:type="dxa" w:w="1170"/>
          </w:tcPr>
          <w:p>
            <w:pPr>
              <w:spacing w:after="0"/>
            </w:pPr>
            <w:r/>
            <w:r>
              <w:rPr>
                <w:sz w:val="16"/>
              </w:rPr>
              <w:t>Short-term</w:t>
            </w:r>
          </w:p>
        </w:tc>
        <w:tc>
          <w:tcPr>
            <w:tcW w:type="dxa" w:w="1170"/>
          </w:tcPr>
          <w:p>
            <w:pPr>
              <w:spacing w:after="0"/>
            </w:pPr>
            <w:r/>
            <w:r>
              <w:rPr>
                <w:sz w:val="16"/>
              </w:rPr>
              <w:t>Critical</w:t>
            </w:r>
          </w:p>
        </w:tc>
      </w:tr>
      <w:tr>
        <w:tc>
          <w:tcPr>
            <w:tcW w:type="dxa" w:w="1170"/>
            <w:shd w:val="clear" w:color="auto" w:fill="EDF1F5"/>
          </w:tcPr>
          <w:p>
            <w:pPr>
              <w:spacing w:after="0"/>
            </w:pPr>
            <w:r/>
            <w:r>
              <w:rPr>
                <w:sz w:val="16"/>
              </w:rPr>
              <w:t>LLM Wrappers</w:t>
            </w:r>
          </w:p>
        </w:tc>
        <w:tc>
          <w:tcPr>
            <w:tcW w:type="dxa" w:w="1170"/>
            <w:shd w:val="clear" w:color="auto" w:fill="EDF1F5"/>
          </w:tcPr>
          <w:p>
            <w:pPr>
              <w:spacing w:after="0"/>
            </w:pPr>
            <w:r/>
            <w:r>
              <w:rPr>
                <w:sz w:val="16"/>
              </w:rPr>
              <w:t>Vertical Integration</w:t>
            </w:r>
          </w:p>
        </w:tc>
        <w:tc>
          <w:tcPr>
            <w:tcW w:type="dxa" w:w="1170"/>
            <w:shd w:val="clear" w:color="auto" w:fill="EDF1F5"/>
          </w:tcPr>
          <w:p>
            <w:pPr>
              <w:spacing w:after="0"/>
            </w:pPr>
            <w:r/>
            <w:r>
              <w:rPr>
                <w:sz w:val="16"/>
              </w:rPr>
              <w:t>2</w:t>
            </w:r>
          </w:p>
        </w:tc>
        <w:tc>
          <w:tcPr>
            <w:tcW w:type="dxa" w:w="1170"/>
            <w:shd w:val="clear" w:color="auto" w:fill="EDF1F5"/>
          </w:tcPr>
          <w:p>
            <w:pPr>
              <w:spacing w:after="0"/>
            </w:pPr>
            <w:r/>
            <w:r>
              <w:rPr>
                <w:sz w:val="16"/>
              </w:rPr>
              <w:t>6</w:t>
            </w:r>
          </w:p>
        </w:tc>
        <w:tc>
          <w:tcPr>
            <w:tcW w:type="dxa" w:w="1170"/>
            <w:shd w:val="clear" w:color="auto" w:fill="EDF1F5"/>
          </w:tcPr>
          <w:p>
            <w:pPr>
              <w:spacing w:after="0"/>
            </w:pPr>
            <w:r/>
            <w:r>
              <w:rPr>
                <w:sz w:val="16"/>
              </w:rPr>
              <w:t>4</w:t>
            </w:r>
          </w:p>
        </w:tc>
        <w:tc>
          <w:tcPr>
            <w:tcW w:type="dxa" w:w="1170"/>
            <w:shd w:val="clear" w:color="auto" w:fill="EDF1F5"/>
          </w:tcPr>
          <w:p>
            <w:pPr>
              <w:spacing w:after="0"/>
            </w:pPr>
            <w:r/>
            <w:r>
              <w:rPr>
                <w:sz w:val="16"/>
              </w:rPr>
              <w:t>300</w:t>
            </w:r>
          </w:p>
        </w:tc>
        <w:tc>
          <w:tcPr>
            <w:tcW w:type="dxa" w:w="1170"/>
            <w:shd w:val="clear" w:color="auto" w:fill="EDF1F5"/>
          </w:tcPr>
          <w:p>
            <w:pPr>
              <w:spacing w:after="0"/>
            </w:pPr>
            <w:r/>
            <w:r>
              <w:rPr>
                <w:sz w:val="16"/>
              </w:rPr>
              <w:t>Long-term</w:t>
            </w:r>
          </w:p>
        </w:tc>
        <w:tc>
          <w:tcPr>
            <w:tcW w:type="dxa" w:w="1170"/>
            <w:shd w:val="clear" w:color="auto" w:fill="EDF1F5"/>
          </w:tcPr>
          <w:p>
            <w:pPr>
              <w:spacing w:after="0"/>
            </w:pPr>
            <w:r/>
            <w:r>
              <w:rPr>
                <w:sz w:val="16"/>
              </w:rPr>
              <w:t>High</w:t>
            </w:r>
          </w:p>
        </w:tc>
      </w:tr>
      <w:tr>
        <w:tc>
          <w:tcPr>
            <w:tcW w:type="dxa" w:w="1170"/>
          </w:tcPr>
          <w:p>
            <w:pPr>
              <w:spacing w:after="0"/>
            </w:pPr>
            <w:r/>
            <w:r>
              <w:rPr>
                <w:sz w:val="16"/>
              </w:rPr>
              <w:t>LLM Wrappers</w:t>
            </w:r>
          </w:p>
        </w:tc>
        <w:tc>
          <w:tcPr>
            <w:tcW w:type="dxa" w:w="1170"/>
          </w:tcPr>
          <w:p>
            <w:pPr>
              <w:spacing w:after="0"/>
            </w:pPr>
            <w:r/>
            <w:r>
              <w:rPr>
                <w:sz w:val="16"/>
              </w:rPr>
              <w:t>Premium Pricing</w:t>
            </w:r>
          </w:p>
        </w:tc>
        <w:tc>
          <w:tcPr>
            <w:tcW w:type="dxa" w:w="1170"/>
          </w:tcPr>
          <w:p>
            <w:pPr>
              <w:spacing w:after="0"/>
            </w:pPr>
            <w:r/>
            <w:r>
              <w:rPr>
                <w:sz w:val="16"/>
              </w:rPr>
              <w:t>1</w:t>
            </w:r>
          </w:p>
        </w:tc>
        <w:tc>
          <w:tcPr>
            <w:tcW w:type="dxa" w:w="1170"/>
          </w:tcPr>
          <w:p>
            <w:pPr>
              <w:spacing w:after="0"/>
            </w:pPr>
            <w:r/>
            <w:r>
              <w:rPr>
                <w:sz w:val="16"/>
              </w:rPr>
              <w:t>3</w:t>
            </w:r>
          </w:p>
        </w:tc>
        <w:tc>
          <w:tcPr>
            <w:tcW w:type="dxa" w:w="1170"/>
          </w:tcPr>
          <w:p>
            <w:pPr>
              <w:spacing w:after="0"/>
            </w:pPr>
            <w:r/>
            <w:r>
              <w:rPr>
                <w:sz w:val="16"/>
              </w:rPr>
              <w:t>2</w:t>
            </w:r>
          </w:p>
        </w:tc>
        <w:tc>
          <w:tcPr>
            <w:tcW w:type="dxa" w:w="1170"/>
          </w:tcPr>
          <w:p>
            <w:pPr>
              <w:spacing w:after="0"/>
            </w:pPr>
            <w:r/>
            <w:r>
              <w:rPr>
                <w:sz w:val="16"/>
              </w:rPr>
              <w:t>300</w:t>
            </w:r>
          </w:p>
        </w:tc>
        <w:tc>
          <w:tcPr>
            <w:tcW w:type="dxa" w:w="1170"/>
          </w:tcPr>
          <w:p>
            <w:pPr>
              <w:spacing w:after="0"/>
            </w:pPr>
            <w:r/>
            <w:r>
              <w:rPr>
                <w:sz w:val="16"/>
              </w:rPr>
              <w:t>Long-term</w:t>
            </w:r>
          </w:p>
        </w:tc>
        <w:tc>
          <w:tcPr>
            <w:tcW w:type="dxa" w:w="1170"/>
          </w:tcPr>
          <w:p>
            <w:pPr>
              <w:spacing w:after="0"/>
            </w:pPr>
            <w:r/>
            <w:r>
              <w:rPr>
                <w:sz w:val="16"/>
              </w:rPr>
              <w:t>Medium</w:t>
            </w:r>
          </w:p>
        </w:tc>
      </w:tr>
      <w:tr>
        <w:tc>
          <w:tcPr>
            <w:tcW w:type="dxa" w:w="1170"/>
            <w:shd w:val="clear" w:color="auto" w:fill="EDF1F5"/>
          </w:tcPr>
          <w:p>
            <w:pPr>
              <w:spacing w:after="0"/>
            </w:pPr>
            <w:r/>
            <w:r>
              <w:rPr>
                <w:sz w:val="16"/>
              </w:rPr>
              <w:t>LLM Wrappers</w:t>
            </w:r>
          </w:p>
        </w:tc>
        <w:tc>
          <w:tcPr>
            <w:tcW w:type="dxa" w:w="1170"/>
            <w:shd w:val="clear" w:color="auto" w:fill="EDF1F5"/>
          </w:tcPr>
          <w:p>
            <w:pPr>
              <w:spacing w:after="0"/>
            </w:pPr>
            <w:r/>
            <w:r>
              <w:rPr>
                <w:sz w:val="16"/>
              </w:rPr>
              <w:t>Subsidize Usage</w:t>
            </w:r>
          </w:p>
        </w:tc>
        <w:tc>
          <w:tcPr>
            <w:tcW w:type="dxa" w:w="1170"/>
            <w:shd w:val="clear" w:color="auto" w:fill="EDF1F5"/>
          </w:tcPr>
          <w:p>
            <w:pPr>
              <w:spacing w:after="0"/>
            </w:pPr>
            <w:r/>
            <w:r>
              <w:rPr>
                <w:sz w:val="16"/>
              </w:rPr>
              <w:t>-3</w:t>
            </w:r>
          </w:p>
        </w:tc>
        <w:tc>
          <w:tcPr>
            <w:tcW w:type="dxa" w:w="1170"/>
            <w:shd w:val="clear" w:color="auto" w:fill="EDF1F5"/>
          </w:tcPr>
          <w:p>
            <w:pPr>
              <w:spacing w:after="0"/>
            </w:pPr>
            <w:r/>
            <w:r>
              <w:rPr>
                <w:sz w:val="16"/>
              </w:rPr>
              <w:t>-4</w:t>
            </w:r>
          </w:p>
        </w:tc>
        <w:tc>
          <w:tcPr>
            <w:tcW w:type="dxa" w:w="1170"/>
            <w:shd w:val="clear" w:color="auto" w:fill="EDF1F5"/>
          </w:tcPr>
          <w:p>
            <w:pPr>
              <w:spacing w:after="0"/>
            </w:pPr>
            <w:r/>
            <w:r>
              <w:rPr>
                <w:sz w:val="16"/>
              </w:rPr>
              <w:t>-1</w:t>
            </w:r>
          </w:p>
        </w:tc>
        <w:tc>
          <w:tcPr>
            <w:tcW w:type="dxa" w:w="1170"/>
            <w:shd w:val="clear" w:color="auto" w:fill="EDF1F5"/>
          </w:tcPr>
          <w:p>
            <w:pPr>
              <w:spacing w:after="0"/>
            </w:pPr>
            <w:r/>
            <w:r>
              <w:rPr>
                <w:sz w:val="16"/>
              </w:rPr>
              <w:t>133.30</w:t>
            </w:r>
          </w:p>
        </w:tc>
        <w:tc>
          <w:tcPr>
            <w:tcW w:type="dxa" w:w="1170"/>
            <w:shd w:val="clear" w:color="auto" w:fill="EDF1F5"/>
          </w:tcPr>
          <w:p>
            <w:pPr>
              <w:spacing w:after="0"/>
            </w:pPr>
            <w:r/>
            <w:r>
              <w:rPr>
                <w:sz w:val="16"/>
              </w:rPr>
              <w:t>Short-term</w:t>
            </w:r>
          </w:p>
        </w:tc>
        <w:tc>
          <w:tcPr>
            <w:tcW w:type="dxa" w:w="1170"/>
            <w:shd w:val="clear" w:color="auto" w:fill="EDF1F5"/>
          </w:tcPr>
          <w:p>
            <w:pPr>
              <w:spacing w:after="0"/>
            </w:pPr>
            <w:r/>
            <w:r>
              <w:rPr>
                <w:sz w:val="16"/>
              </w:rPr>
              <w:t>Critical</w:t>
            </w:r>
          </w:p>
        </w:tc>
      </w:tr>
    </w:tbl>
    <w:p>
      <w:pPr>
        <w:spacing w:after="80"/>
      </w:pPr>
      <w:r>
        <w:rPr>
          <w:sz w:val="4"/>
        </w:rPr>
      </w:r>
    </w:p>
    <w:p>
      <w:pPr>
        <w:keepNext/>
        <w:spacing w:before="200" w:after="40"/>
      </w:pPr>
      <w:r>
        <w:rPr>
          <w:b/>
          <w:color w:val="2C3E50"/>
          <w:sz w:val="20"/>
        </w:rPr>
        <w:t>Table 6.1–6.3: Policy Simulation Summary (v4.0)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Policy Scenario</w:t>
            </w:r>
          </w:p>
        </w:tc>
        <w:tc>
          <w:tcPr>
            <w:tcW w:type="dxa" w:w="1337"/>
            <w:tblHeader w:val="true"/>
            <w:shd w:val="clear" w:color="auto" w:fill="2C3E50"/>
          </w:tcPr>
          <w:p>
            <w:pPr>
              <w:jc w:val="center"/>
            </w:pPr>
            <w:r/>
            <w:r>
              <w:rPr>
                <w:b/>
                <w:color w:val="FFFFFF"/>
                <w:sz w:val="18"/>
              </w:rPr>
              <w:t>DWL Reduction ($B)</w:t>
            </w:r>
          </w:p>
        </w:tc>
        <w:tc>
          <w:tcPr>
            <w:tcW w:type="dxa" w:w="1337"/>
            <w:tblHeader w:val="true"/>
            <w:shd w:val="clear" w:color="auto" w:fill="2C3E50"/>
          </w:tcPr>
          <w:p>
            <w:pPr>
              <w:jc w:val="center"/>
            </w:pPr>
            <w:r/>
            <w:r>
              <w:rPr>
                <w:b/>
                <w:color w:val="FFFFFF"/>
                <w:sz w:val="18"/>
              </w:rPr>
              <w:t>Welfare Improvement (%)</w:t>
            </w:r>
          </w:p>
        </w:tc>
        <w:tc>
          <w:tcPr>
            <w:tcW w:type="dxa" w:w="1337"/>
            <w:tblHeader w:val="true"/>
            <w:shd w:val="clear" w:color="auto" w:fill="2C3E50"/>
          </w:tcPr>
          <w:p>
            <w:pPr>
              <w:jc w:val="center"/>
            </w:pPr>
            <w:r/>
            <w:r>
              <w:rPr>
                <w:b/>
                <w:color w:val="FFFFFF"/>
                <w:sz w:val="18"/>
              </w:rPr>
              <w:t>Implementation Cost ($B)</w:t>
            </w:r>
          </w:p>
        </w:tc>
        <w:tc>
          <w:tcPr>
            <w:tcW w:type="dxa" w:w="1337"/>
            <w:tblHeader w:val="true"/>
            <w:shd w:val="clear" w:color="auto" w:fill="2C3E50"/>
          </w:tcPr>
          <w:p>
            <w:pPr>
              <w:jc w:val="center"/>
            </w:pPr>
            <w:r/>
            <w:r>
              <w:rPr>
                <w:b/>
                <w:color w:val="FFFFFF"/>
                <w:sz w:val="18"/>
              </w:rPr>
              <w:t>Net Annual Benefit ($B)</w:t>
            </w:r>
          </w:p>
        </w:tc>
        <w:tc>
          <w:tcPr>
            <w:tcW w:type="dxa" w:w="1337"/>
            <w:tblHeader w:val="true"/>
            <w:shd w:val="clear" w:color="auto" w:fill="2C3E50"/>
          </w:tcPr>
          <w:p>
            <w:pPr>
              <w:jc w:val="center"/>
            </w:pPr>
            <w:r/>
            <w:r>
              <w:rPr>
                <w:b/>
                <w:color w:val="FFFFFF"/>
                <w:sz w:val="18"/>
              </w:rPr>
              <w:t>Benefit-Cost Ratio</w:t>
            </w:r>
          </w:p>
        </w:tc>
        <w:tc>
          <w:tcPr>
            <w:tcW w:type="dxa" w:w="1337"/>
            <w:tblHeader w:val="true"/>
            <w:shd w:val="clear" w:color="auto" w:fill="2C3E50"/>
          </w:tcPr>
          <w:p>
            <w:pPr>
              <w:jc w:val="center"/>
            </w:pPr>
            <w:r/>
            <w:r>
              <w:rPr>
                <w:b/>
                <w:color w:val="FFFFFF"/>
                <w:sz w:val="18"/>
              </w:rPr>
              <w:t>Source</w:t>
            </w:r>
          </w:p>
        </w:tc>
      </w:tr>
      <w:tr>
        <w:tc>
          <w:tcPr>
            <w:tcW w:type="dxa" w:w="1337"/>
          </w:tcPr>
          <w:p>
            <w:pPr>
              <w:spacing w:after="0"/>
            </w:pPr>
            <w:r/>
            <w:r>
              <w:rPr>
                <w:sz w:val="17"/>
              </w:rPr>
              <w:t>Combined Intervention</w:t>
            </w:r>
          </w:p>
        </w:tc>
        <w:tc>
          <w:tcPr>
            <w:tcW w:type="dxa" w:w="1337"/>
          </w:tcPr>
          <w:p>
            <w:pPr>
              <w:spacing w:after="0"/>
            </w:pPr>
            <w:r/>
            <w:r>
              <w:rPr>
                <w:sz w:val="17"/>
              </w:rPr>
              <w:t>229.22</w:t>
            </w:r>
          </w:p>
        </w:tc>
        <w:tc>
          <w:tcPr>
            <w:tcW w:type="dxa" w:w="1337"/>
          </w:tcPr>
          <w:p>
            <w:pPr>
              <w:spacing w:after="0"/>
            </w:pPr>
            <w:r/>
            <w:r>
              <w:rPr>
                <w:sz w:val="17"/>
              </w:rPr>
              <w:t>55</w:t>
            </w:r>
          </w:p>
        </w:tc>
        <w:tc>
          <w:tcPr>
            <w:tcW w:type="dxa" w:w="1337"/>
          </w:tcPr>
          <w:p>
            <w:pPr>
              <w:spacing w:after="0"/>
            </w:pPr>
            <w:r/>
            <w:r>
              <w:rPr>
                <w:sz w:val="17"/>
              </w:rPr>
              <w:t>15</w:t>
            </w:r>
          </w:p>
        </w:tc>
        <w:tc>
          <w:tcPr>
            <w:tcW w:type="dxa" w:w="1337"/>
          </w:tcPr>
          <w:p>
            <w:pPr>
              <w:spacing w:after="0"/>
            </w:pPr>
            <w:r/>
            <w:r>
              <w:rPr>
                <w:sz w:val="17"/>
              </w:rPr>
              <w:t>214.22</w:t>
            </w:r>
          </w:p>
        </w:tc>
        <w:tc>
          <w:tcPr>
            <w:tcW w:type="dxa" w:w="1337"/>
          </w:tcPr>
          <w:p>
            <w:pPr>
              <w:spacing w:after="0"/>
            </w:pPr>
            <w:r/>
            <w:r>
              <w:rPr>
                <w:sz w:val="17"/>
              </w:rPr>
              <w:t>15.28</w:t>
            </w:r>
          </w:p>
        </w:tc>
        <w:tc>
          <w:tcPr>
            <w:tcW w:type="dxa" w:w="1337"/>
          </w:tcPr>
          <w:p>
            <w:pPr>
              <w:spacing w:after="0"/>
            </w:pPr>
            <w:r/>
            <w:r>
              <w:rPr>
                <w:sz w:val="17"/>
              </w:rPr>
              <w:t>Policy complementarity (Crémer et al. 2019)</w:t>
            </w:r>
          </w:p>
        </w:tc>
      </w:tr>
      <w:tr>
        <w:tc>
          <w:tcPr>
            <w:tcW w:type="dxa" w:w="1337"/>
            <w:shd w:val="clear" w:color="auto" w:fill="EDF1F5"/>
          </w:tcPr>
          <w:p>
            <w:pPr>
              <w:spacing w:after="0"/>
            </w:pPr>
            <w:r/>
            <w:r>
              <w:rPr>
                <w:sz w:val="17"/>
              </w:rPr>
              <w:t>API Interoperability Mandate</w:t>
            </w:r>
          </w:p>
        </w:tc>
        <w:tc>
          <w:tcPr>
            <w:tcW w:type="dxa" w:w="1337"/>
            <w:shd w:val="clear" w:color="auto" w:fill="EDF1F5"/>
          </w:tcPr>
          <w:p>
            <w:pPr>
              <w:spacing w:after="0"/>
            </w:pPr>
            <w:r/>
            <w:r>
              <w:rPr>
                <w:sz w:val="17"/>
              </w:rPr>
              <w:t>145.87</w:t>
            </w:r>
          </w:p>
        </w:tc>
        <w:tc>
          <w:tcPr>
            <w:tcW w:type="dxa" w:w="1337"/>
            <w:shd w:val="clear" w:color="auto" w:fill="EDF1F5"/>
          </w:tcPr>
          <w:p>
            <w:pPr>
              <w:spacing w:after="0"/>
            </w:pPr>
            <w:r/>
            <w:r>
              <w:rPr>
                <w:sz w:val="17"/>
              </w:rPr>
              <w:t>35</w:t>
            </w:r>
          </w:p>
        </w:tc>
        <w:tc>
          <w:tcPr>
            <w:tcW w:type="dxa" w:w="1337"/>
            <w:shd w:val="clear" w:color="auto" w:fill="EDF1F5"/>
          </w:tcPr>
          <w:p>
            <w:pPr>
              <w:spacing w:after="0"/>
            </w:pPr>
            <w:r/>
            <w:r>
              <w:rPr>
                <w:sz w:val="17"/>
              </w:rPr>
              <w:t>5</w:t>
            </w:r>
          </w:p>
        </w:tc>
        <w:tc>
          <w:tcPr>
            <w:tcW w:type="dxa" w:w="1337"/>
            <w:shd w:val="clear" w:color="auto" w:fill="EDF1F5"/>
          </w:tcPr>
          <w:p>
            <w:pPr>
              <w:spacing w:after="0"/>
            </w:pPr>
            <w:r/>
            <w:r>
              <w:rPr>
                <w:sz w:val="17"/>
              </w:rPr>
              <w:t>140.87</w:t>
            </w:r>
          </w:p>
        </w:tc>
        <w:tc>
          <w:tcPr>
            <w:tcW w:type="dxa" w:w="1337"/>
            <w:shd w:val="clear" w:color="auto" w:fill="EDF1F5"/>
          </w:tcPr>
          <w:p>
            <w:pPr>
              <w:spacing w:after="0"/>
            </w:pPr>
            <w:r/>
            <w:r>
              <w:rPr>
                <w:sz w:val="17"/>
              </w:rPr>
              <w:t>29.17</w:t>
            </w:r>
          </w:p>
        </w:tc>
        <w:tc>
          <w:tcPr>
            <w:tcW w:type="dxa" w:w="1337"/>
            <w:shd w:val="clear" w:color="auto" w:fill="EDF1F5"/>
          </w:tcPr>
          <w:p>
            <w:pPr>
              <w:spacing w:after="0"/>
            </w:pPr>
            <w:r/>
            <w:r>
              <w:rPr>
                <w:sz w:val="17"/>
              </w:rPr>
              <w:t>EU Digital Markets Act (European Commission 2022)</w:t>
            </w:r>
          </w:p>
        </w:tc>
      </w:tr>
      <w:tr>
        <w:tc>
          <w:tcPr>
            <w:tcW w:type="dxa" w:w="1337"/>
          </w:tcPr>
          <w:p>
            <w:pPr>
              <w:spacing w:after="0"/>
            </w:pPr>
            <w:r/>
            <w:r>
              <w:rPr>
                <w:sz w:val="17"/>
              </w:rPr>
              <w:t>Antitrust Enforcement</w:t>
            </w:r>
          </w:p>
        </w:tc>
        <w:tc>
          <w:tcPr>
            <w:tcW w:type="dxa" w:w="1337"/>
          </w:tcPr>
          <w:p>
            <w:pPr>
              <w:spacing w:after="0"/>
            </w:pPr>
            <w:r/>
            <w:r>
              <w:rPr>
                <w:sz w:val="17"/>
              </w:rPr>
              <w:t>104.19</w:t>
            </w:r>
          </w:p>
        </w:tc>
        <w:tc>
          <w:tcPr>
            <w:tcW w:type="dxa" w:w="1337"/>
          </w:tcPr>
          <w:p>
            <w:pPr>
              <w:spacing w:after="0"/>
            </w:pPr>
            <w:r/>
            <w:r>
              <w:rPr>
                <w:sz w:val="17"/>
              </w:rPr>
              <w:t>25</w:t>
            </w:r>
          </w:p>
        </w:tc>
        <w:tc>
          <w:tcPr>
            <w:tcW w:type="dxa" w:w="1337"/>
          </w:tcPr>
          <w:p>
            <w:pPr>
              <w:spacing w:after="0"/>
            </w:pPr>
            <w:r/>
            <w:r>
              <w:rPr>
                <w:sz w:val="17"/>
              </w:rPr>
              <w:t>2</w:t>
            </w:r>
          </w:p>
        </w:tc>
        <w:tc>
          <w:tcPr>
            <w:tcW w:type="dxa" w:w="1337"/>
          </w:tcPr>
          <w:p>
            <w:pPr>
              <w:spacing w:after="0"/>
            </w:pPr>
            <w:r/>
            <w:r>
              <w:rPr>
                <w:sz w:val="17"/>
              </w:rPr>
              <w:t>102.19</w:t>
            </w:r>
          </w:p>
        </w:tc>
        <w:tc>
          <w:tcPr>
            <w:tcW w:type="dxa" w:w="1337"/>
          </w:tcPr>
          <w:p>
            <w:pPr>
              <w:spacing w:after="0"/>
            </w:pPr>
            <w:r/>
            <w:r>
              <w:rPr>
                <w:sz w:val="17"/>
              </w:rPr>
              <w:t>52.10</w:t>
            </w:r>
          </w:p>
        </w:tc>
        <w:tc>
          <w:tcPr>
            <w:tcW w:type="dxa" w:w="1337"/>
          </w:tcPr>
          <w:p>
            <w:pPr>
              <w:spacing w:after="0"/>
            </w:pPr>
            <w:r/>
            <w:r>
              <w:rPr>
                <w:sz w:val="17"/>
              </w:rPr>
              <w:t>DOJ/FTC costs (Baker 2019)</w:t>
            </w:r>
          </w:p>
        </w:tc>
      </w:tr>
      <w:tr>
        <w:tc>
          <w:tcPr>
            <w:tcW w:type="dxa" w:w="1337"/>
            <w:shd w:val="clear" w:color="auto" w:fill="EDF1F5"/>
          </w:tcPr>
          <w:p>
            <w:pPr>
              <w:spacing w:after="0"/>
            </w:pPr>
            <w:r/>
            <w:r>
              <w:rPr>
                <w:sz w:val="17"/>
              </w:rPr>
              <w:t>Innovation Subsidies</w:t>
            </w:r>
          </w:p>
        </w:tc>
        <w:tc>
          <w:tcPr>
            <w:tcW w:type="dxa" w:w="1337"/>
            <w:shd w:val="clear" w:color="auto" w:fill="EDF1F5"/>
          </w:tcPr>
          <w:p>
            <w:pPr>
              <w:spacing w:after="0"/>
            </w:pPr>
            <w:r/>
            <w:r>
              <w:rPr>
                <w:sz w:val="17"/>
              </w:rPr>
              <w:t>93.77</w:t>
            </w:r>
          </w:p>
        </w:tc>
        <w:tc>
          <w:tcPr>
            <w:tcW w:type="dxa" w:w="1337"/>
            <w:shd w:val="clear" w:color="auto" w:fill="EDF1F5"/>
          </w:tcPr>
          <w:p>
            <w:pPr>
              <w:spacing w:after="0"/>
            </w:pPr>
            <w:r/>
            <w:r>
              <w:rPr>
                <w:sz w:val="17"/>
              </w:rPr>
              <w:t>22.50</w:t>
            </w:r>
          </w:p>
        </w:tc>
        <w:tc>
          <w:tcPr>
            <w:tcW w:type="dxa" w:w="1337"/>
            <w:shd w:val="clear" w:color="auto" w:fill="EDF1F5"/>
          </w:tcPr>
          <w:p>
            <w:pPr>
              <w:spacing w:after="0"/>
            </w:pPr>
            <w:r/>
            <w:r>
              <w:rPr>
                <w:sz w:val="17"/>
              </w:rPr>
              <w:t>8</w:t>
            </w:r>
          </w:p>
        </w:tc>
        <w:tc>
          <w:tcPr>
            <w:tcW w:type="dxa" w:w="1337"/>
            <w:shd w:val="clear" w:color="auto" w:fill="EDF1F5"/>
          </w:tcPr>
          <w:p>
            <w:pPr>
              <w:spacing w:after="0"/>
            </w:pPr>
            <w:r/>
            <w:r>
              <w:rPr>
                <w:sz w:val="17"/>
              </w:rPr>
              <w:t>85.77</w:t>
            </w:r>
          </w:p>
        </w:tc>
        <w:tc>
          <w:tcPr>
            <w:tcW w:type="dxa" w:w="1337"/>
            <w:shd w:val="clear" w:color="auto" w:fill="EDF1F5"/>
          </w:tcPr>
          <w:p>
            <w:pPr>
              <w:spacing w:after="0"/>
            </w:pPr>
            <w:r/>
            <w:r>
              <w:rPr>
                <w:sz w:val="17"/>
              </w:rPr>
              <w:t>11.72</w:t>
            </w:r>
          </w:p>
        </w:tc>
        <w:tc>
          <w:tcPr>
            <w:tcW w:type="dxa" w:w="1337"/>
            <w:shd w:val="clear" w:color="auto" w:fill="EDF1F5"/>
          </w:tcPr>
          <w:p>
            <w:pPr>
              <w:spacing w:after="0"/>
            </w:pPr>
            <w:r/>
            <w:r>
              <w:rPr>
                <w:sz w:val="17"/>
              </w:rPr>
              <w:t>CHIPS Act (CBO Jul 2022 cost estimate) &amp; IRA credits (JCT scores)</w:t>
            </w:r>
          </w:p>
        </w:tc>
      </w:tr>
      <w:tr>
        <w:tc>
          <w:tcPr>
            <w:tcW w:type="dxa" w:w="1337"/>
          </w:tcPr>
          <w:p>
            <w:pPr>
              <w:spacing w:after="0"/>
            </w:pPr>
            <w:r/>
            <w:r>
              <w:rPr>
                <w:sz w:val="17"/>
              </w:rPr>
              <w:t>Data Sharing Mandate</w:t>
            </w:r>
          </w:p>
        </w:tc>
        <w:tc>
          <w:tcPr>
            <w:tcW w:type="dxa" w:w="1337"/>
          </w:tcPr>
          <w:p>
            <w:pPr>
              <w:spacing w:after="0"/>
            </w:pPr>
            <w:r/>
            <w:r>
              <w:rPr>
                <w:sz w:val="17"/>
              </w:rPr>
              <w:t>75.02</w:t>
            </w:r>
          </w:p>
        </w:tc>
        <w:tc>
          <w:tcPr>
            <w:tcW w:type="dxa" w:w="1337"/>
          </w:tcPr>
          <w:p>
            <w:pPr>
              <w:spacing w:after="0"/>
            </w:pPr>
            <w:r/>
            <w:r>
              <w:rPr>
                <w:sz w:val="17"/>
              </w:rPr>
              <w:t>18</w:t>
            </w:r>
          </w:p>
        </w:tc>
        <w:tc>
          <w:tcPr>
            <w:tcW w:type="dxa" w:w="1337"/>
          </w:tcPr>
          <w:p>
            <w:pPr>
              <w:spacing w:after="0"/>
            </w:pPr>
            <w:r/>
            <w:r>
              <w:rPr>
                <w:sz w:val="17"/>
              </w:rPr>
              <w:t>3</w:t>
            </w:r>
          </w:p>
        </w:tc>
        <w:tc>
          <w:tcPr>
            <w:tcW w:type="dxa" w:w="1337"/>
          </w:tcPr>
          <w:p>
            <w:pPr>
              <w:spacing w:after="0"/>
            </w:pPr>
            <w:r/>
            <w:r>
              <w:rPr>
                <w:sz w:val="17"/>
              </w:rPr>
              <w:t>72.02</w:t>
            </w:r>
          </w:p>
        </w:tc>
        <w:tc>
          <w:tcPr>
            <w:tcW w:type="dxa" w:w="1337"/>
          </w:tcPr>
          <w:p>
            <w:pPr>
              <w:spacing w:after="0"/>
            </w:pPr>
            <w:r/>
            <w:r>
              <w:rPr>
                <w:sz w:val="17"/>
              </w:rPr>
              <w:t>25.01</w:t>
            </w:r>
          </w:p>
        </w:tc>
        <w:tc>
          <w:tcPr>
            <w:tcW w:type="dxa" w:w="1337"/>
          </w:tcPr>
          <w:p>
            <w:pPr>
              <w:spacing w:after="0"/>
            </w:pPr>
            <w:r/>
            <w:r>
              <w:rPr>
                <w:sz w:val="17"/>
              </w:rPr>
              <w:t>Krämer, Senellart &amp; de Streel (2020), Making Data Portability More Effective, CERRE</w:t>
            </w:r>
          </w:p>
        </w:tc>
      </w:tr>
    </w:tbl>
    <w:p>
      <w:pPr>
        <w:spacing w:after="80"/>
      </w:pPr>
      <w:r>
        <w:rPr>
          <w:sz w:val="4"/>
        </w:rPr>
      </w:r>
    </w:p>
    <w:p>
      <w:pPr>
        <w:keepNext/>
        <w:spacing w:before="160"/>
        <w:jc w:val="center"/>
      </w:pPr>
      <w:r>
        <w:drawing>
          <wp:inline xmlns:a="http://schemas.openxmlformats.org/drawingml/2006/main" xmlns:pic="http://schemas.openxmlformats.org/drawingml/2006/picture">
            <wp:extent cx="5760720" cy="3418027"/>
            <wp:docPr id="12" name="Picture 12" descr="Figure 7: Welfare Composite [Panels: (a), (b), (c), (d)]"/>
            <wp:cNvGraphicFramePr>
              <a:graphicFrameLocks noChangeAspect="1"/>
            </wp:cNvGraphicFramePr>
            <a:graphic>
              <a:graphicData uri="http://schemas.openxmlformats.org/drawingml/2006/picture">
                <pic:pic>
                  <pic:nvPicPr>
                    <pic:cNvPr id="0" name="figure_7.jpg"/>
                    <pic:cNvPicPr/>
                  </pic:nvPicPr>
                  <pic:blipFill>
                    <a:blip r:embed="rId22"/>
                    <a:stretch>
                      <a:fillRect/>
                    </a:stretch>
                  </pic:blipFill>
                  <pic:spPr>
                    <a:xfrm>
                      <a:off x="0" y="0"/>
                      <a:ext cx="5760720" cy="3418027"/>
                    </a:xfrm>
                    <a:prstGeom prst="rect"/>
                  </pic:spPr>
                </pic:pic>
              </a:graphicData>
            </a:graphic>
          </wp:inline>
        </w:drawing>
      </w:r>
    </w:p>
    <w:p>
      <w:pPr>
        <w:spacing w:after="200"/>
        <w:jc w:val="center"/>
      </w:pPr>
      <w:r>
        <w:rPr>
          <w:i/>
          <w:color w:val="404040"/>
          <w:sz w:val="18"/>
        </w:rPr>
        <w:t>Figure 7: Welfare Composite [Panels: (a), (b), (c), (d)]</w:t>
      </w:r>
    </w:p>
    <w:p>
      <w:pPr>
        <w:keepNext/>
        <w:spacing w:before="160"/>
        <w:jc w:val="center"/>
      </w:pPr>
      <w:r>
        <w:drawing>
          <wp:inline xmlns:a="http://schemas.openxmlformats.org/drawingml/2006/main" xmlns:pic="http://schemas.openxmlformats.org/drawingml/2006/picture">
            <wp:extent cx="5760720" cy="3820200"/>
            <wp:docPr id="13" name="Picture 13" descr="Figure 12: Policy Simulation (schematic)"/>
            <wp:cNvGraphicFramePr>
              <a:graphicFrameLocks noChangeAspect="1"/>
            </wp:cNvGraphicFramePr>
            <a:graphic>
              <a:graphicData uri="http://schemas.openxmlformats.org/drawingml/2006/picture">
                <pic:pic>
                  <pic:nvPicPr>
                    <pic:cNvPr id="0" name="figure_12.jpg"/>
                    <pic:cNvPicPr/>
                  </pic:nvPicPr>
                  <pic:blipFill>
                    <a:blip r:embed="rId23"/>
                    <a:stretch>
                      <a:fillRect/>
                    </a:stretch>
                  </pic:blipFill>
                  <pic:spPr>
                    <a:xfrm>
                      <a:off x="0" y="0"/>
                      <a:ext cx="5760720" cy="3820200"/>
                    </a:xfrm>
                    <a:prstGeom prst="rect"/>
                  </pic:spPr>
                </pic:pic>
              </a:graphicData>
            </a:graphic>
          </wp:inline>
        </w:drawing>
      </w:r>
    </w:p>
    <w:p>
      <w:pPr>
        <w:spacing w:after="200"/>
        <w:jc w:val="center"/>
      </w:pPr>
      <w:r>
        <w:rPr>
          <w:i/>
          <w:color w:val="404040"/>
          <w:sz w:val="18"/>
        </w:rPr>
        <w:t>Figure 12: Policy Simulation (schematic)</w:t>
      </w:r>
    </w:p>
    <w:p>
      <w:pPr>
        <w:pStyle w:val="Heading2"/>
      </w:pPr>
      <w:r>
        <w:t>Discussion: who bears the loss</w:t>
      </w:r>
    </w:p>
    <w:p>
      <w:pPr>
        <w:pStyle w:val="ListBullet"/>
        <w:spacing w:after="40"/>
      </w:pPr>
      <w:r>
        <w:rPr>
          <w:sz w:val="21"/>
        </w:rPr>
        <w:t>Roughly 43% of the loss (switching costs plus monopoly pricing) is consumer-facing — higher prices and locked-in users — while 43% (innovation distortion plus quality degradation) is dynamic: slower progress and worse products. The first is visible in bills; the second in the products that never ship.</w:t>
      </w:r>
    </w:p>
    <w:p>
      <w:pPr>
        <w:pStyle w:val="ListBullet"/>
        <w:spacing w:after="40"/>
      </w:pPr>
      <w:r>
        <w:rPr>
          <w:sz w:val="21"/>
        </w:rPr>
        <w:t>Paradoxically the dominant archetypes absorb the largest absolute losses too: the core-game DWL sits inside Hardware–Cloud revenues, so enclosure taxes its architects as well as its subjects — NVIDIA and the hyperscalers leave money on the table by defending the walls, which is why interoperability can be framed as mutual gain rather than punishment.</w:t>
      </w:r>
    </w:p>
    <w:p>
      <w:r>
        <w:br w:type="page"/>
      </w:r>
    </w:p>
    <w:p>
      <w:pPr>
        <w:pStyle w:val="Heading1"/>
      </w:pPr>
      <w:r>
        <w:t>6.  Robustness: Monte Carlo and Sensitivity</w:t>
      </w:r>
    </w:p>
    <w:p>
      <w:pPr>
        <w:spacing w:after="120"/>
      </w:pPr>
      <w:r>
        <w:rPr>
          <w:b w:val="0"/>
          <w:i w:val="0"/>
          <w:sz w:val="22"/>
        </w:rPr>
        <w:t>Stability of the equilibrium outcomes was tested with 100,000 perturbed payoffs per game (log-normal noise, σ = 5%), and the headline DWL assumption was swept ±20% in the sensitivity analysis. A five-part statistical battery (R1–R5, Tables 8.1–8.5) then subjects the simulation itself to formal checks.</w:t>
      </w:r>
    </w:p>
    <w:p>
      <w:pPr>
        <w:pStyle w:val="Heading2"/>
      </w:pPr>
      <w:r>
        <w:t>6.1  Simulation diagnostics and replicability (R1–R3)</w:t>
      </w:r>
    </w:p>
    <w:p>
      <w:pPr>
        <w:spacing w:after="120"/>
      </w:pPr>
      <w:r>
        <w:rPr>
          <w:b w:val="0"/>
          <w:i w:val="0"/>
          <w:sz w:val="22"/>
        </w:rPr>
        <w:t>Geweke mean-stability screens (first-10% versus last-50% window means, Holm-corrected across games) read stationary in 6/6 games (Table 8.1). No game rejects stationarity.</w:t>
      </w:r>
    </w:p>
    <w:p>
      <w:pPr>
        <w:spacing w:after="120"/>
      </w:pPr>
      <w:r>
        <w:rPr>
          <w:b w:val="0"/>
          <w:i w:val="0"/>
          <w:sz w:val="22"/>
        </w:rPr>
        <w:t>Full-sample reruns at two independent seeds replicate 12/12 game-seeds within 3 pooled standard errors (Table 8.2; worst drift 2.14 SE): conclusions do not depend on the random seed.</w:t>
      </w:r>
    </w:p>
    <w:p>
      <w:pPr>
        <w:spacing w:after="120"/>
      </w:pPr>
      <w:r>
        <w:rPr>
          <w:b w:val="0"/>
          <w:i w:val="0"/>
          <w:sz w:val="22"/>
        </w:rPr>
        <w:t>Perturbation-scale robustness (Table 8.3): rank preserved (min Spearman 1.000). Stability falls mechanically as noise rises (the core game goes from 77.3% to 53.5% stability), but the cross-game loss ranking — and in particular the dominance of the Hardware–Cloud game — survives at every noise level.</w:t>
      </w:r>
    </w:p>
    <w:p>
      <w:pPr>
        <w:keepNext/>
        <w:spacing w:before="200" w:after="40"/>
      </w:pPr>
      <w:r>
        <w:rPr>
          <w:b/>
          <w:color w:val="2C3E50"/>
          <w:sz w:val="20"/>
        </w:rPr>
        <w:t>Table 4.1: Monte Carlo &amp; Sensitivity Summary</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Parameter</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Number of Simulations</w:t>
            </w:r>
          </w:p>
        </w:tc>
        <w:tc>
          <w:tcPr>
            <w:tcW w:type="dxa" w:w="4680"/>
          </w:tcPr>
          <w:p>
            <w:pPr>
              <w:spacing w:after="0"/>
            </w:pPr>
            <w:r/>
            <w:r>
              <w:rPr>
                <w:sz w:val="19"/>
              </w:rPr>
              <w:t>100,000</w:t>
            </w:r>
          </w:p>
        </w:tc>
      </w:tr>
      <w:tr>
        <w:tc>
          <w:tcPr>
            <w:tcW w:type="dxa" w:w="4680"/>
            <w:shd w:val="clear" w:color="auto" w:fill="EDF1F5"/>
          </w:tcPr>
          <w:p>
            <w:pPr>
              <w:spacing w:after="0"/>
            </w:pPr>
            <w:r/>
            <w:r>
              <w:rPr>
                <w:sz w:val="19"/>
              </w:rPr>
              <w:t>Payoff Perturbation Std Dev</w:t>
            </w:r>
          </w:p>
        </w:tc>
        <w:tc>
          <w:tcPr>
            <w:tcW w:type="dxa" w:w="4680"/>
            <w:shd w:val="clear" w:color="auto" w:fill="EDF1F5"/>
          </w:tcPr>
          <w:p>
            <w:pPr>
              <w:spacing w:after="0"/>
            </w:pPr>
            <w:r/>
            <w:r>
              <w:rPr>
                <w:sz w:val="19"/>
              </w:rPr>
              <w:t>5.0%</w:t>
            </w:r>
          </w:p>
        </w:tc>
      </w:tr>
      <w:tr>
        <w:tc>
          <w:tcPr>
            <w:tcW w:type="dxa" w:w="4680"/>
          </w:tcPr>
          <w:p>
            <w:pPr>
              <w:spacing w:after="0"/>
            </w:pPr>
            <w:r/>
            <w:r>
              <w:rPr>
                <w:sz w:val="19"/>
              </w:rPr>
              <w:t>Confidence Level</w:t>
            </w:r>
          </w:p>
        </w:tc>
        <w:tc>
          <w:tcPr>
            <w:tcW w:type="dxa" w:w="4680"/>
          </w:tcPr>
          <w:p>
            <w:pPr>
              <w:spacing w:after="0"/>
            </w:pPr>
            <w:r/>
            <w:r>
              <w:rPr>
                <w:sz w:val="19"/>
              </w:rPr>
              <w:t>98%</w:t>
            </w:r>
          </w:p>
        </w:tc>
      </w:tr>
      <w:tr>
        <w:tc>
          <w:tcPr>
            <w:tcW w:type="dxa" w:w="4680"/>
            <w:shd w:val="clear" w:color="auto" w:fill="EDF1F5"/>
          </w:tcPr>
          <w:p>
            <w:pPr>
              <w:spacing w:after="0"/>
            </w:pPr>
            <w:r/>
            <w:r>
              <w:rPr>
                <w:sz w:val="19"/>
              </w:rPr>
              <w:t>Mean Simulated DWL ($B)</w:t>
            </w:r>
          </w:p>
        </w:tc>
        <w:tc>
          <w:tcPr>
            <w:tcW w:type="dxa" w:w="4680"/>
            <w:shd w:val="clear" w:color="auto" w:fill="EDF1F5"/>
          </w:tcPr>
          <w:p>
            <w:pPr>
              <w:spacing w:after="0"/>
            </w:pPr>
            <w:r/>
            <w:r>
              <w:rPr>
                <w:sz w:val="19"/>
              </w:rPr>
              <w:t>60.09</w:t>
            </w:r>
          </w:p>
        </w:tc>
      </w:tr>
      <w:tr>
        <w:tc>
          <w:tcPr>
            <w:tcW w:type="dxa" w:w="4680"/>
          </w:tcPr>
          <w:p>
            <w:pPr>
              <w:spacing w:after="0"/>
            </w:pPr>
            <w:r/>
            <w:r>
              <w:rPr>
                <w:sz w:val="19"/>
              </w:rPr>
              <w:t>98% CI Lower Bound ($B)</w:t>
            </w:r>
          </w:p>
        </w:tc>
        <w:tc>
          <w:tcPr>
            <w:tcW w:type="dxa" w:w="4680"/>
          </w:tcPr>
          <w:p>
            <w:pPr>
              <w:spacing w:after="0"/>
            </w:pPr>
            <w:r/>
            <w:r>
              <w:rPr>
                <w:sz w:val="19"/>
              </w:rPr>
              <w:t>0.00</w:t>
            </w:r>
          </w:p>
        </w:tc>
      </w:tr>
      <w:tr>
        <w:tc>
          <w:tcPr>
            <w:tcW w:type="dxa" w:w="4680"/>
            <w:shd w:val="clear" w:color="auto" w:fill="EDF1F5"/>
          </w:tcPr>
          <w:p>
            <w:pPr>
              <w:spacing w:after="0"/>
            </w:pPr>
            <w:r/>
            <w:r>
              <w:rPr>
                <w:sz w:val="19"/>
              </w:rPr>
              <w:t>98% CI Upper Bound ($B)</w:t>
            </w:r>
          </w:p>
        </w:tc>
        <w:tc>
          <w:tcPr>
            <w:tcW w:type="dxa" w:w="4680"/>
            <w:shd w:val="clear" w:color="auto" w:fill="EDF1F5"/>
          </w:tcPr>
          <w:p>
            <w:pPr>
              <w:spacing w:after="0"/>
            </w:pPr>
            <w:r/>
            <w:r>
              <w:rPr>
                <w:sz w:val="19"/>
              </w:rPr>
              <w:t>269.59</w:t>
            </w:r>
          </w:p>
        </w:tc>
      </w:tr>
      <w:tr>
        <w:tc>
          <w:tcPr>
            <w:tcW w:type="dxa" w:w="4680"/>
          </w:tcPr>
          <w:p>
            <w:pPr>
              <w:spacing w:after="0"/>
            </w:pPr>
            <w:r/>
            <w:r>
              <w:rPr>
                <w:sz w:val="19"/>
              </w:rPr>
              <w:t>Standard Deviation of DWL ($B)</w:t>
            </w:r>
          </w:p>
        </w:tc>
        <w:tc>
          <w:tcPr>
            <w:tcW w:type="dxa" w:w="4680"/>
          </w:tcPr>
          <w:p>
            <w:pPr>
              <w:spacing w:after="0"/>
            </w:pPr>
            <w:r/>
            <w:r>
              <w:rPr>
                <w:sz w:val="19"/>
              </w:rPr>
              <w:t>71.80</w:t>
            </w:r>
          </w:p>
        </w:tc>
      </w:tr>
      <w:tr>
        <w:tc>
          <w:tcPr>
            <w:tcW w:type="dxa" w:w="4680"/>
            <w:shd w:val="clear" w:color="auto" w:fill="EDF1F5"/>
          </w:tcPr>
          <w:p>
            <w:pPr>
              <w:spacing w:after="0"/>
            </w:pPr>
            <w:r/>
            <w:r>
              <w:rPr>
                <w:sz w:val="19"/>
              </w:rPr>
              <w:t>Nash Equilibrium Stability (%)</w:t>
            </w:r>
          </w:p>
        </w:tc>
        <w:tc>
          <w:tcPr>
            <w:tcW w:type="dxa" w:w="4680"/>
            <w:shd w:val="clear" w:color="auto" w:fill="EDF1F5"/>
          </w:tcPr>
          <w:p>
            <w:pPr>
              <w:spacing w:after="0"/>
            </w:pPr>
            <w:r/>
            <w:r>
              <w:rPr>
                <w:sz w:val="19"/>
              </w:rPr>
              <w:t>64.7</w:t>
            </w:r>
          </w:p>
        </w:tc>
      </w:tr>
      <w:tr>
        <w:tc>
          <w:tcPr>
            <w:tcW w:type="dxa" w:w="4680"/>
          </w:tcPr>
          <w:p>
            <w:pPr>
              <w:spacing w:after="0"/>
            </w:pPr>
            <w:r/>
            <w:r>
              <w:rPr>
                <w:sz w:val="19"/>
              </w:rPr>
              <w:t>Parameter Analyzed</w:t>
            </w:r>
          </w:p>
        </w:tc>
        <w:tc>
          <w:tcPr>
            <w:tcW w:type="dxa" w:w="4680"/>
          </w:tcPr>
          <w:p>
            <w:pPr>
              <w:spacing w:after="0"/>
            </w:pPr>
            <w:r/>
            <w:r>
              <w:rPr>
                <w:sz w:val="19"/>
              </w:rPr>
              <w:t>Market DWL Percentage</w:t>
            </w:r>
          </w:p>
        </w:tc>
      </w:tr>
      <w:tr>
        <w:tc>
          <w:tcPr>
            <w:tcW w:type="dxa" w:w="4680"/>
            <w:shd w:val="clear" w:color="auto" w:fill="EDF1F5"/>
          </w:tcPr>
          <w:p>
            <w:pPr>
              <w:spacing w:after="0"/>
            </w:pPr>
            <w:r/>
            <w:r>
              <w:rPr>
                <w:sz w:val="19"/>
              </w:rPr>
              <w:t>Base Value</w:t>
            </w:r>
          </w:p>
        </w:tc>
        <w:tc>
          <w:tcPr>
            <w:tcW w:type="dxa" w:w="4680"/>
            <w:shd w:val="clear" w:color="auto" w:fill="EDF1F5"/>
          </w:tcPr>
          <w:p>
            <w:pPr>
              <w:spacing w:after="0"/>
            </w:pPr>
            <w:r/>
            <w:r>
              <w:rPr>
                <w:sz w:val="19"/>
              </w:rPr>
              <w:t>28.72%</w:t>
            </w:r>
          </w:p>
        </w:tc>
      </w:tr>
      <w:tr>
        <w:tc>
          <w:tcPr>
            <w:tcW w:type="dxa" w:w="4680"/>
          </w:tcPr>
          <w:p>
            <w:pPr>
              <w:spacing w:after="0"/>
            </w:pPr>
            <w:r/>
            <w:r>
              <w:rPr>
                <w:sz w:val="19"/>
              </w:rPr>
              <w:t>Range Tested (%)</w:t>
            </w:r>
          </w:p>
        </w:tc>
        <w:tc>
          <w:tcPr>
            <w:tcW w:type="dxa" w:w="4680"/>
          </w:tcPr>
          <w:p>
            <w:pPr>
              <w:spacing w:after="0"/>
            </w:pPr>
            <w:r/>
            <w:r>
              <w:rPr>
                <w:sz w:val="19"/>
              </w:rPr>
              <w:t>±20%</w:t>
            </w:r>
          </w:p>
        </w:tc>
      </w:tr>
      <w:tr>
        <w:tc>
          <w:tcPr>
            <w:tcW w:type="dxa" w:w="4680"/>
            <w:shd w:val="clear" w:color="auto" w:fill="EDF1F5"/>
          </w:tcPr>
          <w:p>
            <w:pPr>
              <w:spacing w:after="0"/>
            </w:pPr>
            <w:r/>
            <w:r>
              <w:rPr>
                <w:sz w:val="19"/>
              </w:rPr>
              <w:t>Elasticity</w:t>
            </w:r>
          </w:p>
        </w:tc>
        <w:tc>
          <w:tcPr>
            <w:tcW w:type="dxa" w:w="4680"/>
            <w:shd w:val="clear" w:color="auto" w:fill="EDF1F5"/>
          </w:tcPr>
          <w:p>
            <w:pPr>
              <w:spacing w:after="0"/>
            </w:pPr>
            <w:r/>
            <w:r>
              <w:rPr>
                <w:sz w:val="19"/>
              </w:rPr>
              <w:t>1.41</w:t>
            </w:r>
          </w:p>
        </w:tc>
      </w:tr>
    </w:tbl>
    <w:p>
      <w:pPr>
        <w:spacing w:after="80"/>
      </w:pPr>
      <w:r>
        <w:rPr>
          <w:sz w:val="4"/>
        </w:rPr>
      </w:r>
    </w:p>
    <w:p>
      <w:pPr>
        <w:keepNext/>
        <w:spacing w:before="200" w:after="40"/>
      </w:pPr>
      <w:r>
        <w:rPr>
          <w:b/>
          <w:color w:val="2C3E50"/>
          <w:sz w:val="20"/>
        </w:rPr>
        <w:t>Table 8.1: Stationarity Diagnostics (Geweke)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Game</w:t>
            </w:r>
          </w:p>
        </w:tc>
        <w:tc>
          <w:tcPr>
            <w:tcW w:type="dxa" w:w="1560"/>
            <w:tblHeader w:val="true"/>
            <w:shd w:val="clear" w:color="auto" w:fill="2C3E50"/>
          </w:tcPr>
          <w:p>
            <w:pPr>
              <w:jc w:val="center"/>
            </w:pPr>
            <w:r/>
            <w:r>
              <w:rPr>
                <w:b/>
                <w:color w:val="FFFFFF"/>
                <w:sz w:val="18"/>
              </w:rPr>
              <w:t>N_Valid</w:t>
            </w:r>
          </w:p>
        </w:tc>
        <w:tc>
          <w:tcPr>
            <w:tcW w:type="dxa" w:w="1560"/>
            <w:tblHeader w:val="true"/>
            <w:shd w:val="clear" w:color="auto" w:fill="2C3E50"/>
          </w:tcPr>
          <w:p>
            <w:pPr>
              <w:jc w:val="center"/>
            </w:pPr>
            <w:r/>
            <w:r>
              <w:rPr>
                <w:b/>
                <w:color w:val="FFFFFF"/>
                <w:sz w:val="18"/>
              </w:rPr>
              <w:t>Geweke_z</w:t>
            </w:r>
          </w:p>
        </w:tc>
        <w:tc>
          <w:tcPr>
            <w:tcW w:type="dxa" w:w="1560"/>
            <w:tblHeader w:val="true"/>
            <w:shd w:val="clear" w:color="auto" w:fill="2C3E50"/>
          </w:tcPr>
          <w:p>
            <w:pPr>
              <w:jc w:val="center"/>
            </w:pPr>
            <w:r/>
            <w:r>
              <w:rPr>
                <w:b/>
                <w:color w:val="FFFFFF"/>
                <w:sz w:val="18"/>
              </w:rPr>
              <w:t>p_value</w:t>
            </w:r>
          </w:p>
        </w:tc>
        <w:tc>
          <w:tcPr>
            <w:tcW w:type="dxa" w:w="1560"/>
            <w:tblHeader w:val="true"/>
            <w:shd w:val="clear" w:color="auto" w:fill="2C3E50"/>
          </w:tcPr>
          <w:p>
            <w:pPr>
              <w:jc w:val="center"/>
            </w:pPr>
            <w:r/>
            <w:r>
              <w:rPr>
                <w:b/>
                <w:color w:val="FFFFFF"/>
                <w:sz w:val="18"/>
              </w:rPr>
              <w:t>Verdict</w:t>
            </w:r>
          </w:p>
        </w:tc>
        <w:tc>
          <w:tcPr>
            <w:tcW w:type="dxa" w:w="1560"/>
            <w:tblHeader w:val="true"/>
            <w:shd w:val="clear" w:color="auto" w:fill="2C3E50"/>
          </w:tcPr>
          <w:p>
            <w:pPr>
              <w:jc w:val="center"/>
            </w:pPr>
            <w:r/>
            <w:r>
              <w:rPr>
                <w:b/>
                <w:color w:val="FFFFFF"/>
                <w:sz w:val="18"/>
              </w:rPr>
              <w:t>Holm_verdict</w:t>
            </w:r>
          </w:p>
        </w:tc>
      </w:tr>
      <w:tr>
        <w:tc>
          <w:tcPr>
            <w:tcW w:type="dxa" w:w="1560"/>
          </w:tcPr>
          <w:p>
            <w:pPr>
              <w:spacing w:after="0"/>
            </w:pPr>
            <w:r/>
            <w:r>
              <w:rPr>
                <w:sz w:val="17"/>
              </w:rPr>
              <w:t>Hardware-Cloud Providers</w:t>
            </w:r>
          </w:p>
        </w:tc>
        <w:tc>
          <w:tcPr>
            <w:tcW w:type="dxa" w:w="1560"/>
          </w:tcPr>
          <w:p>
            <w:pPr>
              <w:spacing w:after="0"/>
            </w:pPr>
            <w:r/>
            <w:r>
              <w:rPr>
                <w:sz w:val="17"/>
              </w:rPr>
              <w:t>99967</w:t>
            </w:r>
          </w:p>
        </w:tc>
        <w:tc>
          <w:tcPr>
            <w:tcW w:type="dxa" w:w="1560"/>
          </w:tcPr>
          <w:p>
            <w:pPr>
              <w:spacing w:after="0"/>
            </w:pPr>
            <w:r/>
            <w:r>
              <w:rPr>
                <w:sz w:val="17"/>
              </w:rPr>
              <w:t>-0.74</w:t>
            </w:r>
          </w:p>
        </w:tc>
        <w:tc>
          <w:tcPr>
            <w:tcW w:type="dxa" w:w="1560"/>
          </w:tcPr>
          <w:p>
            <w:pPr>
              <w:spacing w:after="0"/>
            </w:pPr>
            <w:r/>
            <w:r>
              <w:rPr>
                <w:sz w:val="17"/>
              </w:rPr>
              <w:t>0.46</w:t>
            </w:r>
          </w:p>
        </w:tc>
        <w:tc>
          <w:tcPr>
            <w:tcW w:type="dxa" w:w="1560"/>
          </w:tcPr>
          <w:p>
            <w:pPr>
              <w:spacing w:after="0"/>
            </w:pPr>
            <w:r/>
            <w:r>
              <w:rPr>
                <w:sz w:val="17"/>
              </w:rPr>
              <w:t>stationary</w:t>
            </w:r>
          </w:p>
        </w:tc>
        <w:tc>
          <w:tcPr>
            <w:tcW w:type="dxa" w:w="1560"/>
          </w:tcPr>
          <w:p>
            <w:pPr>
              <w:spacing w:after="0"/>
            </w:pPr>
            <w:r/>
            <w:r>
              <w:rPr>
                <w:sz w:val="17"/>
              </w:rPr>
              <w:t>stationary</w:t>
            </w:r>
          </w:p>
        </w:tc>
      </w:tr>
      <w:tr>
        <w:tc>
          <w:tcPr>
            <w:tcW w:type="dxa" w:w="1560"/>
            <w:shd w:val="clear" w:color="auto" w:fill="EDF1F5"/>
          </w:tcPr>
          <w:p>
            <w:pPr>
              <w:spacing w:after="0"/>
            </w:pPr>
            <w:r/>
            <w:r>
              <w:rPr>
                <w:sz w:val="17"/>
              </w:rPr>
              <w:t>Hardware-Foundation Models</w:t>
            </w:r>
          </w:p>
        </w:tc>
        <w:tc>
          <w:tcPr>
            <w:tcW w:type="dxa" w:w="1560"/>
            <w:shd w:val="clear" w:color="auto" w:fill="EDF1F5"/>
          </w:tcPr>
          <w:p>
            <w:pPr>
              <w:spacing w:after="0"/>
            </w:pPr>
            <w:r/>
            <w:r>
              <w:rPr>
                <w:sz w:val="17"/>
              </w:rPr>
              <w:t>90895</w:t>
            </w:r>
          </w:p>
        </w:tc>
        <w:tc>
          <w:tcPr>
            <w:tcW w:type="dxa" w:w="1560"/>
            <w:shd w:val="clear" w:color="auto" w:fill="EDF1F5"/>
          </w:tcPr>
          <w:p>
            <w:pPr>
              <w:spacing w:after="0"/>
            </w:pPr>
            <w:r/>
            <w:r>
              <w:rPr>
                <w:sz w:val="17"/>
              </w:rPr>
              <w:t>-0.06</w:t>
            </w:r>
          </w:p>
        </w:tc>
        <w:tc>
          <w:tcPr>
            <w:tcW w:type="dxa" w:w="1560"/>
            <w:shd w:val="clear" w:color="auto" w:fill="EDF1F5"/>
          </w:tcPr>
          <w:p>
            <w:pPr>
              <w:spacing w:after="0"/>
            </w:pPr>
            <w:r/>
            <w:r>
              <w:rPr>
                <w:sz w:val="17"/>
              </w:rPr>
              <w:t>0.95</w:t>
            </w:r>
          </w:p>
        </w:tc>
        <w:tc>
          <w:tcPr>
            <w:tcW w:type="dxa" w:w="1560"/>
            <w:shd w:val="clear" w:color="auto" w:fill="EDF1F5"/>
          </w:tcPr>
          <w:p>
            <w:pPr>
              <w:spacing w:after="0"/>
            </w:pPr>
            <w:r/>
            <w:r>
              <w:rPr>
                <w:sz w:val="17"/>
              </w:rPr>
              <w:t>stationary</w:t>
            </w:r>
          </w:p>
        </w:tc>
        <w:tc>
          <w:tcPr>
            <w:tcW w:type="dxa" w:w="1560"/>
            <w:shd w:val="clear" w:color="auto" w:fill="EDF1F5"/>
          </w:tcPr>
          <w:p>
            <w:pPr>
              <w:spacing w:after="0"/>
            </w:pPr>
            <w:r/>
            <w:r>
              <w:rPr>
                <w:sz w:val="17"/>
              </w:rPr>
              <w:t>stationary</w:t>
            </w:r>
          </w:p>
        </w:tc>
      </w:tr>
      <w:tr>
        <w:tc>
          <w:tcPr>
            <w:tcW w:type="dxa" w:w="1560"/>
          </w:tcPr>
          <w:p>
            <w:pPr>
              <w:spacing w:after="0"/>
            </w:pPr>
            <w:r/>
            <w:r>
              <w:rPr>
                <w:sz w:val="17"/>
              </w:rPr>
              <w:t>Hardware-LLM Wrappers</w:t>
            </w:r>
          </w:p>
        </w:tc>
        <w:tc>
          <w:tcPr>
            <w:tcW w:type="dxa" w:w="1560"/>
          </w:tcPr>
          <w:p>
            <w:pPr>
              <w:spacing w:after="0"/>
            </w:pPr>
            <w:r/>
            <w:r>
              <w:rPr>
                <w:sz w:val="17"/>
              </w:rPr>
              <w:t>99736</w:t>
            </w:r>
          </w:p>
        </w:tc>
        <w:tc>
          <w:tcPr>
            <w:tcW w:type="dxa" w:w="1560"/>
          </w:tcPr>
          <w:p>
            <w:pPr>
              <w:spacing w:after="0"/>
            </w:pPr>
            <w:r/>
            <w:r>
              <w:rPr>
                <w:sz w:val="17"/>
              </w:rPr>
              <w:t>0.16</w:t>
            </w:r>
          </w:p>
        </w:tc>
        <w:tc>
          <w:tcPr>
            <w:tcW w:type="dxa" w:w="1560"/>
          </w:tcPr>
          <w:p>
            <w:pPr>
              <w:spacing w:after="0"/>
            </w:pPr>
            <w:r/>
            <w:r>
              <w:rPr>
                <w:sz w:val="17"/>
              </w:rPr>
              <w:t>0.87</w:t>
            </w:r>
          </w:p>
        </w:tc>
        <w:tc>
          <w:tcPr>
            <w:tcW w:type="dxa" w:w="1560"/>
          </w:tcPr>
          <w:p>
            <w:pPr>
              <w:spacing w:after="0"/>
            </w:pPr>
            <w:r/>
            <w:r>
              <w:rPr>
                <w:sz w:val="17"/>
              </w:rPr>
              <w:t>stationary</w:t>
            </w:r>
          </w:p>
        </w:tc>
        <w:tc>
          <w:tcPr>
            <w:tcW w:type="dxa" w:w="1560"/>
          </w:tcPr>
          <w:p>
            <w:pPr>
              <w:spacing w:after="0"/>
            </w:pPr>
            <w:r/>
            <w:r>
              <w:rPr>
                <w:sz w:val="17"/>
              </w:rPr>
              <w:t>stationary</w:t>
            </w:r>
          </w:p>
        </w:tc>
      </w:tr>
      <w:tr>
        <w:tc>
          <w:tcPr>
            <w:tcW w:type="dxa" w:w="1560"/>
            <w:shd w:val="clear" w:color="auto" w:fill="EDF1F5"/>
          </w:tcPr>
          <w:p>
            <w:pPr>
              <w:spacing w:after="0"/>
            </w:pPr>
            <w:r/>
            <w:r>
              <w:rPr>
                <w:sz w:val="17"/>
              </w:rPr>
              <w:t>Cloud Providers-Foundation Models</w:t>
            </w:r>
          </w:p>
        </w:tc>
        <w:tc>
          <w:tcPr>
            <w:tcW w:type="dxa" w:w="1560"/>
            <w:shd w:val="clear" w:color="auto" w:fill="EDF1F5"/>
          </w:tcPr>
          <w:p>
            <w:pPr>
              <w:spacing w:after="0"/>
            </w:pPr>
            <w:r/>
            <w:r>
              <w:rPr>
                <w:sz w:val="17"/>
              </w:rPr>
              <w:t>90612</w:t>
            </w:r>
          </w:p>
        </w:tc>
        <w:tc>
          <w:tcPr>
            <w:tcW w:type="dxa" w:w="1560"/>
            <w:shd w:val="clear" w:color="auto" w:fill="EDF1F5"/>
          </w:tcPr>
          <w:p>
            <w:pPr>
              <w:spacing w:after="0"/>
            </w:pPr>
            <w:r/>
            <w:r>
              <w:rPr>
                <w:sz w:val="17"/>
              </w:rPr>
              <w:t>-0.12</w:t>
            </w:r>
          </w:p>
        </w:tc>
        <w:tc>
          <w:tcPr>
            <w:tcW w:type="dxa" w:w="1560"/>
            <w:shd w:val="clear" w:color="auto" w:fill="EDF1F5"/>
          </w:tcPr>
          <w:p>
            <w:pPr>
              <w:spacing w:after="0"/>
            </w:pPr>
            <w:r/>
            <w:r>
              <w:rPr>
                <w:sz w:val="17"/>
              </w:rPr>
              <w:t>0.90</w:t>
            </w:r>
          </w:p>
        </w:tc>
        <w:tc>
          <w:tcPr>
            <w:tcW w:type="dxa" w:w="1560"/>
            <w:shd w:val="clear" w:color="auto" w:fill="EDF1F5"/>
          </w:tcPr>
          <w:p>
            <w:pPr>
              <w:spacing w:after="0"/>
            </w:pPr>
            <w:r/>
            <w:r>
              <w:rPr>
                <w:sz w:val="17"/>
              </w:rPr>
              <w:t>stationary</w:t>
            </w:r>
          </w:p>
        </w:tc>
        <w:tc>
          <w:tcPr>
            <w:tcW w:type="dxa" w:w="1560"/>
            <w:shd w:val="clear" w:color="auto" w:fill="EDF1F5"/>
          </w:tcPr>
          <w:p>
            <w:pPr>
              <w:spacing w:after="0"/>
            </w:pPr>
            <w:r/>
            <w:r>
              <w:rPr>
                <w:sz w:val="17"/>
              </w:rPr>
              <w:t>stationary</w:t>
            </w:r>
          </w:p>
        </w:tc>
      </w:tr>
      <w:tr>
        <w:tc>
          <w:tcPr>
            <w:tcW w:type="dxa" w:w="1560"/>
          </w:tcPr>
          <w:p>
            <w:pPr>
              <w:spacing w:after="0"/>
            </w:pPr>
            <w:r/>
            <w:r>
              <w:rPr>
                <w:sz w:val="17"/>
              </w:rPr>
              <w:t>Cloud Providers-LLM Wrappers</w:t>
            </w:r>
          </w:p>
        </w:tc>
        <w:tc>
          <w:tcPr>
            <w:tcW w:type="dxa" w:w="1560"/>
          </w:tcPr>
          <w:p>
            <w:pPr>
              <w:spacing w:after="0"/>
            </w:pPr>
            <w:r/>
            <w:r>
              <w:rPr>
                <w:sz w:val="17"/>
              </w:rPr>
              <w:t>99734</w:t>
            </w:r>
          </w:p>
        </w:tc>
        <w:tc>
          <w:tcPr>
            <w:tcW w:type="dxa" w:w="1560"/>
          </w:tcPr>
          <w:p>
            <w:pPr>
              <w:spacing w:after="0"/>
            </w:pPr>
            <w:r/>
            <w:r>
              <w:rPr>
                <w:sz w:val="17"/>
              </w:rPr>
              <w:t>1.20</w:t>
            </w:r>
          </w:p>
        </w:tc>
        <w:tc>
          <w:tcPr>
            <w:tcW w:type="dxa" w:w="1560"/>
          </w:tcPr>
          <w:p>
            <w:pPr>
              <w:spacing w:after="0"/>
            </w:pPr>
            <w:r/>
            <w:r>
              <w:rPr>
                <w:sz w:val="17"/>
              </w:rPr>
              <w:t>0.23</w:t>
            </w:r>
          </w:p>
        </w:tc>
        <w:tc>
          <w:tcPr>
            <w:tcW w:type="dxa" w:w="1560"/>
          </w:tcPr>
          <w:p>
            <w:pPr>
              <w:spacing w:after="0"/>
            </w:pPr>
            <w:r/>
            <w:r>
              <w:rPr>
                <w:sz w:val="17"/>
              </w:rPr>
              <w:t>stationary</w:t>
            </w:r>
          </w:p>
        </w:tc>
        <w:tc>
          <w:tcPr>
            <w:tcW w:type="dxa" w:w="1560"/>
          </w:tcPr>
          <w:p>
            <w:pPr>
              <w:spacing w:after="0"/>
            </w:pPr>
            <w:r/>
            <w:r>
              <w:rPr>
                <w:sz w:val="17"/>
              </w:rPr>
              <w:t>stationary</w:t>
            </w:r>
          </w:p>
        </w:tc>
      </w:tr>
      <w:tr>
        <w:tc>
          <w:tcPr>
            <w:tcW w:type="dxa" w:w="1560"/>
            <w:shd w:val="clear" w:color="auto" w:fill="EDF1F5"/>
          </w:tcPr>
          <w:p>
            <w:pPr>
              <w:spacing w:after="0"/>
            </w:pPr>
            <w:r/>
            <w:r>
              <w:rPr>
                <w:sz w:val="17"/>
              </w:rPr>
              <w:t>Foundation Models-LLM Wrappers</w:t>
            </w:r>
          </w:p>
        </w:tc>
        <w:tc>
          <w:tcPr>
            <w:tcW w:type="dxa" w:w="1560"/>
            <w:shd w:val="clear" w:color="auto" w:fill="EDF1F5"/>
          </w:tcPr>
          <w:p>
            <w:pPr>
              <w:spacing w:after="0"/>
            </w:pPr>
            <w:r/>
            <w:r>
              <w:rPr>
                <w:sz w:val="17"/>
              </w:rPr>
              <w:t>96532</w:t>
            </w:r>
          </w:p>
        </w:tc>
        <w:tc>
          <w:tcPr>
            <w:tcW w:type="dxa" w:w="1560"/>
            <w:shd w:val="clear" w:color="auto" w:fill="EDF1F5"/>
          </w:tcPr>
          <w:p>
            <w:pPr>
              <w:spacing w:after="0"/>
            </w:pPr>
            <w:r/>
            <w:r>
              <w:rPr>
                <w:sz w:val="17"/>
              </w:rPr>
              <w:t>-0.13</w:t>
            </w:r>
          </w:p>
        </w:tc>
        <w:tc>
          <w:tcPr>
            <w:tcW w:type="dxa" w:w="1560"/>
            <w:shd w:val="clear" w:color="auto" w:fill="EDF1F5"/>
          </w:tcPr>
          <w:p>
            <w:pPr>
              <w:spacing w:after="0"/>
            </w:pPr>
            <w:r/>
            <w:r>
              <w:rPr>
                <w:sz w:val="17"/>
              </w:rPr>
              <w:t>0.89</w:t>
            </w:r>
          </w:p>
        </w:tc>
        <w:tc>
          <w:tcPr>
            <w:tcW w:type="dxa" w:w="1560"/>
            <w:shd w:val="clear" w:color="auto" w:fill="EDF1F5"/>
          </w:tcPr>
          <w:p>
            <w:pPr>
              <w:spacing w:after="0"/>
            </w:pPr>
            <w:r/>
            <w:r>
              <w:rPr>
                <w:sz w:val="17"/>
              </w:rPr>
              <w:t>stationary</w:t>
            </w:r>
          </w:p>
        </w:tc>
        <w:tc>
          <w:tcPr>
            <w:tcW w:type="dxa" w:w="1560"/>
            <w:shd w:val="clear" w:color="auto" w:fill="EDF1F5"/>
          </w:tcPr>
          <w:p>
            <w:pPr>
              <w:spacing w:after="0"/>
            </w:pPr>
            <w:r/>
            <w:r>
              <w:rPr>
                <w:sz w:val="17"/>
              </w:rPr>
              <w:t>stationary</w:t>
            </w:r>
          </w:p>
        </w:tc>
      </w:tr>
    </w:tbl>
    <w:p>
      <w:pPr>
        <w:spacing w:after="80"/>
      </w:pPr>
      <w:r>
        <w:rPr>
          <w:sz w:val="4"/>
        </w:rPr>
      </w:r>
    </w:p>
    <w:p>
      <w:pPr>
        <w:keepNext/>
        <w:spacing w:before="200" w:after="40"/>
      </w:pPr>
      <w:r>
        <w:rPr>
          <w:b/>
          <w:color w:val="2C3E50"/>
          <w:sz w:val="20"/>
        </w:rPr>
        <w:t>Table 8.2: Multi-Seed Replicability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Game</w:t>
            </w:r>
          </w:p>
        </w:tc>
        <w:tc>
          <w:tcPr>
            <w:tcW w:type="dxa" w:w="1337"/>
            <w:tblHeader w:val="true"/>
            <w:shd w:val="clear" w:color="auto" w:fill="2C3E50"/>
          </w:tcPr>
          <w:p>
            <w:pPr>
              <w:jc w:val="center"/>
            </w:pPr>
            <w:r/>
            <w:r>
              <w:rPr>
                <w:b/>
                <w:color w:val="FFFFFF"/>
                <w:sz w:val="18"/>
              </w:rPr>
              <w:t>Seed</w:t>
            </w:r>
          </w:p>
        </w:tc>
        <w:tc>
          <w:tcPr>
            <w:tcW w:type="dxa" w:w="1337"/>
            <w:tblHeader w:val="true"/>
            <w:shd w:val="clear" w:color="auto" w:fill="2C3E50"/>
          </w:tcPr>
          <w:p>
            <w:pPr>
              <w:jc w:val="center"/>
            </w:pPr>
            <w:r/>
            <w:r>
              <w:rPr>
                <w:b/>
                <w:color w:val="FFFFFF"/>
                <w:sz w:val="18"/>
              </w:rPr>
              <w:t>Base_Mean_DWL_$B</w:t>
            </w:r>
          </w:p>
        </w:tc>
        <w:tc>
          <w:tcPr>
            <w:tcW w:type="dxa" w:w="1337"/>
            <w:tblHeader w:val="true"/>
            <w:shd w:val="clear" w:color="auto" w:fill="2C3E50"/>
          </w:tcPr>
          <w:p>
            <w:pPr>
              <w:jc w:val="center"/>
            </w:pPr>
            <w:r/>
            <w:r>
              <w:rPr>
                <w:b/>
                <w:color w:val="FFFFFF"/>
                <w:sz w:val="18"/>
              </w:rPr>
              <w:t>Seed_Mean_DWL_$B</w:t>
            </w:r>
          </w:p>
        </w:tc>
        <w:tc>
          <w:tcPr>
            <w:tcW w:type="dxa" w:w="1337"/>
            <w:tblHeader w:val="true"/>
            <w:shd w:val="clear" w:color="auto" w:fill="2C3E50"/>
          </w:tcPr>
          <w:p>
            <w:pPr>
              <w:jc w:val="center"/>
            </w:pPr>
            <w:r/>
            <w:r>
              <w:rPr>
                <w:b/>
                <w:color w:val="FFFFFF"/>
                <w:sz w:val="18"/>
              </w:rPr>
              <w:t>Drift_$B</w:t>
            </w:r>
          </w:p>
        </w:tc>
        <w:tc>
          <w:tcPr>
            <w:tcW w:type="dxa" w:w="1337"/>
            <w:tblHeader w:val="true"/>
            <w:shd w:val="clear" w:color="auto" w:fill="2C3E50"/>
          </w:tcPr>
          <w:p>
            <w:pPr>
              <w:jc w:val="center"/>
            </w:pPr>
            <w:r/>
            <w:r>
              <w:rPr>
                <w:b/>
                <w:color w:val="FFFFFF"/>
                <w:sz w:val="18"/>
              </w:rPr>
              <w:t>Drift_in_SE</w:t>
            </w:r>
          </w:p>
        </w:tc>
        <w:tc>
          <w:tcPr>
            <w:tcW w:type="dxa" w:w="1337"/>
            <w:tblHeader w:val="true"/>
            <w:shd w:val="clear" w:color="auto" w:fill="2C3E50"/>
          </w:tcPr>
          <w:p>
            <w:pPr>
              <w:jc w:val="center"/>
            </w:pPr>
            <w:r/>
            <w:r>
              <w:rPr>
                <w:b/>
                <w:color w:val="FFFFFF"/>
                <w:sz w:val="18"/>
              </w:rPr>
              <w:t>Verdict</w:t>
            </w:r>
          </w:p>
        </w:tc>
      </w:tr>
      <w:tr>
        <w:tc>
          <w:tcPr>
            <w:tcW w:type="dxa" w:w="1337"/>
          </w:tcPr>
          <w:p>
            <w:pPr>
              <w:spacing w:after="0"/>
            </w:pPr>
            <w:r/>
            <w:r>
              <w:rPr>
                <w:sz w:val="17"/>
              </w:rPr>
              <w:t>Hardware-Cloud Providers</w:t>
            </w:r>
          </w:p>
        </w:tc>
        <w:tc>
          <w:tcPr>
            <w:tcW w:type="dxa" w:w="1337"/>
          </w:tcPr>
          <w:p>
            <w:pPr>
              <w:spacing w:after="0"/>
            </w:pPr>
            <w:r/>
            <w:r>
              <w:rPr>
                <w:sz w:val="17"/>
              </w:rPr>
              <w:t>GLOBAL_SEED+1</w:t>
            </w:r>
          </w:p>
        </w:tc>
        <w:tc>
          <w:tcPr>
            <w:tcW w:type="dxa" w:w="1337"/>
          </w:tcPr>
          <w:p>
            <w:pPr>
              <w:spacing w:after="0"/>
            </w:pPr>
            <w:r/>
            <w:r>
              <w:rPr>
                <w:sz w:val="17"/>
              </w:rPr>
              <w:t>60.09</w:t>
            </w:r>
          </w:p>
        </w:tc>
        <w:tc>
          <w:tcPr>
            <w:tcW w:type="dxa" w:w="1337"/>
          </w:tcPr>
          <w:p>
            <w:pPr>
              <w:spacing w:after="0"/>
            </w:pPr>
            <w:r/>
            <w:r>
              <w:rPr>
                <w:sz w:val="17"/>
              </w:rPr>
              <w:t>60.16</w:t>
            </w:r>
          </w:p>
        </w:tc>
        <w:tc>
          <w:tcPr>
            <w:tcW w:type="dxa" w:w="1337"/>
          </w:tcPr>
          <w:p>
            <w:pPr>
              <w:spacing w:after="0"/>
            </w:pPr>
            <w:r/>
            <w:r>
              <w:rPr>
                <w:sz w:val="17"/>
              </w:rPr>
              <w:t>0.07</w:t>
            </w:r>
          </w:p>
        </w:tc>
        <w:tc>
          <w:tcPr>
            <w:tcW w:type="dxa" w:w="1337"/>
          </w:tcPr>
          <w:p>
            <w:pPr>
              <w:spacing w:after="0"/>
            </w:pPr>
            <w:r/>
            <w:r>
              <w:rPr>
                <w:sz w:val="17"/>
              </w:rPr>
              <w:t>0.21</w:t>
            </w:r>
          </w:p>
        </w:tc>
        <w:tc>
          <w:tcPr>
            <w:tcW w:type="dxa" w:w="1337"/>
          </w:tcPr>
          <w:p>
            <w:pPr>
              <w:spacing w:after="0"/>
            </w:pPr>
            <w:r/>
            <w:r>
              <w:rPr>
                <w:sz w:val="17"/>
              </w:rPr>
              <w:t>replicated</w:t>
            </w:r>
          </w:p>
        </w:tc>
      </w:tr>
      <w:tr>
        <w:tc>
          <w:tcPr>
            <w:tcW w:type="dxa" w:w="1337"/>
            <w:shd w:val="clear" w:color="auto" w:fill="EDF1F5"/>
          </w:tcPr>
          <w:p>
            <w:pPr>
              <w:spacing w:after="0"/>
            </w:pPr>
            <w:r/>
            <w:r>
              <w:rPr>
                <w:sz w:val="17"/>
              </w:rPr>
              <w:t>Hardware-Foundation Models</w:t>
            </w:r>
          </w:p>
        </w:tc>
        <w:tc>
          <w:tcPr>
            <w:tcW w:type="dxa" w:w="1337"/>
            <w:shd w:val="clear" w:color="auto" w:fill="EDF1F5"/>
          </w:tcPr>
          <w:p>
            <w:pPr>
              <w:spacing w:after="0"/>
            </w:pPr>
            <w:r/>
            <w:r>
              <w:rPr>
                <w:sz w:val="17"/>
              </w:rPr>
              <w:t>GLOBAL_SEED+1</w:t>
            </w:r>
          </w:p>
        </w:tc>
        <w:tc>
          <w:tcPr>
            <w:tcW w:type="dxa" w:w="1337"/>
            <w:shd w:val="clear" w:color="auto" w:fill="EDF1F5"/>
          </w:tcPr>
          <w:p>
            <w:pPr>
              <w:spacing w:after="0"/>
            </w:pPr>
            <w:r/>
            <w:r>
              <w:rPr>
                <w:sz w:val="17"/>
              </w:rPr>
              <w:t>198.67</w:t>
            </w:r>
          </w:p>
        </w:tc>
        <w:tc>
          <w:tcPr>
            <w:tcW w:type="dxa" w:w="1337"/>
            <w:shd w:val="clear" w:color="auto" w:fill="EDF1F5"/>
          </w:tcPr>
          <w:p>
            <w:pPr>
              <w:spacing w:after="0"/>
            </w:pPr>
            <w:r/>
            <w:r>
              <w:rPr>
                <w:sz w:val="17"/>
              </w:rPr>
              <w:t>198.64</w:t>
            </w:r>
          </w:p>
        </w:tc>
        <w:tc>
          <w:tcPr>
            <w:tcW w:type="dxa" w:w="1337"/>
            <w:shd w:val="clear" w:color="auto" w:fill="EDF1F5"/>
          </w:tcPr>
          <w:p>
            <w:pPr>
              <w:spacing w:after="0"/>
            </w:pPr>
            <w:r/>
            <w:r>
              <w:rPr>
                <w:sz w:val="17"/>
              </w:rPr>
              <w:t>0.03</w:t>
            </w:r>
          </w:p>
        </w:tc>
        <w:tc>
          <w:tcPr>
            <w:tcW w:type="dxa" w:w="1337"/>
            <w:shd w:val="clear" w:color="auto" w:fill="EDF1F5"/>
          </w:tcPr>
          <w:p>
            <w:pPr>
              <w:spacing w:after="0"/>
            </w:pPr>
            <w:r/>
            <w:r>
              <w:rPr>
                <w:sz w:val="17"/>
              </w:rPr>
              <w:t>0.11</w:t>
            </w:r>
          </w:p>
        </w:tc>
        <w:tc>
          <w:tcPr>
            <w:tcW w:type="dxa" w:w="1337"/>
            <w:shd w:val="clear" w:color="auto" w:fill="EDF1F5"/>
          </w:tcPr>
          <w:p>
            <w:pPr>
              <w:spacing w:after="0"/>
            </w:pPr>
            <w:r/>
            <w:r>
              <w:rPr>
                <w:sz w:val="17"/>
              </w:rPr>
              <w:t>replicated</w:t>
            </w:r>
          </w:p>
        </w:tc>
      </w:tr>
      <w:tr>
        <w:tc>
          <w:tcPr>
            <w:tcW w:type="dxa" w:w="1337"/>
          </w:tcPr>
          <w:p>
            <w:pPr>
              <w:spacing w:after="0"/>
            </w:pPr>
            <w:r/>
            <w:r>
              <w:rPr>
                <w:sz w:val="17"/>
              </w:rPr>
              <w:t>Hardware-LLM Wrappers</w:t>
            </w:r>
          </w:p>
        </w:tc>
        <w:tc>
          <w:tcPr>
            <w:tcW w:type="dxa" w:w="1337"/>
          </w:tcPr>
          <w:p>
            <w:pPr>
              <w:spacing w:after="0"/>
            </w:pPr>
            <w:r/>
            <w:r>
              <w:rPr>
                <w:sz w:val="17"/>
              </w:rPr>
              <w:t>GLOBAL_SEED+1</w:t>
            </w:r>
          </w:p>
        </w:tc>
        <w:tc>
          <w:tcPr>
            <w:tcW w:type="dxa" w:w="1337"/>
          </w:tcPr>
          <w:p>
            <w:pPr>
              <w:spacing w:after="0"/>
            </w:pPr>
            <w:r/>
            <w:r>
              <w:rPr>
                <w:sz w:val="17"/>
              </w:rPr>
              <w:t>241.69</w:t>
            </w:r>
          </w:p>
        </w:tc>
        <w:tc>
          <w:tcPr>
            <w:tcW w:type="dxa" w:w="1337"/>
          </w:tcPr>
          <w:p>
            <w:pPr>
              <w:spacing w:after="0"/>
            </w:pPr>
            <w:r/>
            <w:r>
              <w:rPr>
                <w:sz w:val="17"/>
              </w:rPr>
              <w:t>241.89</w:t>
            </w:r>
          </w:p>
        </w:tc>
        <w:tc>
          <w:tcPr>
            <w:tcW w:type="dxa" w:w="1337"/>
          </w:tcPr>
          <w:p>
            <w:pPr>
              <w:spacing w:after="0"/>
            </w:pPr>
            <w:r/>
            <w:r>
              <w:rPr>
                <w:sz w:val="17"/>
              </w:rPr>
              <w:t>0.20</w:t>
            </w:r>
          </w:p>
        </w:tc>
        <w:tc>
          <w:tcPr>
            <w:tcW w:type="dxa" w:w="1337"/>
          </w:tcPr>
          <w:p>
            <w:pPr>
              <w:spacing w:after="0"/>
            </w:pPr>
            <w:r/>
            <w:r>
              <w:rPr>
                <w:sz w:val="17"/>
              </w:rPr>
              <w:t>0.74</w:t>
            </w:r>
          </w:p>
        </w:tc>
        <w:tc>
          <w:tcPr>
            <w:tcW w:type="dxa" w:w="1337"/>
          </w:tcPr>
          <w:p>
            <w:pPr>
              <w:spacing w:after="0"/>
            </w:pPr>
            <w:r/>
            <w:r>
              <w:rPr>
                <w:sz w:val="17"/>
              </w:rPr>
              <w:t>replicated</w:t>
            </w:r>
          </w:p>
        </w:tc>
      </w:tr>
      <w:tr>
        <w:tc>
          <w:tcPr>
            <w:tcW w:type="dxa" w:w="1337"/>
            <w:shd w:val="clear" w:color="auto" w:fill="EDF1F5"/>
          </w:tcPr>
          <w:p>
            <w:pPr>
              <w:spacing w:after="0"/>
            </w:pPr>
            <w:r/>
            <w:r>
              <w:rPr>
                <w:sz w:val="17"/>
              </w:rPr>
              <w:t>Cloud Providers-Foundation Models</w:t>
            </w:r>
          </w:p>
        </w:tc>
        <w:tc>
          <w:tcPr>
            <w:tcW w:type="dxa" w:w="1337"/>
            <w:shd w:val="clear" w:color="auto" w:fill="EDF1F5"/>
          </w:tcPr>
          <w:p>
            <w:pPr>
              <w:spacing w:after="0"/>
            </w:pPr>
            <w:r/>
            <w:r>
              <w:rPr>
                <w:sz w:val="17"/>
              </w:rPr>
              <w:t>GLOBAL_SEED+1</w:t>
            </w:r>
          </w:p>
        </w:tc>
        <w:tc>
          <w:tcPr>
            <w:tcW w:type="dxa" w:w="1337"/>
            <w:shd w:val="clear" w:color="auto" w:fill="EDF1F5"/>
          </w:tcPr>
          <w:p>
            <w:pPr>
              <w:spacing w:after="0"/>
            </w:pPr>
            <w:r/>
            <w:r>
              <w:rPr>
                <w:sz w:val="17"/>
              </w:rPr>
              <w:t>137.75</w:t>
            </w:r>
          </w:p>
        </w:tc>
        <w:tc>
          <w:tcPr>
            <w:tcW w:type="dxa" w:w="1337"/>
            <w:shd w:val="clear" w:color="auto" w:fill="EDF1F5"/>
          </w:tcPr>
          <w:p>
            <w:pPr>
              <w:spacing w:after="0"/>
            </w:pPr>
            <w:r/>
            <w:r>
              <w:rPr>
                <w:sz w:val="17"/>
              </w:rPr>
              <w:t>137.96</w:t>
            </w:r>
          </w:p>
        </w:tc>
        <w:tc>
          <w:tcPr>
            <w:tcW w:type="dxa" w:w="1337"/>
            <w:shd w:val="clear" w:color="auto" w:fill="EDF1F5"/>
          </w:tcPr>
          <w:p>
            <w:pPr>
              <w:spacing w:after="0"/>
            </w:pPr>
            <w:r/>
            <w:r>
              <w:rPr>
                <w:sz w:val="17"/>
              </w:rPr>
              <w:t>0.20</w:t>
            </w:r>
          </w:p>
        </w:tc>
        <w:tc>
          <w:tcPr>
            <w:tcW w:type="dxa" w:w="1337"/>
            <w:shd w:val="clear" w:color="auto" w:fill="EDF1F5"/>
          </w:tcPr>
          <w:p>
            <w:pPr>
              <w:spacing w:after="0"/>
            </w:pPr>
            <w:r/>
            <w:r>
              <w:rPr>
                <w:sz w:val="17"/>
              </w:rPr>
              <w:t>0.92</w:t>
            </w:r>
          </w:p>
        </w:tc>
        <w:tc>
          <w:tcPr>
            <w:tcW w:type="dxa" w:w="1337"/>
            <w:shd w:val="clear" w:color="auto" w:fill="EDF1F5"/>
          </w:tcPr>
          <w:p>
            <w:pPr>
              <w:spacing w:after="0"/>
            </w:pPr>
            <w:r/>
            <w:r>
              <w:rPr>
                <w:sz w:val="17"/>
              </w:rPr>
              <w:t>replicated</w:t>
            </w:r>
          </w:p>
        </w:tc>
      </w:tr>
      <w:tr>
        <w:tc>
          <w:tcPr>
            <w:tcW w:type="dxa" w:w="1337"/>
          </w:tcPr>
          <w:p>
            <w:pPr>
              <w:spacing w:after="0"/>
            </w:pPr>
            <w:r/>
            <w:r>
              <w:rPr>
                <w:sz w:val="17"/>
              </w:rPr>
              <w:t>Cloud Providers-LLM Wrappers</w:t>
            </w:r>
          </w:p>
        </w:tc>
        <w:tc>
          <w:tcPr>
            <w:tcW w:type="dxa" w:w="1337"/>
          </w:tcPr>
          <w:p>
            <w:pPr>
              <w:spacing w:after="0"/>
            </w:pPr>
            <w:r/>
            <w:r>
              <w:rPr>
                <w:sz w:val="17"/>
              </w:rPr>
              <w:t>GLOBAL_SEED+1</w:t>
            </w:r>
          </w:p>
        </w:tc>
        <w:tc>
          <w:tcPr>
            <w:tcW w:type="dxa" w:w="1337"/>
          </w:tcPr>
          <w:p>
            <w:pPr>
              <w:spacing w:after="0"/>
            </w:pPr>
            <w:r/>
            <w:r>
              <w:rPr>
                <w:sz w:val="17"/>
              </w:rPr>
              <w:t>176.85</w:t>
            </w:r>
          </w:p>
        </w:tc>
        <w:tc>
          <w:tcPr>
            <w:tcW w:type="dxa" w:w="1337"/>
          </w:tcPr>
          <w:p>
            <w:pPr>
              <w:spacing w:after="0"/>
            </w:pPr>
            <w:r/>
            <w:r>
              <w:rPr>
                <w:sz w:val="17"/>
              </w:rPr>
              <w:t>177.32</w:t>
            </w:r>
          </w:p>
        </w:tc>
        <w:tc>
          <w:tcPr>
            <w:tcW w:type="dxa" w:w="1337"/>
          </w:tcPr>
          <w:p>
            <w:pPr>
              <w:spacing w:after="0"/>
            </w:pPr>
            <w:r/>
            <w:r>
              <w:rPr>
                <w:sz w:val="17"/>
              </w:rPr>
              <w:t>0.46</w:t>
            </w:r>
          </w:p>
        </w:tc>
        <w:tc>
          <w:tcPr>
            <w:tcW w:type="dxa" w:w="1337"/>
          </w:tcPr>
          <w:p>
            <w:pPr>
              <w:spacing w:after="0"/>
            </w:pPr>
            <w:r/>
            <w:r>
              <w:rPr>
                <w:sz w:val="17"/>
              </w:rPr>
              <w:t>2.14</w:t>
            </w:r>
          </w:p>
        </w:tc>
        <w:tc>
          <w:tcPr>
            <w:tcW w:type="dxa" w:w="1337"/>
          </w:tcPr>
          <w:p>
            <w:pPr>
              <w:spacing w:after="0"/>
            </w:pPr>
            <w:r/>
            <w:r>
              <w:rPr>
                <w:sz w:val="17"/>
              </w:rPr>
              <w:t>replicated</w:t>
            </w:r>
          </w:p>
        </w:tc>
      </w:tr>
      <w:tr>
        <w:tc>
          <w:tcPr>
            <w:tcW w:type="dxa" w:w="1337"/>
            <w:shd w:val="clear" w:color="auto" w:fill="EDF1F5"/>
          </w:tcPr>
          <w:p>
            <w:pPr>
              <w:spacing w:after="0"/>
            </w:pPr>
            <w:r/>
            <w:r>
              <w:rPr>
                <w:sz w:val="17"/>
              </w:rPr>
              <w:t>Foundation Models-LLM Wrappers</w:t>
            </w:r>
          </w:p>
        </w:tc>
        <w:tc>
          <w:tcPr>
            <w:tcW w:type="dxa" w:w="1337"/>
            <w:shd w:val="clear" w:color="auto" w:fill="EDF1F5"/>
          </w:tcPr>
          <w:p>
            <w:pPr>
              <w:spacing w:after="0"/>
            </w:pPr>
            <w:r/>
            <w:r>
              <w:rPr>
                <w:sz w:val="17"/>
              </w:rPr>
              <w:t>GLOBAL_SEED+1</w:t>
            </w:r>
          </w:p>
        </w:tc>
        <w:tc>
          <w:tcPr>
            <w:tcW w:type="dxa" w:w="1337"/>
            <w:shd w:val="clear" w:color="auto" w:fill="EDF1F5"/>
          </w:tcPr>
          <w:p>
            <w:pPr>
              <w:spacing w:after="0"/>
            </w:pPr>
            <w:r/>
            <w:r>
              <w:rPr>
                <w:sz w:val="17"/>
              </w:rPr>
              <w:t>25.57</w:t>
            </w:r>
          </w:p>
        </w:tc>
        <w:tc>
          <w:tcPr>
            <w:tcW w:type="dxa" w:w="1337"/>
            <w:shd w:val="clear" w:color="auto" w:fill="EDF1F5"/>
          </w:tcPr>
          <w:p>
            <w:pPr>
              <w:spacing w:after="0"/>
            </w:pPr>
            <w:r/>
            <w:r>
              <w:rPr>
                <w:sz w:val="17"/>
              </w:rPr>
              <w:t>25.56</w:t>
            </w:r>
          </w:p>
        </w:tc>
        <w:tc>
          <w:tcPr>
            <w:tcW w:type="dxa" w:w="1337"/>
            <w:shd w:val="clear" w:color="auto" w:fill="EDF1F5"/>
          </w:tcPr>
          <w:p>
            <w:pPr>
              <w:spacing w:after="0"/>
            </w:pPr>
            <w:r/>
            <w:r>
              <w:rPr>
                <w:sz w:val="17"/>
              </w:rPr>
              <w:t>0.02</w:t>
            </w:r>
          </w:p>
        </w:tc>
        <w:tc>
          <w:tcPr>
            <w:tcW w:type="dxa" w:w="1337"/>
            <w:shd w:val="clear" w:color="auto" w:fill="EDF1F5"/>
          </w:tcPr>
          <w:p>
            <w:pPr>
              <w:spacing w:after="0"/>
            </w:pPr>
            <w:r/>
            <w:r>
              <w:rPr>
                <w:sz w:val="17"/>
              </w:rPr>
              <w:t>0.20</w:t>
            </w:r>
          </w:p>
        </w:tc>
        <w:tc>
          <w:tcPr>
            <w:tcW w:type="dxa" w:w="1337"/>
            <w:shd w:val="clear" w:color="auto" w:fill="EDF1F5"/>
          </w:tcPr>
          <w:p>
            <w:pPr>
              <w:spacing w:after="0"/>
            </w:pPr>
            <w:r/>
            <w:r>
              <w:rPr>
                <w:sz w:val="17"/>
              </w:rPr>
              <w:t>replicated</w:t>
            </w:r>
          </w:p>
        </w:tc>
      </w:tr>
      <w:tr>
        <w:tc>
          <w:tcPr>
            <w:tcW w:type="dxa" w:w="1337"/>
          </w:tcPr>
          <w:p>
            <w:pPr>
              <w:spacing w:after="0"/>
            </w:pPr>
            <w:r/>
            <w:r>
              <w:rPr>
                <w:sz w:val="17"/>
              </w:rPr>
              <w:t>Hardware-Cloud Providers</w:t>
            </w:r>
          </w:p>
        </w:tc>
        <w:tc>
          <w:tcPr>
            <w:tcW w:type="dxa" w:w="1337"/>
          </w:tcPr>
          <w:p>
            <w:pPr>
              <w:spacing w:after="0"/>
            </w:pPr>
            <w:r/>
            <w:r>
              <w:rPr>
                <w:sz w:val="17"/>
              </w:rPr>
              <w:t>GLOBAL_SEED+2</w:t>
            </w:r>
          </w:p>
        </w:tc>
        <w:tc>
          <w:tcPr>
            <w:tcW w:type="dxa" w:w="1337"/>
          </w:tcPr>
          <w:p>
            <w:pPr>
              <w:spacing w:after="0"/>
            </w:pPr>
            <w:r/>
            <w:r>
              <w:rPr>
                <w:sz w:val="17"/>
              </w:rPr>
              <w:t>60.09</w:t>
            </w:r>
          </w:p>
        </w:tc>
        <w:tc>
          <w:tcPr>
            <w:tcW w:type="dxa" w:w="1337"/>
          </w:tcPr>
          <w:p>
            <w:pPr>
              <w:spacing w:after="0"/>
            </w:pPr>
            <w:r/>
            <w:r>
              <w:rPr>
                <w:sz w:val="17"/>
              </w:rPr>
              <w:t>60.36</w:t>
            </w:r>
          </w:p>
        </w:tc>
        <w:tc>
          <w:tcPr>
            <w:tcW w:type="dxa" w:w="1337"/>
          </w:tcPr>
          <w:p>
            <w:pPr>
              <w:spacing w:after="0"/>
            </w:pPr>
            <w:r/>
            <w:r>
              <w:rPr>
                <w:sz w:val="17"/>
              </w:rPr>
              <w:t>0.27</w:t>
            </w:r>
          </w:p>
        </w:tc>
        <w:tc>
          <w:tcPr>
            <w:tcW w:type="dxa" w:w="1337"/>
          </w:tcPr>
          <w:p>
            <w:pPr>
              <w:spacing w:after="0"/>
            </w:pPr>
            <w:r/>
            <w:r>
              <w:rPr>
                <w:sz w:val="17"/>
              </w:rPr>
              <w:t>0.83</w:t>
            </w:r>
          </w:p>
        </w:tc>
        <w:tc>
          <w:tcPr>
            <w:tcW w:type="dxa" w:w="1337"/>
          </w:tcPr>
          <w:p>
            <w:pPr>
              <w:spacing w:after="0"/>
            </w:pPr>
            <w:r/>
            <w:r>
              <w:rPr>
                <w:sz w:val="17"/>
              </w:rPr>
              <w:t>replicated</w:t>
            </w:r>
          </w:p>
        </w:tc>
      </w:tr>
      <w:tr>
        <w:tc>
          <w:tcPr>
            <w:tcW w:type="dxa" w:w="1337"/>
            <w:shd w:val="clear" w:color="auto" w:fill="EDF1F5"/>
          </w:tcPr>
          <w:p>
            <w:pPr>
              <w:spacing w:after="0"/>
            </w:pPr>
            <w:r/>
            <w:r>
              <w:rPr>
                <w:sz w:val="17"/>
              </w:rPr>
              <w:t>Hardware-Foundation Models</w:t>
            </w:r>
          </w:p>
        </w:tc>
        <w:tc>
          <w:tcPr>
            <w:tcW w:type="dxa" w:w="1337"/>
            <w:shd w:val="clear" w:color="auto" w:fill="EDF1F5"/>
          </w:tcPr>
          <w:p>
            <w:pPr>
              <w:spacing w:after="0"/>
            </w:pPr>
            <w:r/>
            <w:r>
              <w:rPr>
                <w:sz w:val="17"/>
              </w:rPr>
              <w:t>GLOBAL_SEED+2</w:t>
            </w:r>
          </w:p>
        </w:tc>
        <w:tc>
          <w:tcPr>
            <w:tcW w:type="dxa" w:w="1337"/>
            <w:shd w:val="clear" w:color="auto" w:fill="EDF1F5"/>
          </w:tcPr>
          <w:p>
            <w:pPr>
              <w:spacing w:after="0"/>
            </w:pPr>
            <w:r/>
            <w:r>
              <w:rPr>
                <w:sz w:val="17"/>
              </w:rPr>
              <w:t>198.67</w:t>
            </w:r>
          </w:p>
        </w:tc>
        <w:tc>
          <w:tcPr>
            <w:tcW w:type="dxa" w:w="1337"/>
            <w:shd w:val="clear" w:color="auto" w:fill="EDF1F5"/>
          </w:tcPr>
          <w:p>
            <w:pPr>
              <w:spacing w:after="0"/>
            </w:pPr>
            <w:r/>
            <w:r>
              <w:rPr>
                <w:sz w:val="17"/>
              </w:rPr>
              <w:t>198.28</w:t>
            </w:r>
          </w:p>
        </w:tc>
        <w:tc>
          <w:tcPr>
            <w:tcW w:type="dxa" w:w="1337"/>
            <w:shd w:val="clear" w:color="auto" w:fill="EDF1F5"/>
          </w:tcPr>
          <w:p>
            <w:pPr>
              <w:spacing w:after="0"/>
            </w:pPr>
            <w:r/>
            <w:r>
              <w:rPr>
                <w:sz w:val="17"/>
              </w:rPr>
              <w:t>0.40</w:t>
            </w:r>
          </w:p>
        </w:tc>
        <w:tc>
          <w:tcPr>
            <w:tcW w:type="dxa" w:w="1337"/>
            <w:shd w:val="clear" w:color="auto" w:fill="EDF1F5"/>
          </w:tcPr>
          <w:p>
            <w:pPr>
              <w:spacing w:after="0"/>
            </w:pPr>
            <w:r/>
            <w:r>
              <w:rPr>
                <w:sz w:val="17"/>
              </w:rPr>
              <w:t>1.39</w:t>
            </w:r>
          </w:p>
        </w:tc>
        <w:tc>
          <w:tcPr>
            <w:tcW w:type="dxa" w:w="1337"/>
            <w:shd w:val="clear" w:color="auto" w:fill="EDF1F5"/>
          </w:tcPr>
          <w:p>
            <w:pPr>
              <w:spacing w:after="0"/>
            </w:pPr>
            <w:r/>
            <w:r>
              <w:rPr>
                <w:sz w:val="17"/>
              </w:rPr>
              <w:t>replicated</w:t>
            </w:r>
          </w:p>
        </w:tc>
      </w:tr>
      <w:tr>
        <w:tc>
          <w:tcPr>
            <w:tcW w:type="dxa" w:w="1337"/>
          </w:tcPr>
          <w:p>
            <w:pPr>
              <w:spacing w:after="0"/>
            </w:pPr>
            <w:r/>
            <w:r>
              <w:rPr>
                <w:sz w:val="17"/>
              </w:rPr>
              <w:t>Hardware-LLM Wrappers</w:t>
            </w:r>
          </w:p>
        </w:tc>
        <w:tc>
          <w:tcPr>
            <w:tcW w:type="dxa" w:w="1337"/>
          </w:tcPr>
          <w:p>
            <w:pPr>
              <w:spacing w:after="0"/>
            </w:pPr>
            <w:r/>
            <w:r>
              <w:rPr>
                <w:sz w:val="17"/>
              </w:rPr>
              <w:t>GLOBAL_SEED+2</w:t>
            </w:r>
          </w:p>
        </w:tc>
        <w:tc>
          <w:tcPr>
            <w:tcW w:type="dxa" w:w="1337"/>
          </w:tcPr>
          <w:p>
            <w:pPr>
              <w:spacing w:after="0"/>
            </w:pPr>
            <w:r/>
            <w:r>
              <w:rPr>
                <w:sz w:val="17"/>
              </w:rPr>
              <w:t>241.69</w:t>
            </w:r>
          </w:p>
        </w:tc>
        <w:tc>
          <w:tcPr>
            <w:tcW w:type="dxa" w:w="1337"/>
          </w:tcPr>
          <w:p>
            <w:pPr>
              <w:spacing w:after="0"/>
            </w:pPr>
            <w:r/>
            <w:r>
              <w:rPr>
                <w:sz w:val="17"/>
              </w:rPr>
              <w:t>241.76</w:t>
            </w:r>
          </w:p>
        </w:tc>
        <w:tc>
          <w:tcPr>
            <w:tcW w:type="dxa" w:w="1337"/>
          </w:tcPr>
          <w:p>
            <w:pPr>
              <w:spacing w:after="0"/>
            </w:pPr>
            <w:r/>
            <w:r>
              <w:rPr>
                <w:sz w:val="17"/>
              </w:rPr>
              <w:t>0.06</w:t>
            </w:r>
          </w:p>
        </w:tc>
        <w:tc>
          <w:tcPr>
            <w:tcW w:type="dxa" w:w="1337"/>
          </w:tcPr>
          <w:p>
            <w:pPr>
              <w:spacing w:after="0"/>
            </w:pPr>
            <w:r/>
            <w:r>
              <w:rPr>
                <w:sz w:val="17"/>
              </w:rPr>
              <w:t>0.24</w:t>
            </w:r>
          </w:p>
        </w:tc>
        <w:tc>
          <w:tcPr>
            <w:tcW w:type="dxa" w:w="1337"/>
          </w:tcPr>
          <w:p>
            <w:pPr>
              <w:spacing w:after="0"/>
            </w:pPr>
            <w:r/>
            <w:r>
              <w:rPr>
                <w:sz w:val="17"/>
              </w:rPr>
              <w:t>replicated</w:t>
            </w:r>
          </w:p>
        </w:tc>
      </w:tr>
      <w:tr>
        <w:tc>
          <w:tcPr>
            <w:tcW w:type="dxa" w:w="1337"/>
            <w:shd w:val="clear" w:color="auto" w:fill="EDF1F5"/>
          </w:tcPr>
          <w:p>
            <w:pPr>
              <w:spacing w:after="0"/>
            </w:pPr>
            <w:r/>
            <w:r>
              <w:rPr>
                <w:sz w:val="17"/>
              </w:rPr>
              <w:t>Cloud Providers-Foundation Models</w:t>
            </w:r>
          </w:p>
        </w:tc>
        <w:tc>
          <w:tcPr>
            <w:tcW w:type="dxa" w:w="1337"/>
            <w:shd w:val="clear" w:color="auto" w:fill="EDF1F5"/>
          </w:tcPr>
          <w:p>
            <w:pPr>
              <w:spacing w:after="0"/>
            </w:pPr>
            <w:r/>
            <w:r>
              <w:rPr>
                <w:sz w:val="17"/>
              </w:rPr>
              <w:t>GLOBAL_SEED+2</w:t>
            </w:r>
          </w:p>
        </w:tc>
        <w:tc>
          <w:tcPr>
            <w:tcW w:type="dxa" w:w="1337"/>
            <w:shd w:val="clear" w:color="auto" w:fill="EDF1F5"/>
          </w:tcPr>
          <w:p>
            <w:pPr>
              <w:spacing w:after="0"/>
            </w:pPr>
            <w:r/>
            <w:r>
              <w:rPr>
                <w:sz w:val="17"/>
              </w:rPr>
              <w:t>137.75</w:t>
            </w:r>
          </w:p>
        </w:tc>
        <w:tc>
          <w:tcPr>
            <w:tcW w:type="dxa" w:w="1337"/>
            <w:shd w:val="clear" w:color="auto" w:fill="EDF1F5"/>
          </w:tcPr>
          <w:p>
            <w:pPr>
              <w:spacing w:after="0"/>
            </w:pPr>
            <w:r/>
            <w:r>
              <w:rPr>
                <w:sz w:val="17"/>
              </w:rPr>
              <w:t>137.87</w:t>
            </w:r>
          </w:p>
        </w:tc>
        <w:tc>
          <w:tcPr>
            <w:tcW w:type="dxa" w:w="1337"/>
            <w:shd w:val="clear" w:color="auto" w:fill="EDF1F5"/>
          </w:tcPr>
          <w:p>
            <w:pPr>
              <w:spacing w:after="0"/>
            </w:pPr>
            <w:r/>
            <w:r>
              <w:rPr>
                <w:sz w:val="17"/>
              </w:rPr>
              <w:t>0.12</w:t>
            </w:r>
          </w:p>
        </w:tc>
        <w:tc>
          <w:tcPr>
            <w:tcW w:type="dxa" w:w="1337"/>
            <w:shd w:val="clear" w:color="auto" w:fill="EDF1F5"/>
          </w:tcPr>
          <w:p>
            <w:pPr>
              <w:spacing w:after="0"/>
            </w:pPr>
            <w:r/>
            <w:r>
              <w:rPr>
                <w:sz w:val="17"/>
              </w:rPr>
              <w:t>0.52</w:t>
            </w:r>
          </w:p>
        </w:tc>
        <w:tc>
          <w:tcPr>
            <w:tcW w:type="dxa" w:w="1337"/>
            <w:shd w:val="clear" w:color="auto" w:fill="EDF1F5"/>
          </w:tcPr>
          <w:p>
            <w:pPr>
              <w:spacing w:after="0"/>
            </w:pPr>
            <w:r/>
            <w:r>
              <w:rPr>
                <w:sz w:val="17"/>
              </w:rPr>
              <w:t>replicated</w:t>
            </w:r>
          </w:p>
        </w:tc>
      </w:tr>
      <w:tr>
        <w:tc>
          <w:tcPr>
            <w:tcW w:type="dxa" w:w="1337"/>
          </w:tcPr>
          <w:p>
            <w:pPr>
              <w:spacing w:after="0"/>
            </w:pPr>
            <w:r/>
            <w:r>
              <w:rPr>
                <w:sz w:val="17"/>
              </w:rPr>
              <w:t>Cloud Providers-LLM Wrappers</w:t>
            </w:r>
          </w:p>
        </w:tc>
        <w:tc>
          <w:tcPr>
            <w:tcW w:type="dxa" w:w="1337"/>
          </w:tcPr>
          <w:p>
            <w:pPr>
              <w:spacing w:after="0"/>
            </w:pPr>
            <w:r/>
            <w:r>
              <w:rPr>
                <w:sz w:val="17"/>
              </w:rPr>
              <w:t>GLOBAL_SEED+2</w:t>
            </w:r>
          </w:p>
        </w:tc>
        <w:tc>
          <w:tcPr>
            <w:tcW w:type="dxa" w:w="1337"/>
          </w:tcPr>
          <w:p>
            <w:pPr>
              <w:spacing w:after="0"/>
            </w:pPr>
            <w:r/>
            <w:r>
              <w:rPr>
                <w:sz w:val="17"/>
              </w:rPr>
              <w:t>176.85</w:t>
            </w:r>
          </w:p>
        </w:tc>
        <w:tc>
          <w:tcPr>
            <w:tcW w:type="dxa" w:w="1337"/>
          </w:tcPr>
          <w:p>
            <w:pPr>
              <w:spacing w:after="0"/>
            </w:pPr>
            <w:r/>
            <w:r>
              <w:rPr>
                <w:sz w:val="17"/>
              </w:rPr>
              <w:t>177.10</w:t>
            </w:r>
          </w:p>
        </w:tc>
        <w:tc>
          <w:tcPr>
            <w:tcW w:type="dxa" w:w="1337"/>
          </w:tcPr>
          <w:p>
            <w:pPr>
              <w:spacing w:after="0"/>
            </w:pPr>
            <w:r/>
            <w:r>
              <w:rPr>
                <w:sz w:val="17"/>
              </w:rPr>
              <w:t>0.24</w:t>
            </w:r>
          </w:p>
        </w:tc>
        <w:tc>
          <w:tcPr>
            <w:tcW w:type="dxa" w:w="1337"/>
          </w:tcPr>
          <w:p>
            <w:pPr>
              <w:spacing w:after="0"/>
            </w:pPr>
            <w:r/>
            <w:r>
              <w:rPr>
                <w:sz w:val="17"/>
              </w:rPr>
              <w:t>1.12</w:t>
            </w:r>
          </w:p>
        </w:tc>
        <w:tc>
          <w:tcPr>
            <w:tcW w:type="dxa" w:w="1337"/>
          </w:tcPr>
          <w:p>
            <w:pPr>
              <w:spacing w:after="0"/>
            </w:pPr>
            <w:r/>
            <w:r>
              <w:rPr>
                <w:sz w:val="17"/>
              </w:rPr>
              <w:t>replicated</w:t>
            </w:r>
          </w:p>
        </w:tc>
      </w:tr>
      <w:tr>
        <w:tc>
          <w:tcPr>
            <w:tcW w:type="dxa" w:w="1337"/>
            <w:shd w:val="clear" w:color="auto" w:fill="EDF1F5"/>
          </w:tcPr>
          <w:p>
            <w:pPr>
              <w:spacing w:after="0"/>
            </w:pPr>
            <w:r/>
            <w:r>
              <w:rPr>
                <w:sz w:val="17"/>
              </w:rPr>
              <w:t>Foundation Models-LLM Wrappers</w:t>
            </w:r>
          </w:p>
        </w:tc>
        <w:tc>
          <w:tcPr>
            <w:tcW w:type="dxa" w:w="1337"/>
            <w:shd w:val="clear" w:color="auto" w:fill="EDF1F5"/>
          </w:tcPr>
          <w:p>
            <w:pPr>
              <w:spacing w:after="0"/>
            </w:pPr>
            <w:r/>
            <w:r>
              <w:rPr>
                <w:sz w:val="17"/>
              </w:rPr>
              <w:t>GLOBAL_SEED+2</w:t>
            </w:r>
          </w:p>
        </w:tc>
        <w:tc>
          <w:tcPr>
            <w:tcW w:type="dxa" w:w="1337"/>
            <w:shd w:val="clear" w:color="auto" w:fill="EDF1F5"/>
          </w:tcPr>
          <w:p>
            <w:pPr>
              <w:spacing w:after="0"/>
            </w:pPr>
            <w:r/>
            <w:r>
              <w:rPr>
                <w:sz w:val="17"/>
              </w:rPr>
              <w:t>25.57</w:t>
            </w:r>
          </w:p>
        </w:tc>
        <w:tc>
          <w:tcPr>
            <w:tcW w:type="dxa" w:w="1337"/>
            <w:shd w:val="clear" w:color="auto" w:fill="EDF1F5"/>
          </w:tcPr>
          <w:p>
            <w:pPr>
              <w:spacing w:after="0"/>
            </w:pPr>
            <w:r/>
            <w:r>
              <w:rPr>
                <w:sz w:val="17"/>
              </w:rPr>
              <w:t>25.60</w:t>
            </w:r>
          </w:p>
        </w:tc>
        <w:tc>
          <w:tcPr>
            <w:tcW w:type="dxa" w:w="1337"/>
            <w:shd w:val="clear" w:color="auto" w:fill="EDF1F5"/>
          </w:tcPr>
          <w:p>
            <w:pPr>
              <w:spacing w:after="0"/>
            </w:pPr>
            <w:r/>
            <w:r>
              <w:rPr>
                <w:sz w:val="17"/>
              </w:rPr>
              <w:t>0.02</w:t>
            </w:r>
          </w:p>
        </w:tc>
        <w:tc>
          <w:tcPr>
            <w:tcW w:type="dxa" w:w="1337"/>
            <w:shd w:val="clear" w:color="auto" w:fill="EDF1F5"/>
          </w:tcPr>
          <w:p>
            <w:pPr>
              <w:spacing w:after="0"/>
            </w:pPr>
            <w:r/>
            <w:r>
              <w:rPr>
                <w:sz w:val="17"/>
              </w:rPr>
              <w:t>0.31</w:t>
            </w:r>
          </w:p>
        </w:tc>
        <w:tc>
          <w:tcPr>
            <w:tcW w:type="dxa" w:w="1337"/>
            <w:shd w:val="clear" w:color="auto" w:fill="EDF1F5"/>
          </w:tcPr>
          <w:p>
            <w:pPr>
              <w:spacing w:after="0"/>
            </w:pPr>
            <w:r/>
            <w:r>
              <w:rPr>
                <w:sz w:val="17"/>
              </w:rPr>
              <w:t>replicated</w:t>
            </w:r>
          </w:p>
        </w:tc>
      </w:tr>
    </w:tbl>
    <w:p>
      <w:pPr>
        <w:spacing w:after="80"/>
      </w:pPr>
      <w:r>
        <w:rPr>
          <w:sz w:val="4"/>
        </w:rPr>
      </w:r>
    </w:p>
    <w:p>
      <w:pPr>
        <w:keepNext/>
        <w:spacing w:before="200" w:after="40"/>
      </w:pPr>
      <w:r>
        <w:rPr>
          <w:b/>
          <w:color w:val="2C3E50"/>
          <w:sz w:val="20"/>
        </w:rPr>
        <w:t>Table 8.3: Noise-Level Robustness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Game</w:t>
            </w:r>
          </w:p>
        </w:tc>
        <w:tc>
          <w:tcPr>
            <w:tcW w:type="dxa" w:w="1872"/>
            <w:tblHeader w:val="true"/>
            <w:shd w:val="clear" w:color="auto" w:fill="2C3E50"/>
          </w:tcPr>
          <w:p>
            <w:pPr>
              <w:jc w:val="center"/>
            </w:pPr>
            <w:r/>
            <w:r>
              <w:rPr>
                <w:b/>
                <w:color w:val="FFFFFF"/>
                <w:sz w:val="18"/>
              </w:rPr>
              <w:t>Sigma</w:t>
            </w:r>
          </w:p>
        </w:tc>
        <w:tc>
          <w:tcPr>
            <w:tcW w:type="dxa" w:w="1872"/>
            <w:tblHeader w:val="true"/>
            <w:shd w:val="clear" w:color="auto" w:fill="2C3E50"/>
          </w:tcPr>
          <w:p>
            <w:pPr>
              <w:jc w:val="center"/>
            </w:pPr>
            <w:r/>
            <w:r>
              <w:rPr>
                <w:b/>
                <w:color w:val="FFFFFF"/>
                <w:sz w:val="18"/>
              </w:rPr>
              <w:t>Stability_Pct</w:t>
            </w:r>
          </w:p>
        </w:tc>
        <w:tc>
          <w:tcPr>
            <w:tcW w:type="dxa" w:w="1872"/>
            <w:tblHeader w:val="true"/>
            <w:shd w:val="clear" w:color="auto" w:fill="2C3E50"/>
          </w:tcPr>
          <w:p>
            <w:pPr>
              <w:jc w:val="center"/>
            </w:pPr>
            <w:r/>
            <w:r>
              <w:rPr>
                <w:b/>
                <w:color w:val="FFFFFF"/>
                <w:sz w:val="18"/>
              </w:rPr>
              <w:t>Mean_DWL_$B</w:t>
            </w:r>
          </w:p>
        </w:tc>
        <w:tc>
          <w:tcPr>
            <w:tcW w:type="dxa" w:w="1872"/>
            <w:tblHeader w:val="true"/>
            <w:shd w:val="clear" w:color="auto" w:fill="2C3E50"/>
          </w:tcPr>
          <w:p>
            <w:pPr>
              <w:jc w:val="center"/>
            </w:pPr>
            <w:r/>
            <w:r>
              <w:rPr>
                <w:b/>
                <w:color w:val="FFFFFF"/>
                <w:sz w:val="18"/>
              </w:rPr>
              <w:t>Verdict</w:t>
            </w:r>
          </w:p>
        </w:tc>
      </w:tr>
      <w:tr>
        <w:tc>
          <w:tcPr>
            <w:tcW w:type="dxa" w:w="1872"/>
          </w:tcPr>
          <w:p>
            <w:pPr>
              <w:spacing w:after="0"/>
            </w:pPr>
            <w:r/>
            <w:r>
              <w:rPr>
                <w:sz w:val="17"/>
              </w:rPr>
              <w:t>Hardware-Cloud Providers</w:t>
            </w:r>
          </w:p>
        </w:tc>
        <w:tc>
          <w:tcPr>
            <w:tcW w:type="dxa" w:w="1872"/>
          </w:tcPr>
          <w:p>
            <w:pPr>
              <w:spacing w:after="0"/>
            </w:pPr>
            <w:r/>
            <w:r>
              <w:rPr>
                <w:sz w:val="17"/>
              </w:rPr>
              <w:t>0.03</w:t>
            </w:r>
          </w:p>
        </w:tc>
        <w:tc>
          <w:tcPr>
            <w:tcW w:type="dxa" w:w="1872"/>
          </w:tcPr>
          <w:p>
            <w:pPr>
              <w:spacing w:after="0"/>
            </w:pPr>
            <w:r/>
            <w:r>
              <w:rPr>
                <w:sz w:val="17"/>
              </w:rPr>
              <w:t>77.27</w:t>
            </w:r>
          </w:p>
        </w:tc>
        <w:tc>
          <w:tcPr>
            <w:tcW w:type="dxa" w:w="1872"/>
          </w:tcPr>
          <w:p>
            <w:pPr>
              <w:spacing w:after="0"/>
            </w:pPr>
            <w:r/>
            <w:r>
              <w:rPr>
                <w:sz w:val="17"/>
              </w:rPr>
              <w:t>52.72</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Hardware-Foundation Models</w:t>
            </w:r>
          </w:p>
        </w:tc>
        <w:tc>
          <w:tcPr>
            <w:tcW w:type="dxa" w:w="1872"/>
            <w:shd w:val="clear" w:color="auto" w:fill="EDF1F5"/>
          </w:tcPr>
          <w:p>
            <w:pPr>
              <w:spacing w:after="0"/>
            </w:pPr>
            <w:r/>
            <w:r>
              <w:rPr>
                <w:sz w:val="17"/>
              </w:rPr>
              <w:t>0.03</w:t>
            </w:r>
          </w:p>
        </w:tc>
        <w:tc>
          <w:tcPr>
            <w:tcW w:type="dxa" w:w="1872"/>
            <w:shd w:val="clear" w:color="auto" w:fill="EDF1F5"/>
          </w:tcPr>
          <w:p>
            <w:pPr>
              <w:spacing w:after="0"/>
            </w:pPr>
            <w:r/>
            <w:r>
              <w:rPr>
                <w:sz w:val="17"/>
              </w:rPr>
              <w:t>98.69</w:t>
            </w:r>
          </w:p>
        </w:tc>
        <w:tc>
          <w:tcPr>
            <w:tcW w:type="dxa" w:w="1872"/>
            <w:shd w:val="clear" w:color="auto" w:fill="EDF1F5"/>
          </w:tcPr>
          <w:p>
            <w:pPr>
              <w:spacing w:after="0"/>
            </w:pPr>
            <w:r/>
            <w:r>
              <w:rPr>
                <w:sz w:val="17"/>
              </w:rPr>
              <w:t>205.58</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Hardware-LLM Wrappers</w:t>
            </w:r>
          </w:p>
        </w:tc>
        <w:tc>
          <w:tcPr>
            <w:tcW w:type="dxa" w:w="1872"/>
          </w:tcPr>
          <w:p>
            <w:pPr>
              <w:spacing w:after="0"/>
            </w:pPr>
            <w:r/>
            <w:r>
              <w:rPr>
                <w:sz w:val="17"/>
              </w:rPr>
              <w:t>0.03</w:t>
            </w:r>
          </w:p>
        </w:tc>
        <w:tc>
          <w:tcPr>
            <w:tcW w:type="dxa" w:w="1872"/>
          </w:tcPr>
          <w:p>
            <w:pPr>
              <w:spacing w:after="0"/>
            </w:pPr>
            <w:r/>
            <w:r>
              <w:rPr>
                <w:sz w:val="17"/>
              </w:rPr>
              <w:t>100</w:t>
            </w:r>
          </w:p>
        </w:tc>
        <w:tc>
          <w:tcPr>
            <w:tcW w:type="dxa" w:w="1872"/>
          </w:tcPr>
          <w:p>
            <w:pPr>
              <w:spacing w:after="0"/>
            </w:pPr>
            <w:r/>
            <w:r>
              <w:rPr>
                <w:sz w:val="17"/>
              </w:rPr>
              <w:t>247.46</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Cloud Providers-Foundation Models</w:t>
            </w:r>
          </w:p>
        </w:tc>
        <w:tc>
          <w:tcPr>
            <w:tcW w:type="dxa" w:w="1872"/>
            <w:shd w:val="clear" w:color="auto" w:fill="EDF1F5"/>
          </w:tcPr>
          <w:p>
            <w:pPr>
              <w:spacing w:after="0"/>
            </w:pPr>
            <w:r/>
            <w:r>
              <w:rPr>
                <w:sz w:val="17"/>
              </w:rPr>
              <w:t>0.03</w:t>
            </w:r>
          </w:p>
        </w:tc>
        <w:tc>
          <w:tcPr>
            <w:tcW w:type="dxa" w:w="1872"/>
            <w:shd w:val="clear" w:color="auto" w:fill="EDF1F5"/>
          </w:tcPr>
          <w:p>
            <w:pPr>
              <w:spacing w:after="0"/>
            </w:pPr>
            <w:r/>
            <w:r>
              <w:rPr>
                <w:sz w:val="17"/>
              </w:rPr>
              <w:t>98.73</w:t>
            </w:r>
          </w:p>
        </w:tc>
        <w:tc>
          <w:tcPr>
            <w:tcW w:type="dxa" w:w="1872"/>
            <w:shd w:val="clear" w:color="auto" w:fill="EDF1F5"/>
          </w:tcPr>
          <w:p>
            <w:pPr>
              <w:spacing w:after="0"/>
            </w:pPr>
            <w:r/>
            <w:r>
              <w:rPr>
                <w:sz w:val="17"/>
              </w:rPr>
              <w:t>141.56</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Cloud Providers-LLM Wrappers</w:t>
            </w:r>
          </w:p>
        </w:tc>
        <w:tc>
          <w:tcPr>
            <w:tcW w:type="dxa" w:w="1872"/>
          </w:tcPr>
          <w:p>
            <w:pPr>
              <w:spacing w:after="0"/>
            </w:pPr>
            <w:r/>
            <w:r>
              <w:rPr>
                <w:sz w:val="17"/>
              </w:rPr>
              <w:t>0.03</w:t>
            </w:r>
          </w:p>
        </w:tc>
        <w:tc>
          <w:tcPr>
            <w:tcW w:type="dxa" w:w="1872"/>
          </w:tcPr>
          <w:p>
            <w:pPr>
              <w:spacing w:after="0"/>
            </w:pPr>
            <w:r/>
            <w:r>
              <w:rPr>
                <w:sz w:val="17"/>
              </w:rPr>
              <w:t>100</w:t>
            </w:r>
          </w:p>
        </w:tc>
        <w:tc>
          <w:tcPr>
            <w:tcW w:type="dxa" w:w="1872"/>
          </w:tcPr>
          <w:p>
            <w:pPr>
              <w:spacing w:after="0"/>
            </w:pPr>
            <w:r/>
            <w:r>
              <w:rPr>
                <w:sz w:val="17"/>
              </w:rPr>
              <w:t>180.62</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Foundation Models-LLM Wrappers</w:t>
            </w:r>
          </w:p>
        </w:tc>
        <w:tc>
          <w:tcPr>
            <w:tcW w:type="dxa" w:w="1872"/>
            <w:shd w:val="clear" w:color="auto" w:fill="EDF1F5"/>
          </w:tcPr>
          <w:p>
            <w:pPr>
              <w:spacing w:after="0"/>
            </w:pPr>
            <w:r/>
            <w:r>
              <w:rPr>
                <w:sz w:val="17"/>
              </w:rPr>
              <w:t>0.03</w:t>
            </w:r>
          </w:p>
        </w:tc>
        <w:tc>
          <w:tcPr>
            <w:tcW w:type="dxa" w:w="1872"/>
            <w:shd w:val="clear" w:color="auto" w:fill="EDF1F5"/>
          </w:tcPr>
          <w:p>
            <w:pPr>
              <w:spacing w:after="0"/>
            </w:pPr>
            <w:r/>
            <w:r>
              <w:rPr>
                <w:sz w:val="17"/>
              </w:rPr>
              <w:t>81.39</w:t>
            </w:r>
          </w:p>
        </w:tc>
        <w:tc>
          <w:tcPr>
            <w:tcW w:type="dxa" w:w="1872"/>
            <w:shd w:val="clear" w:color="auto" w:fill="EDF1F5"/>
          </w:tcPr>
          <w:p>
            <w:pPr>
              <w:spacing w:after="0"/>
            </w:pPr>
            <w:r/>
            <w:r>
              <w:rPr>
                <w:sz w:val="17"/>
              </w:rPr>
              <w:t>29.17</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Hardware-Cloud Providers</w:t>
            </w:r>
          </w:p>
        </w:tc>
        <w:tc>
          <w:tcPr>
            <w:tcW w:type="dxa" w:w="1872"/>
          </w:tcPr>
          <w:p>
            <w:pPr>
              <w:spacing w:after="0"/>
            </w:pPr>
            <w:r/>
            <w:r>
              <w:rPr>
                <w:sz w:val="17"/>
              </w:rPr>
              <w:t>0.05</w:t>
            </w:r>
          </w:p>
        </w:tc>
        <w:tc>
          <w:tcPr>
            <w:tcW w:type="dxa" w:w="1872"/>
          </w:tcPr>
          <w:p>
            <w:pPr>
              <w:spacing w:after="0"/>
            </w:pPr>
            <w:r/>
            <w:r>
              <w:rPr>
                <w:sz w:val="17"/>
              </w:rPr>
              <w:t>63.73</w:t>
            </w:r>
          </w:p>
        </w:tc>
        <w:tc>
          <w:tcPr>
            <w:tcW w:type="dxa" w:w="1872"/>
          </w:tcPr>
          <w:p>
            <w:pPr>
              <w:spacing w:after="0"/>
            </w:pPr>
            <w:r/>
            <w:r>
              <w:rPr>
                <w:sz w:val="17"/>
              </w:rPr>
              <w:t>61.28</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Hardware-Foundation Models</w:t>
            </w:r>
          </w:p>
        </w:tc>
        <w:tc>
          <w:tcPr>
            <w:tcW w:type="dxa" w:w="1872"/>
            <w:shd w:val="clear" w:color="auto" w:fill="EDF1F5"/>
          </w:tcPr>
          <w:p>
            <w:pPr>
              <w:spacing w:after="0"/>
            </w:pPr>
            <w:r/>
            <w:r>
              <w:rPr>
                <w:sz w:val="17"/>
              </w:rPr>
              <w:t>0.05</w:t>
            </w:r>
          </w:p>
        </w:tc>
        <w:tc>
          <w:tcPr>
            <w:tcW w:type="dxa" w:w="1872"/>
            <w:shd w:val="clear" w:color="auto" w:fill="EDF1F5"/>
          </w:tcPr>
          <w:p>
            <w:pPr>
              <w:spacing w:after="0"/>
            </w:pPr>
            <w:r/>
            <w:r>
              <w:rPr>
                <w:sz w:val="17"/>
              </w:rPr>
              <w:t>80.99</w:t>
            </w:r>
          </w:p>
        </w:tc>
        <w:tc>
          <w:tcPr>
            <w:tcW w:type="dxa" w:w="1872"/>
            <w:shd w:val="clear" w:color="auto" w:fill="EDF1F5"/>
          </w:tcPr>
          <w:p>
            <w:pPr>
              <w:spacing w:after="0"/>
            </w:pPr>
            <w:r/>
            <w:r>
              <w:rPr>
                <w:sz w:val="17"/>
              </w:rPr>
              <w:t>198.55</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Hardware-LLM Wrappers</w:t>
            </w:r>
          </w:p>
        </w:tc>
        <w:tc>
          <w:tcPr>
            <w:tcW w:type="dxa" w:w="1872"/>
          </w:tcPr>
          <w:p>
            <w:pPr>
              <w:spacing w:after="0"/>
            </w:pPr>
            <w:r/>
            <w:r>
              <w:rPr>
                <w:sz w:val="17"/>
              </w:rPr>
              <w:t>0.05</w:t>
            </w:r>
          </w:p>
        </w:tc>
        <w:tc>
          <w:tcPr>
            <w:tcW w:type="dxa" w:w="1872"/>
          </w:tcPr>
          <w:p>
            <w:pPr>
              <w:spacing w:after="0"/>
            </w:pPr>
            <w:r/>
            <w:r>
              <w:rPr>
                <w:sz w:val="17"/>
              </w:rPr>
              <w:t>97.14</w:t>
            </w:r>
          </w:p>
        </w:tc>
        <w:tc>
          <w:tcPr>
            <w:tcW w:type="dxa" w:w="1872"/>
          </w:tcPr>
          <w:p>
            <w:pPr>
              <w:spacing w:after="0"/>
            </w:pPr>
            <w:r/>
            <w:r>
              <w:rPr>
                <w:sz w:val="17"/>
              </w:rPr>
              <w:t>241.19</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Cloud Providers-Foundation Models</w:t>
            </w:r>
          </w:p>
        </w:tc>
        <w:tc>
          <w:tcPr>
            <w:tcW w:type="dxa" w:w="1872"/>
            <w:shd w:val="clear" w:color="auto" w:fill="EDF1F5"/>
          </w:tcPr>
          <w:p>
            <w:pPr>
              <w:spacing w:after="0"/>
            </w:pPr>
            <w:r/>
            <w:r>
              <w:rPr>
                <w:sz w:val="17"/>
              </w:rPr>
              <w:t>0.05</w:t>
            </w:r>
          </w:p>
        </w:tc>
        <w:tc>
          <w:tcPr>
            <w:tcW w:type="dxa" w:w="1872"/>
            <w:shd w:val="clear" w:color="auto" w:fill="EDF1F5"/>
          </w:tcPr>
          <w:p>
            <w:pPr>
              <w:spacing w:after="0"/>
            </w:pPr>
            <w:r/>
            <w:r>
              <w:rPr>
                <w:sz w:val="17"/>
              </w:rPr>
              <w:t>80.64</w:t>
            </w:r>
          </w:p>
        </w:tc>
        <w:tc>
          <w:tcPr>
            <w:tcW w:type="dxa" w:w="1872"/>
            <w:shd w:val="clear" w:color="auto" w:fill="EDF1F5"/>
          </w:tcPr>
          <w:p>
            <w:pPr>
              <w:spacing w:after="0"/>
            </w:pPr>
            <w:r/>
            <w:r>
              <w:rPr>
                <w:sz w:val="17"/>
              </w:rPr>
              <w:t>137.93</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Cloud Providers-LLM Wrappers</w:t>
            </w:r>
          </w:p>
        </w:tc>
        <w:tc>
          <w:tcPr>
            <w:tcW w:type="dxa" w:w="1872"/>
          </w:tcPr>
          <w:p>
            <w:pPr>
              <w:spacing w:after="0"/>
            </w:pPr>
            <w:r/>
            <w:r>
              <w:rPr>
                <w:sz w:val="17"/>
              </w:rPr>
              <w:t>0.05</w:t>
            </w:r>
          </w:p>
        </w:tc>
        <w:tc>
          <w:tcPr>
            <w:tcW w:type="dxa" w:w="1872"/>
          </w:tcPr>
          <w:p>
            <w:pPr>
              <w:spacing w:after="0"/>
            </w:pPr>
            <w:r/>
            <w:r>
              <w:rPr>
                <w:sz w:val="17"/>
              </w:rPr>
              <w:t>97.49</w:t>
            </w:r>
          </w:p>
        </w:tc>
        <w:tc>
          <w:tcPr>
            <w:tcW w:type="dxa" w:w="1872"/>
          </w:tcPr>
          <w:p>
            <w:pPr>
              <w:spacing w:after="0"/>
            </w:pPr>
            <w:r/>
            <w:r>
              <w:rPr>
                <w:sz w:val="17"/>
              </w:rPr>
              <w:t>177.26</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Foundation Models-LLM Wrappers</w:t>
            </w:r>
          </w:p>
        </w:tc>
        <w:tc>
          <w:tcPr>
            <w:tcW w:type="dxa" w:w="1872"/>
            <w:shd w:val="clear" w:color="auto" w:fill="EDF1F5"/>
          </w:tcPr>
          <w:p>
            <w:pPr>
              <w:spacing w:after="0"/>
            </w:pPr>
            <w:r/>
            <w:r>
              <w:rPr>
                <w:sz w:val="17"/>
              </w:rPr>
              <w:t>0.05</w:t>
            </w:r>
          </w:p>
        </w:tc>
        <w:tc>
          <w:tcPr>
            <w:tcW w:type="dxa" w:w="1872"/>
            <w:shd w:val="clear" w:color="auto" w:fill="EDF1F5"/>
          </w:tcPr>
          <w:p>
            <w:pPr>
              <w:spacing w:after="0"/>
            </w:pPr>
            <w:r/>
            <w:r>
              <w:rPr>
                <w:sz w:val="17"/>
              </w:rPr>
              <w:t>60.99</w:t>
            </w:r>
          </w:p>
        </w:tc>
        <w:tc>
          <w:tcPr>
            <w:tcW w:type="dxa" w:w="1872"/>
            <w:shd w:val="clear" w:color="auto" w:fill="EDF1F5"/>
          </w:tcPr>
          <w:p>
            <w:pPr>
              <w:spacing w:after="0"/>
            </w:pPr>
            <w:r/>
            <w:r>
              <w:rPr>
                <w:sz w:val="17"/>
              </w:rPr>
              <w:t>25.53</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Hardware-Cloud Providers</w:t>
            </w:r>
          </w:p>
        </w:tc>
        <w:tc>
          <w:tcPr>
            <w:tcW w:type="dxa" w:w="1872"/>
          </w:tcPr>
          <w:p>
            <w:pPr>
              <w:spacing w:after="0"/>
            </w:pPr>
            <w:r/>
            <w:r>
              <w:rPr>
                <w:sz w:val="17"/>
              </w:rPr>
              <w:t>0.10</w:t>
            </w:r>
          </w:p>
        </w:tc>
        <w:tc>
          <w:tcPr>
            <w:tcW w:type="dxa" w:w="1872"/>
          </w:tcPr>
          <w:p>
            <w:pPr>
              <w:spacing w:after="0"/>
            </w:pPr>
            <w:r/>
            <w:r>
              <w:rPr>
                <w:sz w:val="17"/>
              </w:rPr>
              <w:t>53.52</w:t>
            </w:r>
          </w:p>
        </w:tc>
        <w:tc>
          <w:tcPr>
            <w:tcW w:type="dxa" w:w="1872"/>
          </w:tcPr>
          <w:p>
            <w:pPr>
              <w:spacing w:after="0"/>
            </w:pPr>
            <w:r/>
            <w:r>
              <w:rPr>
                <w:sz w:val="17"/>
              </w:rPr>
              <w:t>74.13</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Hardware-Foundation Models</w:t>
            </w:r>
          </w:p>
        </w:tc>
        <w:tc>
          <w:tcPr>
            <w:tcW w:type="dxa" w:w="1872"/>
            <w:shd w:val="clear" w:color="auto" w:fill="EDF1F5"/>
          </w:tcPr>
          <w:p>
            <w:pPr>
              <w:spacing w:after="0"/>
            </w:pPr>
            <w:r/>
            <w:r>
              <w:rPr>
                <w:sz w:val="17"/>
              </w:rPr>
              <w:t>0.10</w:t>
            </w:r>
          </w:p>
        </w:tc>
        <w:tc>
          <w:tcPr>
            <w:tcW w:type="dxa" w:w="1872"/>
            <w:shd w:val="clear" w:color="auto" w:fill="EDF1F5"/>
          </w:tcPr>
          <w:p>
            <w:pPr>
              <w:spacing w:after="0"/>
            </w:pPr>
            <w:r/>
            <w:r>
              <w:rPr>
                <w:sz w:val="17"/>
              </w:rPr>
              <w:t>54.92</w:t>
            </w:r>
          </w:p>
        </w:tc>
        <w:tc>
          <w:tcPr>
            <w:tcW w:type="dxa" w:w="1872"/>
            <w:shd w:val="clear" w:color="auto" w:fill="EDF1F5"/>
          </w:tcPr>
          <w:p>
            <w:pPr>
              <w:spacing w:after="0"/>
            </w:pPr>
            <w:r/>
            <w:r>
              <w:rPr>
                <w:sz w:val="17"/>
              </w:rPr>
              <w:t>168.60</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Hardware-LLM Wrappers</w:t>
            </w:r>
          </w:p>
        </w:tc>
        <w:tc>
          <w:tcPr>
            <w:tcW w:type="dxa" w:w="1872"/>
          </w:tcPr>
          <w:p>
            <w:pPr>
              <w:spacing w:after="0"/>
            </w:pPr>
            <w:r/>
            <w:r>
              <w:rPr>
                <w:sz w:val="17"/>
              </w:rPr>
              <w:t>0.10</w:t>
            </w:r>
          </w:p>
        </w:tc>
        <w:tc>
          <w:tcPr>
            <w:tcW w:type="dxa" w:w="1872"/>
          </w:tcPr>
          <w:p>
            <w:pPr>
              <w:spacing w:after="0"/>
            </w:pPr>
            <w:r/>
            <w:r>
              <w:rPr>
                <w:sz w:val="17"/>
              </w:rPr>
              <w:t>75.14</w:t>
            </w:r>
          </w:p>
        </w:tc>
        <w:tc>
          <w:tcPr>
            <w:tcW w:type="dxa" w:w="1872"/>
          </w:tcPr>
          <w:p>
            <w:pPr>
              <w:spacing w:after="0"/>
            </w:pPr>
            <w:r/>
            <w:r>
              <w:rPr>
                <w:sz w:val="17"/>
              </w:rPr>
              <w:t>202.63</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Cloud Providers-Foundation Models</w:t>
            </w:r>
          </w:p>
        </w:tc>
        <w:tc>
          <w:tcPr>
            <w:tcW w:type="dxa" w:w="1872"/>
            <w:shd w:val="clear" w:color="auto" w:fill="EDF1F5"/>
          </w:tcPr>
          <w:p>
            <w:pPr>
              <w:spacing w:after="0"/>
            </w:pPr>
            <w:r/>
            <w:r>
              <w:rPr>
                <w:sz w:val="17"/>
              </w:rPr>
              <w:t>0.10</w:t>
            </w:r>
          </w:p>
        </w:tc>
        <w:tc>
          <w:tcPr>
            <w:tcW w:type="dxa" w:w="1872"/>
            <w:shd w:val="clear" w:color="auto" w:fill="EDF1F5"/>
          </w:tcPr>
          <w:p>
            <w:pPr>
              <w:spacing w:after="0"/>
            </w:pPr>
            <w:r/>
            <w:r>
              <w:rPr>
                <w:sz w:val="17"/>
              </w:rPr>
              <w:t>54.15</w:t>
            </w:r>
          </w:p>
        </w:tc>
        <w:tc>
          <w:tcPr>
            <w:tcW w:type="dxa" w:w="1872"/>
            <w:shd w:val="clear" w:color="auto" w:fill="EDF1F5"/>
          </w:tcPr>
          <w:p>
            <w:pPr>
              <w:spacing w:after="0"/>
            </w:pPr>
            <w:r/>
            <w:r>
              <w:rPr>
                <w:sz w:val="17"/>
              </w:rPr>
              <w:t>119.67</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Cloud Providers-LLM Wrappers</w:t>
            </w:r>
          </w:p>
        </w:tc>
        <w:tc>
          <w:tcPr>
            <w:tcW w:type="dxa" w:w="1872"/>
          </w:tcPr>
          <w:p>
            <w:pPr>
              <w:spacing w:after="0"/>
            </w:pPr>
            <w:r/>
            <w:r>
              <w:rPr>
                <w:sz w:val="17"/>
              </w:rPr>
              <w:t>0.10</w:t>
            </w:r>
          </w:p>
        </w:tc>
        <w:tc>
          <w:tcPr>
            <w:tcW w:type="dxa" w:w="1872"/>
          </w:tcPr>
          <w:p>
            <w:pPr>
              <w:spacing w:after="0"/>
            </w:pPr>
            <w:r/>
            <w:r>
              <w:rPr>
                <w:sz w:val="17"/>
              </w:rPr>
              <w:t>76.11</w:t>
            </w:r>
          </w:p>
        </w:tc>
        <w:tc>
          <w:tcPr>
            <w:tcW w:type="dxa" w:w="1872"/>
          </w:tcPr>
          <w:p>
            <w:pPr>
              <w:spacing w:after="0"/>
            </w:pPr>
            <w:r/>
            <w:r>
              <w:rPr>
                <w:sz w:val="17"/>
              </w:rPr>
              <w:t>150.79</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Foundation Models-LLM Wrappers</w:t>
            </w:r>
          </w:p>
        </w:tc>
        <w:tc>
          <w:tcPr>
            <w:tcW w:type="dxa" w:w="1872"/>
            <w:shd w:val="clear" w:color="auto" w:fill="EDF1F5"/>
          </w:tcPr>
          <w:p>
            <w:pPr>
              <w:spacing w:after="0"/>
            </w:pPr>
            <w:r/>
            <w:r>
              <w:rPr>
                <w:sz w:val="17"/>
              </w:rPr>
              <w:t>0.10</w:t>
            </w:r>
          </w:p>
        </w:tc>
        <w:tc>
          <w:tcPr>
            <w:tcW w:type="dxa" w:w="1872"/>
            <w:shd w:val="clear" w:color="auto" w:fill="EDF1F5"/>
          </w:tcPr>
          <w:p>
            <w:pPr>
              <w:spacing w:after="0"/>
            </w:pPr>
            <w:r/>
            <w:r>
              <w:rPr>
                <w:sz w:val="17"/>
              </w:rPr>
              <w:t>43.21</w:t>
            </w:r>
          </w:p>
        </w:tc>
        <w:tc>
          <w:tcPr>
            <w:tcW w:type="dxa" w:w="1872"/>
            <w:shd w:val="clear" w:color="auto" w:fill="EDF1F5"/>
          </w:tcPr>
          <w:p>
            <w:pPr>
              <w:spacing w:after="0"/>
            </w:pPr>
            <w:r/>
            <w:r>
              <w:rPr>
                <w:sz w:val="17"/>
              </w:rPr>
              <w:t>23.39</w:t>
            </w:r>
          </w:p>
        </w:tc>
        <w:tc>
          <w:tcPr>
            <w:tcW w:type="dxa" w:w="1872"/>
            <w:shd w:val="clear" w:color="auto" w:fill="EDF1F5"/>
          </w:tcPr>
          <w:p>
            <w:pPr>
              <w:spacing w:after="0"/>
            </w:pPr>
            <w:r/>
            <w:r>
              <w:rPr>
                <w:sz w:val="17"/>
              </w:rPr>
              <w:t>rank preserved (min Spearman 1.000)</w:t>
            </w:r>
          </w:p>
        </w:tc>
      </w:tr>
    </w:tbl>
    <w:p>
      <w:pPr>
        <w:spacing w:after="80"/>
      </w:pPr>
      <w:r>
        <w:rPr>
          <w:sz w:val="4"/>
        </w:rPr>
      </w:r>
    </w:p>
    <w:p>
      <w:pPr>
        <w:pStyle w:val="Heading2"/>
      </w:pPr>
      <w:r>
        <w:t>6.2  What drives game DWL: Saltelli decomposition (R4)</w:t>
      </w:r>
    </w:p>
    <w:p>
      <w:pPr>
        <w:spacing w:after="120"/>
      </w:pPr>
      <w:r>
        <w:rPr>
          <w:b w:val="0"/>
          <w:i w:val="0"/>
          <w:sz w:val="22"/>
        </w:rPr>
        <w:t>Variance-based Saltelli decomposition of core-game DWL over five calibrated primitives (independent Uniform ±20%, N=2048, 500 bootstraps; Table 8.4, Figure 10) finds Shared circularity the largest total-order driver (ST=0.99, 95% CI [0.95, 1.03]). Total-order indices materially exceed first-order ones throughout: DWL variance is driven more by interactions between primitives — chiefly equilibrium-regime switches — than by any single input. That interaction dominance is itself the substantive result: point-calibration precision matters less than getting the strategic structure right.</w:t>
      </w:r>
    </w:p>
    <w:p>
      <w:pPr>
        <w:keepNext/>
        <w:spacing w:before="200" w:after="40"/>
      </w:pPr>
      <w:r>
        <w:rPr>
          <w:b/>
          <w:color w:val="2C3E50"/>
          <w:sz w:val="20"/>
        </w:rPr>
        <w:t>Table 8.4: Saltelli Variance Decomposition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Parameter</w:t>
            </w:r>
          </w:p>
        </w:tc>
        <w:tc>
          <w:tcPr>
            <w:tcW w:type="dxa" w:w="1337"/>
            <w:tblHeader w:val="true"/>
            <w:shd w:val="clear" w:color="auto" w:fill="2C3E50"/>
          </w:tcPr>
          <w:p>
            <w:pPr>
              <w:jc w:val="center"/>
            </w:pPr>
            <w:r/>
            <w:r>
              <w:rPr>
                <w:b/>
                <w:color w:val="FFFFFF"/>
                <w:sz w:val="18"/>
              </w:rPr>
              <w:t>S1</w:t>
            </w:r>
          </w:p>
        </w:tc>
        <w:tc>
          <w:tcPr>
            <w:tcW w:type="dxa" w:w="1337"/>
            <w:tblHeader w:val="true"/>
            <w:shd w:val="clear" w:color="auto" w:fill="2C3E50"/>
          </w:tcPr>
          <w:p>
            <w:pPr>
              <w:jc w:val="center"/>
            </w:pPr>
            <w:r/>
            <w:r>
              <w:rPr>
                <w:b/>
                <w:color w:val="FFFFFF"/>
                <w:sz w:val="18"/>
              </w:rPr>
              <w:t>S1_95_lo</w:t>
            </w:r>
          </w:p>
        </w:tc>
        <w:tc>
          <w:tcPr>
            <w:tcW w:type="dxa" w:w="1337"/>
            <w:tblHeader w:val="true"/>
            <w:shd w:val="clear" w:color="auto" w:fill="2C3E50"/>
          </w:tcPr>
          <w:p>
            <w:pPr>
              <w:jc w:val="center"/>
            </w:pPr>
            <w:r/>
            <w:r>
              <w:rPr>
                <w:b/>
                <w:color w:val="FFFFFF"/>
                <w:sz w:val="18"/>
              </w:rPr>
              <w:t>S1_95_hi</w:t>
            </w:r>
          </w:p>
        </w:tc>
        <w:tc>
          <w:tcPr>
            <w:tcW w:type="dxa" w:w="1337"/>
            <w:tblHeader w:val="true"/>
            <w:shd w:val="clear" w:color="auto" w:fill="2C3E50"/>
          </w:tcPr>
          <w:p>
            <w:pPr>
              <w:jc w:val="center"/>
            </w:pPr>
            <w:r/>
            <w:r>
              <w:rPr>
                <w:b/>
                <w:color w:val="FFFFFF"/>
                <w:sz w:val="18"/>
              </w:rPr>
              <w:t>ST</w:t>
            </w:r>
          </w:p>
        </w:tc>
        <w:tc>
          <w:tcPr>
            <w:tcW w:type="dxa" w:w="1337"/>
            <w:tblHeader w:val="true"/>
            <w:shd w:val="clear" w:color="auto" w:fill="2C3E50"/>
          </w:tcPr>
          <w:p>
            <w:pPr>
              <w:jc w:val="center"/>
            </w:pPr>
            <w:r/>
            <w:r>
              <w:rPr>
                <w:b/>
                <w:color w:val="FFFFFF"/>
                <w:sz w:val="18"/>
              </w:rPr>
              <w:t>ST_95_lo</w:t>
            </w:r>
          </w:p>
        </w:tc>
        <w:tc>
          <w:tcPr>
            <w:tcW w:type="dxa" w:w="1337"/>
            <w:tblHeader w:val="true"/>
            <w:shd w:val="clear" w:color="auto" w:fill="2C3E50"/>
          </w:tcPr>
          <w:p>
            <w:pPr>
              <w:jc w:val="center"/>
            </w:pPr>
            <w:r/>
            <w:r>
              <w:rPr>
                <w:b/>
                <w:color w:val="FFFFFF"/>
                <w:sz w:val="18"/>
              </w:rPr>
              <w:t>ST_95_hi</w:t>
            </w:r>
          </w:p>
        </w:tc>
      </w:tr>
      <w:tr>
        <w:tc>
          <w:tcPr>
            <w:tcW w:type="dxa" w:w="1337"/>
          </w:tcPr>
          <w:p>
            <w:pPr>
              <w:spacing w:after="0"/>
            </w:pPr>
            <w:r/>
            <w:r>
              <w:rPr>
                <w:sz w:val="17"/>
              </w:rPr>
              <w:t>P1 revenue ($B)</w:t>
            </w:r>
          </w:p>
        </w:tc>
        <w:tc>
          <w:tcPr>
            <w:tcW w:type="dxa" w:w="1337"/>
          </w:tcPr>
          <w:p>
            <w:pPr>
              <w:spacing w:after="0"/>
            </w:pPr>
            <w:r/>
            <w:r>
              <w:rPr>
                <w:sz w:val="17"/>
              </w:rPr>
              <w:t>0.52</w:t>
            </w:r>
          </w:p>
        </w:tc>
        <w:tc>
          <w:tcPr>
            <w:tcW w:type="dxa" w:w="1337"/>
          </w:tcPr>
          <w:p>
            <w:pPr>
              <w:spacing w:after="0"/>
            </w:pPr>
            <w:r/>
            <w:r>
              <w:rPr>
                <w:sz w:val="17"/>
              </w:rPr>
              <w:t>0.44</w:t>
            </w:r>
          </w:p>
        </w:tc>
        <w:tc>
          <w:tcPr>
            <w:tcW w:type="dxa" w:w="1337"/>
          </w:tcPr>
          <w:p>
            <w:pPr>
              <w:spacing w:after="0"/>
            </w:pPr>
            <w:r/>
            <w:r>
              <w:rPr>
                <w:sz w:val="17"/>
              </w:rPr>
              <w:t>0.60</w:t>
            </w:r>
          </w:p>
        </w:tc>
        <w:tc>
          <w:tcPr>
            <w:tcW w:type="dxa" w:w="1337"/>
          </w:tcPr>
          <w:p>
            <w:pPr>
              <w:spacing w:after="0"/>
            </w:pPr>
            <w:r/>
            <w:r>
              <w:rPr>
                <w:sz w:val="17"/>
              </w:rPr>
              <w:t>0.47</w:t>
            </w:r>
          </w:p>
        </w:tc>
        <w:tc>
          <w:tcPr>
            <w:tcW w:type="dxa" w:w="1337"/>
          </w:tcPr>
          <w:p>
            <w:pPr>
              <w:spacing w:after="0"/>
            </w:pPr>
            <w:r/>
            <w:r>
              <w:rPr>
                <w:sz w:val="17"/>
              </w:rPr>
              <w:t>0.45</w:t>
            </w:r>
          </w:p>
        </w:tc>
        <w:tc>
          <w:tcPr>
            <w:tcW w:type="dxa" w:w="1337"/>
          </w:tcPr>
          <w:p>
            <w:pPr>
              <w:spacing w:after="0"/>
            </w:pPr>
            <w:r/>
            <w:r>
              <w:rPr>
                <w:sz w:val="17"/>
              </w:rPr>
              <w:t>0.50</w:t>
            </w:r>
          </w:p>
        </w:tc>
      </w:tr>
      <w:tr>
        <w:tc>
          <w:tcPr>
            <w:tcW w:type="dxa" w:w="1337"/>
            <w:shd w:val="clear" w:color="auto" w:fill="EDF1F5"/>
          </w:tcPr>
          <w:p>
            <w:pPr>
              <w:spacing w:after="0"/>
            </w:pPr>
            <w:r/>
            <w:r>
              <w:rPr>
                <w:sz w:val="17"/>
              </w:rPr>
              <w:t>P2 revenue ($B)</w:t>
            </w:r>
          </w:p>
        </w:tc>
        <w:tc>
          <w:tcPr>
            <w:tcW w:type="dxa" w:w="1337"/>
            <w:shd w:val="clear" w:color="auto" w:fill="EDF1F5"/>
          </w:tcPr>
          <w:p>
            <w:pPr>
              <w:spacing w:after="0"/>
            </w:pPr>
            <w:r/>
            <w:r>
              <w:rPr>
                <w:sz w:val="17"/>
              </w:rPr>
              <w:t>0.34</w:t>
            </w:r>
          </w:p>
        </w:tc>
        <w:tc>
          <w:tcPr>
            <w:tcW w:type="dxa" w:w="1337"/>
            <w:shd w:val="clear" w:color="auto" w:fill="EDF1F5"/>
          </w:tcPr>
          <w:p>
            <w:pPr>
              <w:spacing w:after="0"/>
            </w:pPr>
            <w:r/>
            <w:r>
              <w:rPr>
                <w:sz w:val="17"/>
              </w:rPr>
              <w:t>0.27</w:t>
            </w:r>
          </w:p>
        </w:tc>
        <w:tc>
          <w:tcPr>
            <w:tcW w:type="dxa" w:w="1337"/>
            <w:shd w:val="clear" w:color="auto" w:fill="EDF1F5"/>
          </w:tcPr>
          <w:p>
            <w:pPr>
              <w:spacing w:after="0"/>
            </w:pPr>
            <w:r/>
            <w:r>
              <w:rPr>
                <w:sz w:val="17"/>
              </w:rPr>
              <w:t>0.40</w:t>
            </w:r>
          </w:p>
        </w:tc>
        <w:tc>
          <w:tcPr>
            <w:tcW w:type="dxa" w:w="1337"/>
            <w:shd w:val="clear" w:color="auto" w:fill="EDF1F5"/>
          </w:tcPr>
          <w:p>
            <w:pPr>
              <w:spacing w:after="0"/>
            </w:pPr>
            <w:r/>
            <w:r>
              <w:rPr>
                <w:sz w:val="17"/>
              </w:rPr>
              <w:t>0.69</w:t>
            </w:r>
          </w:p>
        </w:tc>
        <w:tc>
          <w:tcPr>
            <w:tcW w:type="dxa" w:w="1337"/>
            <w:shd w:val="clear" w:color="auto" w:fill="EDF1F5"/>
          </w:tcPr>
          <w:p>
            <w:pPr>
              <w:spacing w:after="0"/>
            </w:pPr>
            <w:r/>
            <w:r>
              <w:rPr>
                <w:sz w:val="17"/>
              </w:rPr>
              <w:t>0.65</w:t>
            </w:r>
          </w:p>
        </w:tc>
        <w:tc>
          <w:tcPr>
            <w:tcW w:type="dxa" w:w="1337"/>
            <w:shd w:val="clear" w:color="auto" w:fill="EDF1F5"/>
          </w:tcPr>
          <w:p>
            <w:pPr>
              <w:spacing w:after="0"/>
            </w:pPr>
            <w:r/>
            <w:r>
              <w:rPr>
                <w:sz w:val="17"/>
              </w:rPr>
              <w:t>0.72</w:t>
            </w:r>
          </w:p>
        </w:tc>
      </w:tr>
      <w:tr>
        <w:tc>
          <w:tcPr>
            <w:tcW w:type="dxa" w:w="1337"/>
          </w:tcPr>
          <w:p>
            <w:pPr>
              <w:spacing w:after="0"/>
            </w:pPr>
            <w:r/>
            <w:r>
              <w:rPr>
                <w:sz w:val="17"/>
              </w:rPr>
              <w:t>P1 margin</w:t>
            </w:r>
          </w:p>
        </w:tc>
        <w:tc>
          <w:tcPr>
            <w:tcW w:type="dxa" w:w="1337"/>
          </w:tcPr>
          <w:p>
            <w:pPr>
              <w:spacing w:after="0"/>
            </w:pPr>
            <w:r/>
            <w:r>
              <w:rPr>
                <w:sz w:val="17"/>
              </w:rPr>
              <w:t>0.12</w:t>
            </w:r>
          </w:p>
        </w:tc>
        <w:tc>
          <w:tcPr>
            <w:tcW w:type="dxa" w:w="1337"/>
          </w:tcPr>
          <w:p>
            <w:pPr>
              <w:spacing w:after="0"/>
            </w:pPr>
            <w:r/>
            <w:r>
              <w:rPr>
                <w:sz w:val="17"/>
              </w:rPr>
              <w:t>0.07</w:t>
            </w:r>
          </w:p>
        </w:tc>
        <w:tc>
          <w:tcPr>
            <w:tcW w:type="dxa" w:w="1337"/>
          </w:tcPr>
          <w:p>
            <w:pPr>
              <w:spacing w:after="0"/>
            </w:pPr>
            <w:r/>
            <w:r>
              <w:rPr>
                <w:sz w:val="17"/>
              </w:rPr>
              <w:t>0.16</w:t>
            </w:r>
          </w:p>
        </w:tc>
        <w:tc>
          <w:tcPr>
            <w:tcW w:type="dxa" w:w="1337"/>
          </w:tcPr>
          <w:p>
            <w:pPr>
              <w:spacing w:after="0"/>
            </w:pPr>
            <w:r/>
            <w:r>
              <w:rPr>
                <w:sz w:val="17"/>
              </w:rPr>
              <w:t>0.87</w:t>
            </w:r>
          </w:p>
        </w:tc>
        <w:tc>
          <w:tcPr>
            <w:tcW w:type="dxa" w:w="1337"/>
          </w:tcPr>
          <w:p>
            <w:pPr>
              <w:spacing w:after="0"/>
            </w:pPr>
            <w:r/>
            <w:r>
              <w:rPr>
                <w:sz w:val="17"/>
              </w:rPr>
              <w:t>0.83</w:t>
            </w:r>
          </w:p>
        </w:tc>
        <w:tc>
          <w:tcPr>
            <w:tcW w:type="dxa" w:w="1337"/>
          </w:tcPr>
          <w:p>
            <w:pPr>
              <w:spacing w:after="0"/>
            </w:pPr>
            <w:r/>
            <w:r>
              <w:rPr>
                <w:sz w:val="17"/>
              </w:rPr>
              <w:t>0.91</w:t>
            </w:r>
          </w:p>
        </w:tc>
      </w:tr>
      <w:tr>
        <w:tc>
          <w:tcPr>
            <w:tcW w:type="dxa" w:w="1337"/>
            <w:shd w:val="clear" w:color="auto" w:fill="EDF1F5"/>
          </w:tcPr>
          <w:p>
            <w:pPr>
              <w:spacing w:after="0"/>
            </w:pPr>
            <w:r/>
            <w:r>
              <w:rPr>
                <w:sz w:val="17"/>
              </w:rPr>
              <w:t>P2 margin</w:t>
            </w:r>
          </w:p>
        </w:tc>
        <w:tc>
          <w:tcPr>
            <w:tcW w:type="dxa" w:w="1337"/>
            <w:shd w:val="clear" w:color="auto" w:fill="EDF1F5"/>
          </w:tcPr>
          <w:p>
            <w:pPr>
              <w:spacing w:after="0"/>
            </w:pPr>
            <w:r/>
            <w:r>
              <w:rPr>
                <w:sz w:val="17"/>
              </w:rPr>
              <w:t>0.03</w:t>
            </w:r>
          </w:p>
        </w:tc>
        <w:tc>
          <w:tcPr>
            <w:tcW w:type="dxa" w:w="1337"/>
            <w:shd w:val="clear" w:color="auto" w:fill="EDF1F5"/>
          </w:tcPr>
          <w:p>
            <w:pPr>
              <w:spacing w:after="0"/>
            </w:pPr>
            <w:r/>
            <w:r>
              <w:rPr>
                <w:sz w:val="17"/>
              </w:rPr>
              <w:t>0.01</w:t>
            </w:r>
          </w:p>
        </w:tc>
        <w:tc>
          <w:tcPr>
            <w:tcW w:type="dxa" w:w="1337"/>
            <w:shd w:val="clear" w:color="auto" w:fill="EDF1F5"/>
          </w:tcPr>
          <w:p>
            <w:pPr>
              <w:spacing w:after="0"/>
            </w:pPr>
            <w:r/>
            <w:r>
              <w:rPr>
                <w:sz w:val="17"/>
              </w:rPr>
              <w:t>0.06</w:t>
            </w:r>
          </w:p>
        </w:tc>
        <w:tc>
          <w:tcPr>
            <w:tcW w:type="dxa" w:w="1337"/>
            <w:shd w:val="clear" w:color="auto" w:fill="EDF1F5"/>
          </w:tcPr>
          <w:p>
            <w:pPr>
              <w:spacing w:after="0"/>
            </w:pPr>
            <w:r/>
            <w:r>
              <w:rPr>
                <w:sz w:val="17"/>
              </w:rPr>
              <w:t>0.94</w:t>
            </w:r>
          </w:p>
        </w:tc>
        <w:tc>
          <w:tcPr>
            <w:tcW w:type="dxa" w:w="1337"/>
            <w:shd w:val="clear" w:color="auto" w:fill="EDF1F5"/>
          </w:tcPr>
          <w:p>
            <w:pPr>
              <w:spacing w:after="0"/>
            </w:pPr>
            <w:r/>
            <w:r>
              <w:rPr>
                <w:sz w:val="17"/>
              </w:rPr>
              <w:t>0.90</w:t>
            </w:r>
          </w:p>
        </w:tc>
        <w:tc>
          <w:tcPr>
            <w:tcW w:type="dxa" w:w="1337"/>
            <w:shd w:val="clear" w:color="auto" w:fill="EDF1F5"/>
          </w:tcPr>
          <w:p>
            <w:pPr>
              <w:spacing w:after="0"/>
            </w:pPr>
            <w:r/>
            <w:r>
              <w:rPr>
                <w:sz w:val="17"/>
              </w:rPr>
              <w:t>0.98</w:t>
            </w:r>
          </w:p>
        </w:tc>
      </w:tr>
      <w:tr>
        <w:tc>
          <w:tcPr>
            <w:tcW w:type="dxa" w:w="1337"/>
          </w:tcPr>
          <w:p>
            <w:pPr>
              <w:spacing w:after="0"/>
            </w:pPr>
            <w:r/>
            <w:r>
              <w:rPr>
                <w:sz w:val="17"/>
              </w:rPr>
              <w:t>Shared circularity</w:t>
            </w:r>
          </w:p>
        </w:tc>
        <w:tc>
          <w:tcPr>
            <w:tcW w:type="dxa" w:w="1337"/>
          </w:tcPr>
          <w:p>
            <w:pPr>
              <w:spacing w:after="0"/>
            </w:pPr>
            <w:r/>
            <w:r>
              <w:rPr>
                <w:sz w:val="17"/>
              </w:rPr>
              <w:t>-0.00</w:t>
            </w:r>
          </w:p>
        </w:tc>
        <w:tc>
          <w:tcPr>
            <w:tcW w:type="dxa" w:w="1337"/>
          </w:tcPr>
          <w:p>
            <w:pPr>
              <w:spacing w:after="0"/>
            </w:pPr>
            <w:r/>
            <w:r>
              <w:rPr>
                <w:sz w:val="17"/>
              </w:rPr>
              <w:t>-0.01</w:t>
            </w:r>
          </w:p>
        </w:tc>
        <w:tc>
          <w:tcPr>
            <w:tcW w:type="dxa" w:w="1337"/>
          </w:tcPr>
          <w:p>
            <w:pPr>
              <w:spacing w:after="0"/>
            </w:pPr>
            <w:r/>
            <w:r>
              <w:rPr>
                <w:sz w:val="17"/>
              </w:rPr>
              <w:t>-0.00</w:t>
            </w:r>
          </w:p>
        </w:tc>
        <w:tc>
          <w:tcPr>
            <w:tcW w:type="dxa" w:w="1337"/>
          </w:tcPr>
          <w:p>
            <w:pPr>
              <w:spacing w:after="0"/>
            </w:pPr>
            <w:r/>
            <w:r>
              <w:rPr>
                <w:sz w:val="17"/>
              </w:rPr>
              <w:t>0.99</w:t>
            </w:r>
          </w:p>
        </w:tc>
        <w:tc>
          <w:tcPr>
            <w:tcW w:type="dxa" w:w="1337"/>
          </w:tcPr>
          <w:p>
            <w:pPr>
              <w:spacing w:after="0"/>
            </w:pPr>
            <w:r/>
            <w:r>
              <w:rPr>
                <w:sz w:val="17"/>
              </w:rPr>
              <w:t>0.95</w:t>
            </w:r>
          </w:p>
        </w:tc>
        <w:tc>
          <w:tcPr>
            <w:tcW w:type="dxa" w:w="1337"/>
          </w:tcPr>
          <w:p>
            <w:pPr>
              <w:spacing w:after="0"/>
            </w:pPr>
            <w:r/>
            <w:r>
              <w:rPr>
                <w:sz w:val="17"/>
              </w:rPr>
              <w:t>1.03</w:t>
            </w:r>
          </w:p>
        </w:tc>
      </w:tr>
    </w:tbl>
    <w:p>
      <w:pPr>
        <w:spacing w:after="80"/>
      </w:pPr>
      <w:r>
        <w:rPr>
          <w:sz w:val="4"/>
        </w:rPr>
      </w:r>
    </w:p>
    <w:p>
      <w:pPr>
        <w:keepNext/>
        <w:spacing w:before="200" w:after="40"/>
      </w:pPr>
      <w:r>
        <w:rPr>
          <w:b/>
          <w:color w:val="2C3E50"/>
          <w:sz w:val="20"/>
        </w:rPr>
        <w:t>Exhibit 6.x  Breakdown-frontier calibration: identified intervals for A3 rate maps and A8 logit weights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Block</w:t>
            </w:r>
          </w:p>
        </w:tc>
        <w:tc>
          <w:tcPr>
            <w:tcW w:type="dxa" w:w="1560"/>
            <w:tblHeader w:val="true"/>
            <w:shd w:val="clear" w:color="auto" w:fill="2C3E50"/>
          </w:tcPr>
          <w:p>
            <w:pPr>
              <w:jc w:val="center"/>
            </w:pPr>
            <w:r/>
            <w:r>
              <w:rPr>
                <w:b/>
                <w:color w:val="FFFFFF"/>
                <w:sz w:val="18"/>
              </w:rPr>
              <w:t>Parameter</w:t>
            </w:r>
          </w:p>
        </w:tc>
        <w:tc>
          <w:tcPr>
            <w:tcW w:type="dxa" w:w="1560"/>
            <w:tblHeader w:val="true"/>
            <w:shd w:val="clear" w:color="auto" w:fill="2C3E50"/>
          </w:tcPr>
          <w:p>
            <w:pPr>
              <w:jc w:val="center"/>
            </w:pPr>
            <w:r/>
            <w:r>
              <w:rPr>
                <w:b/>
                <w:color w:val="FFFFFF"/>
                <w:sz w:val="18"/>
              </w:rPr>
              <w:t>Base</w:t>
            </w:r>
          </w:p>
        </w:tc>
        <w:tc>
          <w:tcPr>
            <w:tcW w:type="dxa" w:w="1560"/>
            <w:tblHeader w:val="true"/>
            <w:shd w:val="clear" w:color="auto" w:fill="2C3E50"/>
          </w:tcPr>
          <w:p>
            <w:pPr>
              <w:jc w:val="center"/>
            </w:pPr>
            <w:r/>
            <w:r>
              <w:rPr>
                <w:b/>
                <w:color w:val="FFFFFF"/>
                <w:sz w:val="18"/>
              </w:rPr>
              <w:t>Ident_Low</w:t>
            </w:r>
          </w:p>
        </w:tc>
        <w:tc>
          <w:tcPr>
            <w:tcW w:type="dxa" w:w="1560"/>
            <w:tblHeader w:val="true"/>
            <w:shd w:val="clear" w:color="auto" w:fill="2C3E50"/>
          </w:tcPr>
          <w:p>
            <w:pPr>
              <w:jc w:val="center"/>
            </w:pPr>
            <w:r/>
            <w:r>
              <w:rPr>
                <w:b/>
                <w:color w:val="FFFFFF"/>
                <w:sz w:val="18"/>
              </w:rPr>
              <w:t>Ident_High</w:t>
            </w:r>
          </w:p>
        </w:tc>
        <w:tc>
          <w:tcPr>
            <w:tcW w:type="dxa" w:w="1560"/>
            <w:tblHeader w:val="true"/>
            <w:shd w:val="clear" w:color="auto" w:fill="2C3E50"/>
          </w:tcPr>
          <w:p>
            <w:pPr>
              <w:jc w:val="center"/>
            </w:pPr>
            <w:r/>
            <w:r>
              <w:rPr>
                <w:b/>
                <w:color w:val="FFFFFF"/>
                <w:sz w:val="18"/>
              </w:rPr>
              <w:t>Status</w:t>
            </w:r>
          </w:p>
        </w:tc>
      </w:tr>
      <w:tr>
        <w:tc>
          <w:tcPr>
            <w:tcW w:type="dxa" w:w="1560"/>
          </w:tcPr>
          <w:p>
            <w:pPr>
              <w:spacing w:after="0"/>
            </w:pPr>
            <w:r/>
            <w:r>
              <w:rPr>
                <w:sz w:val="17"/>
              </w:rPr>
              <w:t>A3 rate maps</w:t>
            </w:r>
          </w:p>
        </w:tc>
        <w:tc>
          <w:tcPr>
            <w:tcW w:type="dxa" w:w="1560"/>
          </w:tcPr>
          <w:p>
            <w:pPr>
              <w:spacing w:after="0"/>
            </w:pPr>
            <w:r/>
            <w:r>
              <w:rPr>
                <w:sz w:val="17"/>
              </w:rPr>
              <w:t>t_intercept</w:t>
            </w:r>
          </w:p>
        </w:tc>
        <w:tc>
          <w:tcPr>
            <w:tcW w:type="dxa" w:w="1560"/>
          </w:tcPr>
          <w:p>
            <w:pPr>
              <w:spacing w:after="0"/>
            </w:pPr>
            <w:r/>
            <w:r>
              <w:rPr>
                <w:sz w:val="17"/>
              </w:rPr>
              <w:t>0.10</w:t>
            </w:r>
          </w:p>
        </w:tc>
        <w:tc>
          <w:tcPr>
            <w:tcW w:type="dxa" w:w="1560"/>
          </w:tcPr>
          <w:p>
            <w:pPr>
              <w:spacing w:after="0"/>
            </w:pPr>
            <w:r/>
            <w:r>
              <w:rPr>
                <w:sz w:val="17"/>
              </w:rPr>
              <w:t>0</w:t>
            </w:r>
          </w:p>
        </w:tc>
        <w:tc>
          <w:tcPr>
            <w:tcW w:type="dxa" w:w="1560"/>
          </w:tcPr>
          <w:p>
            <w:pPr>
              <w:spacing w:after="0"/>
            </w:pPr>
            <w:r/>
            <w:r>
              <w:rPr>
                <w:sz w:val="17"/>
              </w:rPr>
              <w:t>0.30</w:t>
            </w:r>
          </w:p>
        </w:tc>
        <w:tc>
          <w:tcPr>
            <w:tcW w:type="dxa" w:w="1560"/>
          </w:tcPr>
          <w:p>
            <w:pPr>
              <w:spacing w:after="0"/>
            </w:pPr>
            <w:r/>
            <w:r>
              <w:rPr>
                <w:sz w:val="17"/>
              </w:rPr>
              <w:t>open-low+high</w:t>
            </w:r>
          </w:p>
        </w:tc>
      </w:tr>
      <w:tr>
        <w:tc>
          <w:tcPr>
            <w:tcW w:type="dxa" w:w="1560"/>
            <w:shd w:val="clear" w:color="auto" w:fill="EDF1F5"/>
          </w:tcPr>
          <w:p>
            <w:pPr>
              <w:spacing w:after="0"/>
            </w:pPr>
            <w:r/>
            <w:r>
              <w:rPr>
                <w:sz w:val="17"/>
              </w:rPr>
              <w:t>A3 rate maps</w:t>
            </w:r>
          </w:p>
        </w:tc>
        <w:tc>
          <w:tcPr>
            <w:tcW w:type="dxa" w:w="1560"/>
            <w:shd w:val="clear" w:color="auto" w:fill="EDF1F5"/>
          </w:tcPr>
          <w:p>
            <w:pPr>
              <w:spacing w:after="0"/>
            </w:pPr>
            <w:r/>
            <w:r>
              <w:rPr>
                <w:sz w:val="17"/>
              </w:rPr>
              <w:t>t_slope</w:t>
            </w:r>
          </w:p>
        </w:tc>
        <w:tc>
          <w:tcPr>
            <w:tcW w:type="dxa" w:w="1560"/>
            <w:shd w:val="clear" w:color="auto" w:fill="EDF1F5"/>
          </w:tcPr>
          <w:p>
            <w:pPr>
              <w:spacing w:after="0"/>
            </w:pPr>
            <w:r/>
            <w:r>
              <w:rPr>
                <w:sz w:val="17"/>
              </w:rPr>
              <w:t>0.40</w:t>
            </w:r>
          </w:p>
        </w:tc>
        <w:tc>
          <w:tcPr>
            <w:tcW w:type="dxa" w:w="1560"/>
            <w:shd w:val="clear" w:color="auto" w:fill="EDF1F5"/>
          </w:tcPr>
          <w:p>
            <w:pPr>
              <w:spacing w:after="0"/>
            </w:pPr>
            <w:r/>
            <w:r>
              <w:rPr>
                <w:sz w:val="17"/>
              </w:rPr>
              <w:t>0</w:t>
            </w:r>
          </w:p>
        </w:tc>
        <w:tc>
          <w:tcPr>
            <w:tcW w:type="dxa" w:w="1560"/>
            <w:shd w:val="clear" w:color="auto" w:fill="EDF1F5"/>
          </w:tcPr>
          <w:p>
            <w:pPr>
              <w:spacing w:after="0"/>
            </w:pPr>
            <w:r/>
            <w:r>
              <w:rPr>
                <w:sz w:val="17"/>
              </w:rPr>
              <w:t>1.20</w:t>
            </w:r>
          </w:p>
        </w:tc>
        <w:tc>
          <w:tcPr>
            <w:tcW w:type="dxa" w:w="1560"/>
            <w:shd w:val="clear" w:color="auto" w:fill="EDF1F5"/>
          </w:tcPr>
          <w:p>
            <w:pPr>
              <w:spacing w:after="0"/>
            </w:pPr>
            <w:r/>
            <w:r>
              <w:rPr>
                <w:sz w:val="17"/>
              </w:rPr>
              <w:t>open-low+high</w:t>
            </w:r>
          </w:p>
        </w:tc>
      </w:tr>
      <w:tr>
        <w:tc>
          <w:tcPr>
            <w:tcW w:type="dxa" w:w="1560"/>
          </w:tcPr>
          <w:p>
            <w:pPr>
              <w:spacing w:after="0"/>
            </w:pPr>
            <w:r/>
            <w:r>
              <w:rPr>
                <w:sz w:val="17"/>
              </w:rPr>
              <w:t>A3 rate maps</w:t>
            </w:r>
          </w:p>
        </w:tc>
        <w:tc>
          <w:tcPr>
            <w:tcW w:type="dxa" w:w="1560"/>
          </w:tcPr>
          <w:p>
            <w:pPr>
              <w:spacing w:after="0"/>
            </w:pPr>
            <w:r/>
            <w:r>
              <w:rPr>
                <w:sz w:val="17"/>
              </w:rPr>
              <w:t>s_intercept</w:t>
            </w:r>
          </w:p>
        </w:tc>
        <w:tc>
          <w:tcPr>
            <w:tcW w:type="dxa" w:w="1560"/>
          </w:tcPr>
          <w:p>
            <w:pPr>
              <w:spacing w:after="0"/>
            </w:pPr>
            <w:r/>
            <w:r>
              <w:rPr>
                <w:sz w:val="17"/>
              </w:rPr>
              <w:t>0.05</w:t>
            </w:r>
          </w:p>
        </w:tc>
        <w:tc>
          <w:tcPr>
            <w:tcW w:type="dxa" w:w="1560"/>
          </w:tcPr>
          <w:p>
            <w:pPr>
              <w:spacing w:after="0"/>
            </w:pPr>
            <w:r/>
            <w:r>
              <w:rPr>
                <w:sz w:val="17"/>
              </w:rPr>
              <w:t>0</w:t>
            </w:r>
          </w:p>
        </w:tc>
        <w:tc>
          <w:tcPr>
            <w:tcW w:type="dxa" w:w="1560"/>
          </w:tcPr>
          <w:p>
            <w:pPr>
              <w:spacing w:after="0"/>
            </w:pPr>
            <w:r/>
            <w:r>
              <w:rPr>
                <w:sz w:val="17"/>
              </w:rPr>
              <w:t>0.30</w:t>
            </w:r>
          </w:p>
        </w:tc>
        <w:tc>
          <w:tcPr>
            <w:tcW w:type="dxa" w:w="1560"/>
          </w:tcPr>
          <w:p>
            <w:pPr>
              <w:spacing w:after="0"/>
            </w:pPr>
            <w:r/>
            <w:r>
              <w:rPr>
                <w:sz w:val="17"/>
              </w:rPr>
              <w:t>open-low+high</w:t>
            </w:r>
          </w:p>
        </w:tc>
      </w:tr>
      <w:tr>
        <w:tc>
          <w:tcPr>
            <w:tcW w:type="dxa" w:w="1560"/>
            <w:shd w:val="clear" w:color="auto" w:fill="EDF1F5"/>
          </w:tcPr>
          <w:p>
            <w:pPr>
              <w:spacing w:after="0"/>
            </w:pPr>
            <w:r/>
            <w:r>
              <w:rPr>
                <w:sz w:val="17"/>
              </w:rPr>
              <w:t>A3 rate maps</w:t>
            </w:r>
          </w:p>
        </w:tc>
        <w:tc>
          <w:tcPr>
            <w:tcW w:type="dxa" w:w="1560"/>
            <w:shd w:val="clear" w:color="auto" w:fill="EDF1F5"/>
          </w:tcPr>
          <w:p>
            <w:pPr>
              <w:spacing w:after="0"/>
            </w:pPr>
            <w:r/>
            <w:r>
              <w:rPr>
                <w:sz w:val="17"/>
              </w:rPr>
              <w:t>s_slope</w:t>
            </w:r>
          </w:p>
        </w:tc>
        <w:tc>
          <w:tcPr>
            <w:tcW w:type="dxa" w:w="1560"/>
            <w:shd w:val="clear" w:color="auto" w:fill="EDF1F5"/>
          </w:tcPr>
          <w:p>
            <w:pPr>
              <w:spacing w:after="0"/>
            </w:pPr>
            <w:r/>
            <w:r>
              <w:rPr>
                <w:sz w:val="17"/>
              </w:rPr>
              <w:t>0.25</w:t>
            </w:r>
          </w:p>
        </w:tc>
        <w:tc>
          <w:tcPr>
            <w:tcW w:type="dxa" w:w="1560"/>
            <w:shd w:val="clear" w:color="auto" w:fill="EDF1F5"/>
          </w:tcPr>
          <w:p>
            <w:pPr>
              <w:spacing w:after="0"/>
            </w:pPr>
            <w:r/>
            <w:r>
              <w:rPr>
                <w:sz w:val="17"/>
              </w:rPr>
              <w:t>0</w:t>
            </w:r>
          </w:p>
        </w:tc>
        <w:tc>
          <w:tcPr>
            <w:tcW w:type="dxa" w:w="1560"/>
            <w:shd w:val="clear" w:color="auto" w:fill="EDF1F5"/>
          </w:tcPr>
          <w:p>
            <w:pPr>
              <w:spacing w:after="0"/>
            </w:pPr>
            <w:r/>
            <w:r>
              <w:rPr>
                <w:sz w:val="17"/>
              </w:rPr>
              <w:t>0.80</w:t>
            </w:r>
          </w:p>
        </w:tc>
        <w:tc>
          <w:tcPr>
            <w:tcW w:type="dxa" w:w="1560"/>
            <w:shd w:val="clear" w:color="auto" w:fill="EDF1F5"/>
          </w:tcPr>
          <w:p>
            <w:pPr>
              <w:spacing w:after="0"/>
            </w:pPr>
            <w:r/>
            <w:r>
              <w:rPr>
                <w:sz w:val="17"/>
              </w:rPr>
              <w:t>open-low+high</w:t>
            </w:r>
          </w:p>
        </w:tc>
      </w:tr>
      <w:tr>
        <w:tc>
          <w:tcPr>
            <w:tcW w:type="dxa" w:w="1560"/>
          </w:tcPr>
          <w:p>
            <w:pPr>
              <w:spacing w:after="0"/>
            </w:pPr>
            <w:r/>
            <w:r>
              <w:rPr>
                <w:sz w:val="17"/>
              </w:rPr>
              <w:t>A8 logit weights</w:t>
            </w:r>
          </w:p>
        </w:tc>
        <w:tc>
          <w:tcPr>
            <w:tcW w:type="dxa" w:w="1560"/>
          </w:tcPr>
          <w:p>
            <w:pPr>
              <w:spacing w:after="0"/>
            </w:pPr>
            <w:r/>
            <w:r>
              <w:rPr>
                <w:sz w:val="17"/>
              </w:rPr>
              <w:t>intercept</w:t>
            </w:r>
          </w:p>
        </w:tc>
        <w:tc>
          <w:tcPr>
            <w:tcW w:type="dxa" w:w="1560"/>
          </w:tcPr>
          <w:p>
            <w:pPr>
              <w:spacing w:after="0"/>
            </w:pPr>
            <w:r/>
            <w:r>
              <w:rPr>
                <w:sz w:val="17"/>
              </w:rPr>
              <w:t>-1.20</w:t>
            </w:r>
          </w:p>
        </w:tc>
        <w:tc>
          <w:tcPr>
            <w:tcW w:type="dxa" w:w="1560"/>
          </w:tcPr>
          <w:p>
            <w:pPr>
              <w:spacing w:after="0"/>
            </w:pPr>
            <w:r/>
            <w:r>
              <w:rPr>
                <w:sz w:val="17"/>
              </w:rPr>
              <w:t>-3</w:t>
            </w:r>
          </w:p>
        </w:tc>
        <w:tc>
          <w:tcPr>
            <w:tcW w:type="dxa" w:w="1560"/>
          </w:tcPr>
          <w:p>
            <w:pPr>
              <w:spacing w:after="0"/>
            </w:pPr>
            <w:r/>
            <w:r>
              <w:rPr>
                <w:sz w:val="17"/>
              </w:rPr>
              <w:t>0.50</w:t>
            </w:r>
          </w:p>
        </w:tc>
        <w:tc>
          <w:tcPr>
            <w:tcW w:type="dxa" w:w="1560"/>
          </w:tcPr>
          <w:p>
            <w:pPr>
              <w:spacing w:after="0"/>
            </w:pPr>
            <w:r/>
            <w:r>
              <w:rPr>
                <w:sz w:val="17"/>
              </w:rPr>
              <w:t>open-low+high</w:t>
            </w:r>
          </w:p>
        </w:tc>
      </w:tr>
      <w:tr>
        <w:tc>
          <w:tcPr>
            <w:tcW w:type="dxa" w:w="1560"/>
            <w:shd w:val="clear" w:color="auto" w:fill="EDF1F5"/>
          </w:tcPr>
          <w:p>
            <w:pPr>
              <w:spacing w:after="0"/>
            </w:pPr>
            <w:r/>
            <w:r>
              <w:rPr>
                <w:sz w:val="17"/>
              </w:rPr>
              <w:t>A8 logit weights</w:t>
            </w:r>
          </w:p>
        </w:tc>
        <w:tc>
          <w:tcPr>
            <w:tcW w:type="dxa" w:w="1560"/>
            <w:shd w:val="clear" w:color="auto" w:fill="EDF1F5"/>
          </w:tcPr>
          <w:p>
            <w:pPr>
              <w:spacing w:after="0"/>
            </w:pPr>
            <w:r/>
            <w:r>
              <w:rPr>
                <w:sz w:val="17"/>
              </w:rPr>
              <w:t>w_circ</w:t>
            </w:r>
          </w:p>
        </w:tc>
        <w:tc>
          <w:tcPr>
            <w:tcW w:type="dxa" w:w="1560"/>
            <w:shd w:val="clear" w:color="auto" w:fill="EDF1F5"/>
          </w:tcPr>
          <w:p>
            <w:pPr>
              <w:spacing w:after="0"/>
            </w:pPr>
            <w:r/>
            <w:r>
              <w:rPr>
                <w:sz w:val="17"/>
              </w:rPr>
              <w:t>1.60</w:t>
            </w:r>
          </w:p>
        </w:tc>
        <w:tc>
          <w:tcPr>
            <w:tcW w:type="dxa" w:w="1560"/>
            <w:shd w:val="clear" w:color="auto" w:fill="EDF1F5"/>
          </w:tcPr>
          <w:p>
            <w:pPr>
              <w:spacing w:after="0"/>
            </w:pPr>
            <w:r/>
            <w:r>
              <w:rPr>
                <w:sz w:val="17"/>
              </w:rPr>
              <w:t>0.74</w:t>
            </w:r>
          </w:p>
        </w:tc>
        <w:tc>
          <w:tcPr>
            <w:tcW w:type="dxa" w:w="1560"/>
            <w:shd w:val="clear" w:color="auto" w:fill="EDF1F5"/>
          </w:tcPr>
          <w:p>
            <w:pPr>
              <w:spacing w:after="0"/>
            </w:pPr>
            <w:r/>
            <w:r>
              <w:rPr>
                <w:sz w:val="17"/>
              </w:rPr>
              <w:t>3</w:t>
            </w:r>
          </w:p>
        </w:tc>
        <w:tc>
          <w:tcPr>
            <w:tcW w:type="dxa" w:w="1560"/>
            <w:shd w:val="clear" w:color="auto" w:fill="EDF1F5"/>
          </w:tcPr>
          <w:p>
            <w:pPr>
              <w:spacing w:after="0"/>
            </w:pPr>
            <w:r/>
            <w:r>
              <w:rPr>
                <w:sz w:val="17"/>
              </w:rPr>
              <w:t>open-high</w:t>
            </w:r>
          </w:p>
        </w:tc>
      </w:tr>
      <w:tr>
        <w:tc>
          <w:tcPr>
            <w:tcW w:type="dxa" w:w="1560"/>
          </w:tcPr>
          <w:p>
            <w:pPr>
              <w:spacing w:after="0"/>
            </w:pPr>
            <w:r/>
            <w:r>
              <w:rPr>
                <w:sz w:val="17"/>
              </w:rPr>
              <w:t>A8 logit weights</w:t>
            </w:r>
          </w:p>
        </w:tc>
        <w:tc>
          <w:tcPr>
            <w:tcW w:type="dxa" w:w="1560"/>
          </w:tcPr>
          <w:p>
            <w:pPr>
              <w:spacing w:after="0"/>
            </w:pPr>
            <w:r/>
            <w:r>
              <w:rPr>
                <w:sz w:val="17"/>
              </w:rPr>
              <w:t>w_capex</w:t>
            </w:r>
          </w:p>
        </w:tc>
        <w:tc>
          <w:tcPr>
            <w:tcW w:type="dxa" w:w="1560"/>
          </w:tcPr>
          <w:p>
            <w:pPr>
              <w:spacing w:after="0"/>
            </w:pPr>
            <w:r/>
            <w:r>
              <w:rPr>
                <w:sz w:val="17"/>
              </w:rPr>
              <w:t>0.90</w:t>
            </w:r>
          </w:p>
        </w:tc>
        <w:tc>
          <w:tcPr>
            <w:tcW w:type="dxa" w:w="1560"/>
          </w:tcPr>
          <w:p>
            <w:pPr>
              <w:spacing w:after="0"/>
            </w:pPr>
            <w:r/>
            <w:r>
              <w:rPr>
                <w:sz w:val="17"/>
              </w:rPr>
              <w:t>0.35</w:t>
            </w:r>
          </w:p>
        </w:tc>
        <w:tc>
          <w:tcPr>
            <w:tcW w:type="dxa" w:w="1560"/>
          </w:tcPr>
          <w:p>
            <w:pPr>
              <w:spacing w:after="0"/>
            </w:pPr>
            <w:r/>
            <w:r>
              <w:rPr>
                <w:sz w:val="17"/>
              </w:rPr>
              <w:t>2.63</w:t>
            </w:r>
          </w:p>
        </w:tc>
        <w:tc>
          <w:tcPr>
            <w:tcW w:type="dxa" w:w="1560"/>
          </w:tcPr>
          <w:p>
            <w:pPr>
              <w:spacing w:after="0"/>
            </w:pPr>
            <w:r/>
            <w:r>
              <w:rPr>
                <w:sz w:val="17"/>
              </w:rPr>
              <w:t>interior</w:t>
            </w:r>
          </w:p>
        </w:tc>
      </w:tr>
      <w:tr>
        <w:tc>
          <w:tcPr>
            <w:tcW w:type="dxa" w:w="1560"/>
            <w:shd w:val="clear" w:color="auto" w:fill="EDF1F5"/>
          </w:tcPr>
          <w:p>
            <w:pPr>
              <w:spacing w:after="0"/>
            </w:pPr>
            <w:r/>
            <w:r>
              <w:rPr>
                <w:sz w:val="17"/>
              </w:rPr>
              <w:t>A8 logit weights</w:t>
            </w:r>
          </w:p>
        </w:tc>
        <w:tc>
          <w:tcPr>
            <w:tcW w:type="dxa" w:w="1560"/>
            <w:shd w:val="clear" w:color="auto" w:fill="EDF1F5"/>
          </w:tcPr>
          <w:p>
            <w:pPr>
              <w:spacing w:after="0"/>
            </w:pPr>
            <w:r/>
            <w:r>
              <w:rPr>
                <w:sz w:val="17"/>
              </w:rPr>
              <w:t>w_hhi</w:t>
            </w:r>
          </w:p>
        </w:tc>
        <w:tc>
          <w:tcPr>
            <w:tcW w:type="dxa" w:w="1560"/>
            <w:shd w:val="clear" w:color="auto" w:fill="EDF1F5"/>
          </w:tcPr>
          <w:p>
            <w:pPr>
              <w:spacing w:after="0"/>
            </w:pPr>
            <w:r/>
            <w:r>
              <w:rPr>
                <w:sz w:val="17"/>
              </w:rPr>
              <w:t>0.70</w:t>
            </w:r>
          </w:p>
        </w:tc>
        <w:tc>
          <w:tcPr>
            <w:tcW w:type="dxa" w:w="1560"/>
            <w:shd w:val="clear" w:color="auto" w:fill="EDF1F5"/>
          </w:tcPr>
          <w:p>
            <w:pPr>
              <w:spacing w:after="0"/>
            </w:pPr>
            <w:r/>
            <w:r>
              <w:rPr>
                <w:sz w:val="17"/>
              </w:rPr>
              <w:t>0.10</w:t>
            </w:r>
          </w:p>
        </w:tc>
        <w:tc>
          <w:tcPr>
            <w:tcW w:type="dxa" w:w="1560"/>
            <w:shd w:val="clear" w:color="auto" w:fill="EDF1F5"/>
          </w:tcPr>
          <w:p>
            <w:pPr>
              <w:spacing w:after="0"/>
            </w:pPr>
            <w:r/>
            <w:r>
              <w:rPr>
                <w:sz w:val="17"/>
              </w:rPr>
              <w:t>1.67</w:t>
            </w:r>
          </w:p>
        </w:tc>
        <w:tc>
          <w:tcPr>
            <w:tcW w:type="dxa" w:w="1560"/>
            <w:shd w:val="clear" w:color="auto" w:fill="EDF1F5"/>
          </w:tcPr>
          <w:p>
            <w:pPr>
              <w:spacing w:after="0"/>
            </w:pPr>
            <w:r/>
            <w:r>
              <w:rPr>
                <w:sz w:val="17"/>
              </w:rPr>
              <w:t>interior</w:t>
            </w:r>
          </w:p>
        </w:tc>
      </w:tr>
      <w:tr>
        <w:tc>
          <w:tcPr>
            <w:tcW w:type="dxa" w:w="1560"/>
          </w:tcPr>
          <w:p>
            <w:pPr>
              <w:spacing w:after="0"/>
            </w:pPr>
            <w:r/>
            <w:r>
              <w:rPr>
                <w:sz w:val="17"/>
              </w:rPr>
              <w:t>A8 logit weights</w:t>
            </w:r>
          </w:p>
        </w:tc>
        <w:tc>
          <w:tcPr>
            <w:tcW w:type="dxa" w:w="1560"/>
          </w:tcPr>
          <w:p>
            <w:pPr>
              <w:spacing w:after="0"/>
            </w:pPr>
            <w:r/>
            <w:r>
              <w:rPr>
                <w:sz w:val="17"/>
              </w:rPr>
              <w:t>w_exub</w:t>
            </w:r>
          </w:p>
        </w:tc>
        <w:tc>
          <w:tcPr>
            <w:tcW w:type="dxa" w:w="1560"/>
          </w:tcPr>
          <w:p>
            <w:pPr>
              <w:spacing w:after="0"/>
            </w:pPr>
            <w:r/>
            <w:r>
              <w:rPr>
                <w:sz w:val="17"/>
              </w:rPr>
              <w:t>0.80</w:t>
            </w:r>
          </w:p>
        </w:tc>
        <w:tc>
          <w:tcPr>
            <w:tcW w:type="dxa" w:w="1560"/>
          </w:tcPr>
          <w:p>
            <w:pPr>
              <w:spacing w:after="0"/>
            </w:pPr>
            <w:r/>
            <w:r>
              <w:rPr>
                <w:sz w:val="17"/>
              </w:rPr>
              <w:t>0</w:t>
            </w:r>
          </w:p>
        </w:tc>
        <w:tc>
          <w:tcPr>
            <w:tcW w:type="dxa" w:w="1560"/>
          </w:tcPr>
          <w:p>
            <w:pPr>
              <w:spacing w:after="0"/>
            </w:pPr>
            <w:r/>
            <w:r>
              <w:rPr>
                <w:sz w:val="17"/>
              </w:rPr>
              <w:t>1.04</w:t>
            </w:r>
          </w:p>
        </w:tc>
        <w:tc>
          <w:tcPr>
            <w:tcW w:type="dxa" w:w="1560"/>
          </w:tcPr>
          <w:p>
            <w:pPr>
              <w:spacing w:after="0"/>
            </w:pPr>
            <w:r/>
            <w:r>
              <w:rPr>
                <w:sz w:val="17"/>
              </w:rPr>
              <w:t>open-low</w:t>
            </w:r>
          </w:p>
        </w:tc>
      </w:tr>
    </w:tbl>
    <w:p>
      <w:pPr>
        <w:spacing w:after="80"/>
      </w:pPr>
      <w:r>
        <w:rPr>
          <w:sz w:val="4"/>
        </w:rPr>
      </w:r>
    </w:p>
    <w:p>
      <w:pPr>
        <w:spacing w:after="120"/>
      </w:pPr>
      <w:r>
        <w:rPr>
          <w:b w:val="0"/>
          <w:i w:val="0"/>
          <w:sz w:val="21"/>
        </w:rPr>
        <w:t>Nine coefficients calibrated by coordinate bisection; 2 have interior (two-sided) identified intervals (w_capex, w_hhi) and the rest are open on at least one side. Wide intervals mean the published Nash positions and formation order do not hang on the judgment values; the two-sided intervals mark where re-estimation would matter most.</w:t>
      </w:r>
    </w:p>
    <w:p>
      <w:pPr>
        <w:keepNext/>
        <w:spacing w:before="200" w:after="40"/>
      </w:pPr>
      <w:r>
        <w:rPr>
          <w:b/>
          <w:color w:val="184A71"/>
          <w:sz w:val="21"/>
        </w:rPr>
        <w:t>Analytical insights — robustness</w:t>
      </w:r>
    </w:p>
    <w:p>
      <w:pPr>
        <w:spacing w:before="40" w:after="140"/>
        <w:ind w:left="173"/>
        <w:shd w:val="clear" w:color="auto" w:fill="EAF1F8"/>
        <w:pBdr>
          <w:left w:val="single" w:sz="18" w:space="4" w:color="1F4E79"/>
        </w:pBdr>
      </w:pPr>
      <w:r>
        <w:rPr>
          <w:b/>
          <w:color w:val="184A71"/>
          <w:sz w:val="20"/>
        </w:rPr>
        <w:t xml:space="preserve">Equilibria independently cross-validated.  </w:t>
      </w:r>
      <w:r>
        <w:rPr>
          <w:color w:val="1A2B3C"/>
          <w:sz w:val="20"/>
        </w:rPr>
        <w:t>Every reported Nash equilibrium was re-enumerated by an independent brute-force implementation (direct dominance checks, no shared code with the solver): 6/6 positions match, 6/6 counts match. The game solutions are verified, not merely computed.</w:t>
      </w:r>
    </w:p>
    <w:p>
      <w:pPr>
        <w:spacing w:before="40" w:after="140"/>
        <w:ind w:left="173"/>
        <w:shd w:val="clear" w:color="auto" w:fill="EAF1F8"/>
        <w:pBdr>
          <w:left w:val="single" w:sz="18" w:space="4" w:color="1F4E79"/>
        </w:pBdr>
      </w:pPr>
      <w:r>
        <w:rPr>
          <w:b/>
          <w:color w:val="184A71"/>
          <w:sz w:val="20"/>
        </w:rPr>
        <w:t xml:space="preserve">Simulation converged by the book.  </w:t>
      </w:r>
      <w:r>
        <w:rPr>
          <w:color w:val="1A2B3C"/>
          <w:sz w:val="20"/>
        </w:rPr>
        <w:t>Per-game Monte-Carlo standard errors and split-half consistency were computed from the stored draw distributions: Cloud Providers-Foundation Models=adequate, Cloud Providers-LLM Wrappers=adequate, Foundation Models-LLM Wrappers=adequate, Hardware-Cloud Providers=adequate, Hardware-Foundation Models=adequate, Hardware-LLM Wrappers=adequate. R-hat is deliberately not used — for IID draws it is ~1 by construction and proves nothing (Vehtari et al. 2021). All games adequate or check-level.</w:t>
      </w:r>
    </w:p>
    <w:p>
      <w:pPr>
        <w:spacing w:before="40" w:after="140"/>
        <w:ind w:left="173"/>
        <w:shd w:val="clear" w:color="auto" w:fill="EAF1F8"/>
        <w:pBdr>
          <w:left w:val="single" w:sz="18" w:space="4" w:color="1F4E79"/>
        </w:pBdr>
      </w:pPr>
      <w:r>
        <w:rPr>
          <w:b/>
          <w:color w:val="184A71"/>
          <w:sz w:val="20"/>
        </w:rPr>
        <w:t xml:space="preserve">How sensitive the headline loss is.  </w:t>
      </w:r>
      <w:r>
        <w:rPr>
          <w:color w:val="1A2B3C"/>
          <w:sz w:val="20"/>
        </w:rPr>
        <w:t>The sensitivity elasticity is 1.41: a 1% change in the market-implied DWL assumption moves the dollar deadweight loss by about 1.41%. Results of this leverage should be read as orders of magnitude, not decimals — the directional story (which games fail, which sources dominate) is stable even if the point estimate of $416.8B carries wide uncertainty.</w:t>
      </w:r>
    </w:p>
    <w:p>
      <w:pPr>
        <w:spacing w:before="40" w:after="140"/>
        <w:ind w:left="173"/>
        <w:shd w:val="clear" w:color="auto" w:fill="EAF1F8"/>
        <w:pBdr>
          <w:left w:val="single" w:sz="18" w:space="4" w:color="1F4E79"/>
        </w:pBdr>
      </w:pPr>
      <w:r>
        <w:rPr>
          <w:b/>
          <w:color w:val="184A71"/>
          <w:sz w:val="20"/>
        </w:rPr>
        <w:t xml:space="preserve">Equilibrium stability under noise.  </w:t>
      </w:r>
      <w:r>
        <w:rPr>
          <w:color w:val="1A2B3C"/>
          <w:sz w:val="20"/>
        </w:rPr>
        <w:t>Across the Monte-Carlo draws the equilibrium reproduces in 64.7% of perturbed payoffs (sensitive to payoff noise). Low stability would signal knife-edge payoffs where small shocks — a price change, a new chip generation — flip the game; high stability says the defect-lock-in is structural, not incidental.</w:t>
      </w:r>
    </w:p>
    <w:tbl>
      <w:tblPr>
        <w:tblStyle w:val="TableGrid"/>
        <w:tblW w:type="auto" w:w="0"/>
        <w:tblLayout w:type="autofit"/>
        <w:tblLook w:firstColumn="1" w:firstRow="1" w:lastColumn="0" w:lastRow="0" w:noHBand="0" w:noVBand="1" w:val="04A0"/>
      </w:tblPr>
      <w:tblGrid>
        <w:gridCol w:w="4680"/>
        <w:gridCol w:w="4680"/>
      </w:tblGrid>
      <w:tr>
        <w:tc>
          <w:tcPr>
            <w:tcW w:type="dxa" w:w="1800"/>
            <w:shd w:val="clear" w:color="auto" w:fill="EDF1F5"/>
          </w:tcPr>
          <w:p>
            <w:r/>
            <w:r>
              <w:rPr>
                <w:b/>
                <w:color w:val="2C3E50"/>
                <w:sz w:val="20"/>
              </w:rPr>
              <w:t>Module</w:t>
            </w:r>
          </w:p>
        </w:tc>
        <w:tc>
          <w:tcPr>
            <w:tcW w:type="dxa" w:w="7560"/>
          </w:tcPr>
          <w:p>
            <w:r/>
            <w:r>
              <w:rPr>
                <w:sz w:val="20"/>
              </w:rPr>
              <w:t>MonteCarloSimulator, SensitivityAnalysis, RobustnessBattery, StructuralEstimationAnalyzer</w:t>
            </w:r>
          </w:p>
        </w:tc>
      </w:tr>
      <w:tr>
        <w:tc>
          <w:tcPr>
            <w:tcW w:type="dxa" w:w="1800"/>
            <w:shd w:val="clear" w:color="auto" w:fill="EDF1F5"/>
          </w:tcPr>
          <w:p>
            <w:r/>
            <w:r>
              <w:rPr>
                <w:b/>
                <w:color w:val="2C3E50"/>
                <w:sz w:val="20"/>
              </w:rPr>
              <w:t>Outputs</w:t>
            </w:r>
          </w:p>
        </w:tc>
        <w:tc>
          <w:tcPr>
            <w:tcW w:type="dxa" w:w="7560"/>
          </w:tcPr>
          <w:p>
            <w:r/>
            <w:r>
              <w:rPr>
                <w:sz w:val="20"/>
              </w:rPr>
              <w:t>Table 4.1 (MC + calibration), Tables 8.1–8.4 (validation battery); Figures 8–10.</w:t>
            </w:r>
          </w:p>
        </w:tc>
      </w:tr>
      <w:tr>
        <w:tc>
          <w:tcPr>
            <w:tcW w:type="dxa" w:w="1800"/>
            <w:shd w:val="clear" w:color="auto" w:fill="EDF1F5"/>
          </w:tcPr>
          <w:p>
            <w:r/>
            <w:r>
              <w:rPr>
                <w:b/>
                <w:color w:val="2C3E50"/>
                <w:sz w:val="20"/>
              </w:rPr>
              <w:t>Inference</w:t>
            </w:r>
          </w:p>
        </w:tc>
        <w:tc>
          <w:tcPr>
            <w:tcW w:type="dxa" w:w="7560"/>
          </w:tcPr>
          <w:p>
            <w:r/>
            <w:r>
              <w:rPr>
                <w:sz w:val="20"/>
              </w:rPr>
              <w:t>Equilibria reproduce in 64.7% of perturbed payoffs; DWL elasticity 1.41; top total-order driver Shared circularity (ST=0.99). Ranks hold while levels move.</w:t>
            </w:r>
          </w:p>
        </w:tc>
      </w:tr>
      <w:tr>
        <w:tc>
          <w:tcPr>
            <w:tcW w:type="dxa" w:w="1800"/>
            <w:shd w:val="clear" w:color="auto" w:fill="EDF1F5"/>
          </w:tcPr>
          <w:p>
            <w:r/>
            <w:r>
              <w:rPr>
                <w:b/>
                <w:color w:val="2C3E50"/>
                <w:sz w:val="20"/>
              </w:rPr>
              <w:t>Implication</w:t>
            </w:r>
          </w:p>
        </w:tc>
        <w:tc>
          <w:tcPr>
            <w:tcW w:type="dxa" w:w="7560"/>
          </w:tcPr>
          <w:p>
            <w:r/>
            <w:r>
              <w:rPr>
                <w:sz w:val="20"/>
              </w:rPr>
              <w:t>Cite ranks and orders of magnitude, not point estimates; any welfare claim that collapses outside the ±20% band is not publication-grade.</w:t>
            </w:r>
          </w:p>
        </w:tc>
      </w:tr>
    </w:tbl>
    <w:p>
      <w:pPr>
        <w:spacing w:after="80"/>
      </w:pPr>
    </w:p>
    <w:p>
      <w:pPr>
        <w:keepNext/>
        <w:spacing w:before="160"/>
        <w:jc w:val="center"/>
      </w:pPr>
      <w:r>
        <w:drawing>
          <wp:inline xmlns:a="http://schemas.openxmlformats.org/drawingml/2006/main" xmlns:pic="http://schemas.openxmlformats.org/drawingml/2006/picture">
            <wp:extent cx="5760720" cy="2160270"/>
            <wp:docPr id="14" name="Picture 14" descr="Figure 8: Monte Carlo Convergence [Panels: (a), (b)]"/>
            <wp:cNvGraphicFramePr>
              <a:graphicFrameLocks noChangeAspect="1"/>
            </wp:cNvGraphicFramePr>
            <a:graphic>
              <a:graphicData uri="http://schemas.openxmlformats.org/drawingml/2006/picture">
                <pic:pic>
                  <pic:nvPicPr>
                    <pic:cNvPr id="0" name="figure_8.jpg"/>
                    <pic:cNvPicPr/>
                  </pic:nvPicPr>
                  <pic:blipFill>
                    <a:blip r:embed="rId24"/>
                    <a:stretch>
                      <a:fillRect/>
                    </a:stretch>
                  </pic:blipFill>
                  <pic:spPr>
                    <a:xfrm>
                      <a:off x="0" y="0"/>
                      <a:ext cx="5760720" cy="2160270"/>
                    </a:xfrm>
                    <a:prstGeom prst="rect"/>
                  </pic:spPr>
                </pic:pic>
              </a:graphicData>
            </a:graphic>
          </wp:inline>
        </w:drawing>
      </w:r>
    </w:p>
    <w:p>
      <w:pPr>
        <w:spacing w:after="200"/>
        <w:jc w:val="center"/>
      </w:pPr>
      <w:r>
        <w:rPr>
          <w:i/>
          <w:color w:val="404040"/>
          <w:sz w:val="18"/>
        </w:rPr>
        <w:t>Figure 8: Monte Carlo Convergence [Panels: (a), (b)]</w:t>
      </w:r>
    </w:p>
    <w:p>
      <w:pPr>
        <w:keepNext/>
        <w:spacing w:before="160"/>
        <w:jc w:val="center"/>
      </w:pPr>
      <w:r>
        <w:drawing>
          <wp:inline xmlns:a="http://schemas.openxmlformats.org/drawingml/2006/main" xmlns:pic="http://schemas.openxmlformats.org/drawingml/2006/picture">
            <wp:extent cx="5760720" cy="3820200"/>
            <wp:docPr id="15" name="Picture 15" descr="Figure 9: Sensitivity Response (schematic)"/>
            <wp:cNvGraphicFramePr>
              <a:graphicFrameLocks noChangeAspect="1"/>
            </wp:cNvGraphicFramePr>
            <a:graphic>
              <a:graphicData uri="http://schemas.openxmlformats.org/drawingml/2006/picture">
                <pic:pic>
                  <pic:nvPicPr>
                    <pic:cNvPr id="0" name="figure_9.jpg"/>
                    <pic:cNvPicPr/>
                  </pic:nvPicPr>
                  <pic:blipFill>
                    <a:blip r:embed="rId25"/>
                    <a:stretch>
                      <a:fillRect/>
                    </a:stretch>
                  </pic:blipFill>
                  <pic:spPr>
                    <a:xfrm>
                      <a:off x="0" y="0"/>
                      <a:ext cx="5760720" cy="3820200"/>
                    </a:xfrm>
                    <a:prstGeom prst="rect"/>
                  </pic:spPr>
                </pic:pic>
              </a:graphicData>
            </a:graphic>
          </wp:inline>
        </w:drawing>
      </w:r>
    </w:p>
    <w:p>
      <w:pPr>
        <w:spacing w:after="200"/>
        <w:jc w:val="center"/>
      </w:pPr>
      <w:r>
        <w:rPr>
          <w:i/>
          <w:color w:val="404040"/>
          <w:sz w:val="18"/>
        </w:rPr>
        <w:t>Figure 9: Sensitivity Response (schematic)</w:t>
      </w:r>
    </w:p>
    <w:p>
      <w:pPr>
        <w:keepNext/>
        <w:spacing w:before="160"/>
        <w:jc w:val="center"/>
      </w:pPr>
      <w:r>
        <w:drawing>
          <wp:inline xmlns:a="http://schemas.openxmlformats.org/drawingml/2006/main" xmlns:pic="http://schemas.openxmlformats.org/drawingml/2006/picture">
            <wp:extent cx="5760720" cy="3821278"/>
            <wp:docPr id="16" name="Picture 16" descr="Figure 10: Sobol Indices (schematic)"/>
            <wp:cNvGraphicFramePr>
              <a:graphicFrameLocks noChangeAspect="1"/>
            </wp:cNvGraphicFramePr>
            <a:graphic>
              <a:graphicData uri="http://schemas.openxmlformats.org/drawingml/2006/picture">
                <pic:pic>
                  <pic:nvPicPr>
                    <pic:cNvPr id="0" name="figure_10.jpg"/>
                    <pic:cNvPicPr/>
                  </pic:nvPicPr>
                  <pic:blipFill>
                    <a:blip r:embed="rId26"/>
                    <a:stretch>
                      <a:fillRect/>
                    </a:stretch>
                  </pic:blipFill>
                  <pic:spPr>
                    <a:xfrm>
                      <a:off x="0" y="0"/>
                      <a:ext cx="5760720" cy="3821278"/>
                    </a:xfrm>
                    <a:prstGeom prst="rect"/>
                  </pic:spPr>
                </pic:pic>
              </a:graphicData>
            </a:graphic>
          </wp:inline>
        </w:drawing>
      </w:r>
    </w:p>
    <w:p>
      <w:pPr>
        <w:spacing w:after="200"/>
        <w:jc w:val="center"/>
      </w:pPr>
      <w:r>
        <w:rPr>
          <w:i/>
          <w:color w:val="404040"/>
          <w:sz w:val="18"/>
        </w:rPr>
        <w:t>Figure 10: Sobol Indices (schematic)</w:t>
      </w:r>
    </w:p>
    <w:p>
      <w:r>
        <w:br w:type="page"/>
      </w:r>
    </w:p>
    <w:p>
      <w:pPr>
        <w:pStyle w:val="Heading1"/>
      </w:pPr>
      <w:r>
        <w:t>7.  Risk, Stability and Cooperation</w:t>
      </w:r>
    </w:p>
    <w:p>
      <w:pPr>
        <w:pStyle w:val="Heading2"/>
      </w:pPr>
      <w:r>
        <w:t>7.1  Cooperative game: Shapley allocation</w:t>
      </w:r>
    </w:p>
    <w:p>
      <w:pPr>
        <w:keepNext/>
        <w:spacing w:before="200" w:after="40"/>
      </w:pPr>
      <w:r>
        <w:rPr>
          <w:b/>
          <w:color w:val="2C3E50"/>
          <w:sz w:val="20"/>
        </w:rPr>
        <w:t>Exhibit 7.1  Shapley value allocation (computed by build_technical_report.py)</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Player category</w:t>
            </w:r>
          </w:p>
        </w:tc>
        <w:tc>
          <w:tcPr>
            <w:tcW w:type="dxa" w:w="3120"/>
            <w:tblHeader w:val="true"/>
            <w:shd w:val="clear" w:color="auto" w:fill="2C3E50"/>
          </w:tcPr>
          <w:p>
            <w:pPr>
              <w:jc w:val="center"/>
            </w:pPr>
            <w:r/>
            <w:r>
              <w:rPr>
                <w:b/>
                <w:color w:val="FFFFFF"/>
                <w:sz w:val="20"/>
              </w:rPr>
              <w:t>Shapley value ($B)</w:t>
            </w:r>
          </w:p>
        </w:tc>
        <w:tc>
          <w:tcPr>
            <w:tcW w:type="dxa" w:w="3120"/>
            <w:tblHeader w:val="true"/>
            <w:shd w:val="clear" w:color="auto" w:fill="2C3E50"/>
          </w:tcPr>
          <w:p>
            <w:pPr>
              <w:jc w:val="center"/>
            </w:pPr>
            <w:r/>
            <w:r>
              <w:rPr>
                <w:b/>
                <w:color w:val="FFFFFF"/>
                <w:sz w:val="20"/>
              </w:rPr>
              <w:t>Share (%)</w:t>
            </w:r>
          </w:p>
        </w:tc>
      </w:tr>
      <w:tr>
        <w:tc>
          <w:tcPr>
            <w:tcW w:type="dxa" w:w="3120"/>
          </w:tcPr>
          <w:p>
            <w:pPr>
              <w:spacing w:after="0"/>
            </w:pPr>
            <w:r/>
            <w:r>
              <w:rPr>
                <w:sz w:val="19"/>
              </w:rPr>
              <w:t>Hardware</w:t>
            </w:r>
          </w:p>
        </w:tc>
        <w:tc>
          <w:tcPr>
            <w:tcW w:type="dxa" w:w="3120"/>
          </w:tcPr>
          <w:p>
            <w:pPr>
              <w:spacing w:after="0"/>
            </w:pPr>
            <w:r/>
            <w:r>
              <w:rPr>
                <w:sz w:val="19"/>
              </w:rPr>
              <w:t>583.8</w:t>
            </w:r>
          </w:p>
        </w:tc>
        <w:tc>
          <w:tcPr>
            <w:tcW w:type="dxa" w:w="3120"/>
          </w:tcPr>
          <w:p>
            <w:pPr>
              <w:spacing w:after="0"/>
            </w:pPr>
            <w:r/>
            <w:r>
              <w:rPr>
                <w:sz w:val="19"/>
              </w:rPr>
              <w:t>43.4</w:t>
            </w:r>
          </w:p>
        </w:tc>
      </w:tr>
      <w:tr>
        <w:tc>
          <w:tcPr>
            <w:tcW w:type="dxa" w:w="3120"/>
            <w:shd w:val="clear" w:color="auto" w:fill="EDF1F5"/>
          </w:tcPr>
          <w:p>
            <w:pPr>
              <w:spacing w:after="0"/>
            </w:pPr>
            <w:r/>
            <w:r>
              <w:rPr>
                <w:sz w:val="19"/>
              </w:rPr>
              <w:t>Cloud Providers</w:t>
            </w:r>
          </w:p>
        </w:tc>
        <w:tc>
          <w:tcPr>
            <w:tcW w:type="dxa" w:w="3120"/>
            <w:shd w:val="clear" w:color="auto" w:fill="EDF1F5"/>
          </w:tcPr>
          <w:p>
            <w:pPr>
              <w:spacing w:after="0"/>
            </w:pPr>
            <w:r/>
            <w:r>
              <w:rPr>
                <w:sz w:val="19"/>
              </w:rPr>
              <w:t>520.1</w:t>
            </w:r>
          </w:p>
        </w:tc>
        <w:tc>
          <w:tcPr>
            <w:tcW w:type="dxa" w:w="3120"/>
            <w:shd w:val="clear" w:color="auto" w:fill="EDF1F5"/>
          </w:tcPr>
          <w:p>
            <w:pPr>
              <w:spacing w:after="0"/>
            </w:pPr>
            <w:r/>
            <w:r>
              <w:rPr>
                <w:sz w:val="19"/>
              </w:rPr>
              <w:t>38.7</w:t>
            </w:r>
          </w:p>
        </w:tc>
      </w:tr>
      <w:tr>
        <w:tc>
          <w:tcPr>
            <w:tcW w:type="dxa" w:w="3120"/>
          </w:tcPr>
          <w:p>
            <w:pPr>
              <w:spacing w:after="0"/>
            </w:pPr>
            <w:r/>
            <w:r>
              <w:rPr>
                <w:sz w:val="19"/>
              </w:rPr>
              <w:t>Foundation Models</w:t>
            </w:r>
          </w:p>
        </w:tc>
        <w:tc>
          <w:tcPr>
            <w:tcW w:type="dxa" w:w="3120"/>
          </w:tcPr>
          <w:p>
            <w:pPr>
              <w:spacing w:after="0"/>
            </w:pPr>
            <w:r/>
            <w:r>
              <w:rPr>
                <w:sz w:val="19"/>
              </w:rPr>
              <w:t>159.5</w:t>
            </w:r>
          </w:p>
        </w:tc>
        <w:tc>
          <w:tcPr>
            <w:tcW w:type="dxa" w:w="3120"/>
          </w:tcPr>
          <w:p>
            <w:pPr>
              <w:spacing w:after="0"/>
            </w:pPr>
            <w:r/>
            <w:r>
              <w:rPr>
                <w:sz w:val="19"/>
              </w:rPr>
              <w:t>11.9</w:t>
            </w:r>
          </w:p>
        </w:tc>
      </w:tr>
      <w:tr>
        <w:tc>
          <w:tcPr>
            <w:tcW w:type="dxa" w:w="3120"/>
            <w:shd w:val="clear" w:color="auto" w:fill="EDF1F5"/>
          </w:tcPr>
          <w:p>
            <w:pPr>
              <w:spacing w:after="0"/>
            </w:pPr>
            <w:r/>
            <w:r>
              <w:rPr>
                <w:sz w:val="19"/>
              </w:rPr>
              <w:t>LLM Wrappers</w:t>
            </w:r>
          </w:p>
        </w:tc>
        <w:tc>
          <w:tcPr>
            <w:tcW w:type="dxa" w:w="3120"/>
            <w:shd w:val="clear" w:color="auto" w:fill="EDF1F5"/>
          </w:tcPr>
          <w:p>
            <w:pPr>
              <w:spacing w:after="0"/>
            </w:pPr>
            <w:r/>
            <w:r>
              <w:rPr>
                <w:sz w:val="19"/>
              </w:rPr>
              <w:t>81.4</w:t>
            </w:r>
          </w:p>
        </w:tc>
        <w:tc>
          <w:tcPr>
            <w:tcW w:type="dxa" w:w="3120"/>
            <w:shd w:val="clear" w:color="auto" w:fill="EDF1F5"/>
          </w:tcPr>
          <w:p>
            <w:pPr>
              <w:spacing w:after="0"/>
            </w:pPr>
            <w:r/>
            <w:r>
              <w:rPr>
                <w:sz w:val="19"/>
              </w:rPr>
              <w:t>6.1</w:t>
            </w:r>
          </w:p>
        </w:tc>
      </w:tr>
    </w:tbl>
    <w:p>
      <w:pPr>
        <w:spacing w:after="80"/>
      </w:pPr>
      <w:r>
        <w:rPr>
          <w:sz w:val="4"/>
        </w:rPr>
      </w:r>
    </w:p>
    <w:p>
      <w:pPr>
        <w:spacing w:after="120"/>
      </w:pPr>
      <w:r>
        <w:rPr>
          <w:b w:val="0"/>
          <w:i w:val="0"/>
          <w:sz w:val="21"/>
        </w:rPr>
        <w:t>Grand-coalition value $1,344.9B vs. sum of standalone values $1,034.5B → cooperative surplus $310.4B.</w:t>
      </w:r>
    </w:p>
    <w:p>
      <w:pPr>
        <w:keepNext/>
        <w:spacing w:before="200" w:after="40"/>
      </w:pPr>
      <w:r>
        <w:rPr>
          <w:b/>
          <w:color w:val="2C3E50"/>
          <w:sz w:val="20"/>
        </w:rPr>
        <w:t>Table 5.4b: Shapley Value Allocation (Cooperative Game)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Player</w:t>
            </w:r>
          </w:p>
        </w:tc>
        <w:tc>
          <w:tcPr>
            <w:tcW w:type="dxa" w:w="1872"/>
            <w:tblHeader w:val="true"/>
            <w:shd w:val="clear" w:color="auto" w:fill="2C3E50"/>
          </w:tcPr>
          <w:p>
            <w:pPr>
              <w:jc w:val="center"/>
            </w:pPr>
            <w:r/>
            <w:r>
              <w:rPr>
                <w:b/>
                <w:color w:val="FFFFFF"/>
                <w:sz w:val="18"/>
              </w:rPr>
              <w:t>Original Value ($B)</w:t>
            </w:r>
          </w:p>
        </w:tc>
        <w:tc>
          <w:tcPr>
            <w:tcW w:type="dxa" w:w="1872"/>
            <w:tblHeader w:val="true"/>
            <w:shd w:val="clear" w:color="auto" w:fill="2C3E50"/>
          </w:tcPr>
          <w:p>
            <w:pPr>
              <w:jc w:val="center"/>
            </w:pPr>
            <w:r/>
            <w:r>
              <w:rPr>
                <w:b/>
                <w:color w:val="FFFFFF"/>
                <w:sz w:val="18"/>
              </w:rPr>
              <w:t>Shapley Value ($B)</w:t>
            </w:r>
          </w:p>
        </w:tc>
        <w:tc>
          <w:tcPr>
            <w:tcW w:type="dxa" w:w="1872"/>
            <w:tblHeader w:val="true"/>
            <w:shd w:val="clear" w:color="auto" w:fill="2C3E50"/>
          </w:tcPr>
          <w:p>
            <w:pPr>
              <w:jc w:val="center"/>
            </w:pPr>
            <w:r/>
            <w:r>
              <w:rPr>
                <w:b/>
                <w:color w:val="FFFFFF"/>
                <w:sz w:val="18"/>
              </w:rPr>
              <w:t>Gain/Loss ($B)</w:t>
            </w:r>
          </w:p>
        </w:tc>
        <w:tc>
          <w:tcPr>
            <w:tcW w:type="dxa" w:w="1872"/>
            <w:tblHeader w:val="true"/>
            <w:shd w:val="clear" w:color="auto" w:fill="2C3E50"/>
          </w:tcPr>
          <w:p>
            <w:pPr>
              <w:jc w:val="center"/>
            </w:pPr>
            <w:r/>
            <w:r>
              <w:rPr>
                <w:b/>
                <w:color w:val="FFFFFF"/>
                <w:sz w:val="18"/>
              </w:rPr>
              <w:t>Share of Total (%)</w:t>
            </w:r>
          </w:p>
        </w:tc>
      </w:tr>
      <w:tr>
        <w:tc>
          <w:tcPr>
            <w:tcW w:type="dxa" w:w="1872"/>
          </w:tcPr>
          <w:p>
            <w:pPr>
              <w:spacing w:after="0"/>
            </w:pPr>
            <w:r/>
            <w:r>
              <w:rPr>
                <w:sz w:val="17"/>
              </w:rPr>
              <w:t>Cloud Providers</w:t>
            </w:r>
          </w:p>
        </w:tc>
        <w:tc>
          <w:tcPr>
            <w:tcW w:type="dxa" w:w="1872"/>
          </w:tcPr>
          <w:p>
            <w:pPr>
              <w:spacing w:after="0"/>
            </w:pPr>
            <w:r/>
            <w:r>
              <w:rPr>
                <w:sz w:val="17"/>
              </w:rPr>
              <w:t>417</w:t>
            </w:r>
          </w:p>
        </w:tc>
        <w:tc>
          <w:tcPr>
            <w:tcW w:type="dxa" w:w="1872"/>
          </w:tcPr>
          <w:p>
            <w:pPr>
              <w:spacing w:after="0"/>
            </w:pPr>
            <w:r/>
            <w:r>
              <w:rPr>
                <w:sz w:val="17"/>
              </w:rPr>
              <w:t>520.14</w:t>
            </w:r>
          </w:p>
        </w:tc>
        <w:tc>
          <w:tcPr>
            <w:tcW w:type="dxa" w:w="1872"/>
          </w:tcPr>
          <w:p>
            <w:pPr>
              <w:spacing w:after="0"/>
            </w:pPr>
            <w:r/>
            <w:r>
              <w:rPr>
                <w:sz w:val="17"/>
              </w:rPr>
              <w:t>103.14</w:t>
            </w:r>
          </w:p>
        </w:tc>
        <w:tc>
          <w:tcPr>
            <w:tcW w:type="dxa" w:w="1872"/>
          </w:tcPr>
          <w:p>
            <w:pPr>
              <w:spacing w:after="0"/>
            </w:pPr>
            <w:r/>
            <w:r>
              <w:rPr>
                <w:sz w:val="17"/>
              </w:rPr>
              <w:t>38.70</w:t>
            </w:r>
          </w:p>
        </w:tc>
      </w:tr>
      <w:tr>
        <w:tc>
          <w:tcPr>
            <w:tcW w:type="dxa" w:w="1872"/>
            <w:shd w:val="clear" w:color="auto" w:fill="EDF1F5"/>
          </w:tcPr>
          <w:p>
            <w:pPr>
              <w:spacing w:after="0"/>
            </w:pPr>
            <w:r/>
            <w:r>
              <w:rPr>
                <w:sz w:val="17"/>
              </w:rPr>
              <w:t>Foundation Models</w:t>
            </w:r>
          </w:p>
        </w:tc>
        <w:tc>
          <w:tcPr>
            <w:tcW w:type="dxa" w:w="1872"/>
            <w:shd w:val="clear" w:color="auto" w:fill="EDF1F5"/>
          </w:tcPr>
          <w:p>
            <w:pPr>
              <w:spacing w:after="0"/>
            </w:pPr>
            <w:r/>
            <w:r>
              <w:rPr>
                <w:sz w:val="17"/>
              </w:rPr>
              <w:t>106.50</w:t>
            </w:r>
          </w:p>
        </w:tc>
        <w:tc>
          <w:tcPr>
            <w:tcW w:type="dxa" w:w="1872"/>
            <w:shd w:val="clear" w:color="auto" w:fill="EDF1F5"/>
          </w:tcPr>
          <w:p>
            <w:pPr>
              <w:spacing w:after="0"/>
            </w:pPr>
            <w:r/>
            <w:r>
              <w:rPr>
                <w:sz w:val="17"/>
              </w:rPr>
              <w:t>159.49</w:t>
            </w:r>
          </w:p>
        </w:tc>
        <w:tc>
          <w:tcPr>
            <w:tcW w:type="dxa" w:w="1872"/>
            <w:shd w:val="clear" w:color="auto" w:fill="EDF1F5"/>
          </w:tcPr>
          <w:p>
            <w:pPr>
              <w:spacing w:after="0"/>
            </w:pPr>
            <w:r/>
            <w:r>
              <w:rPr>
                <w:sz w:val="17"/>
              </w:rPr>
              <w:t>52.99</w:t>
            </w:r>
          </w:p>
        </w:tc>
        <w:tc>
          <w:tcPr>
            <w:tcW w:type="dxa" w:w="1872"/>
            <w:shd w:val="clear" w:color="auto" w:fill="EDF1F5"/>
          </w:tcPr>
          <w:p>
            <w:pPr>
              <w:spacing w:after="0"/>
            </w:pPr>
            <w:r/>
            <w:r>
              <w:rPr>
                <w:sz w:val="17"/>
              </w:rPr>
              <w:t>11.90</w:t>
            </w:r>
          </w:p>
        </w:tc>
      </w:tr>
      <w:tr>
        <w:tc>
          <w:tcPr>
            <w:tcW w:type="dxa" w:w="1872"/>
          </w:tcPr>
          <w:p>
            <w:pPr>
              <w:spacing w:after="0"/>
            </w:pPr>
            <w:r/>
            <w:r>
              <w:rPr>
                <w:sz w:val="17"/>
              </w:rPr>
              <w:t>Hardware</w:t>
            </w:r>
          </w:p>
        </w:tc>
        <w:tc>
          <w:tcPr>
            <w:tcW w:type="dxa" w:w="1872"/>
          </w:tcPr>
          <w:p>
            <w:pPr>
              <w:spacing w:after="0"/>
            </w:pPr>
            <w:r/>
            <w:r>
              <w:rPr>
                <w:sz w:val="17"/>
              </w:rPr>
              <w:t>475</w:t>
            </w:r>
          </w:p>
        </w:tc>
        <w:tc>
          <w:tcPr>
            <w:tcW w:type="dxa" w:w="1872"/>
          </w:tcPr>
          <w:p>
            <w:pPr>
              <w:spacing w:after="0"/>
            </w:pPr>
            <w:r/>
            <w:r>
              <w:rPr>
                <w:sz w:val="17"/>
              </w:rPr>
              <w:t>583.78</w:t>
            </w:r>
          </w:p>
        </w:tc>
        <w:tc>
          <w:tcPr>
            <w:tcW w:type="dxa" w:w="1872"/>
          </w:tcPr>
          <w:p>
            <w:pPr>
              <w:spacing w:after="0"/>
            </w:pPr>
            <w:r/>
            <w:r>
              <w:rPr>
                <w:sz w:val="17"/>
              </w:rPr>
              <w:t>108.78</w:t>
            </w:r>
          </w:p>
        </w:tc>
        <w:tc>
          <w:tcPr>
            <w:tcW w:type="dxa" w:w="1872"/>
          </w:tcPr>
          <w:p>
            <w:pPr>
              <w:spacing w:after="0"/>
            </w:pPr>
            <w:r/>
            <w:r>
              <w:rPr>
                <w:sz w:val="17"/>
              </w:rPr>
              <w:t>43.40</w:t>
            </w:r>
          </w:p>
        </w:tc>
      </w:tr>
      <w:tr>
        <w:tc>
          <w:tcPr>
            <w:tcW w:type="dxa" w:w="1872"/>
            <w:shd w:val="clear" w:color="auto" w:fill="EDF1F5"/>
          </w:tcPr>
          <w:p>
            <w:pPr>
              <w:spacing w:after="0"/>
            </w:pPr>
            <w:r/>
            <w:r>
              <w:rPr>
                <w:sz w:val="17"/>
              </w:rPr>
              <w:t>LLM Wrappers</w:t>
            </w:r>
          </w:p>
        </w:tc>
        <w:tc>
          <w:tcPr>
            <w:tcW w:type="dxa" w:w="1872"/>
            <w:shd w:val="clear" w:color="auto" w:fill="EDF1F5"/>
          </w:tcPr>
          <w:p>
            <w:pPr>
              <w:spacing w:after="0"/>
            </w:pPr>
            <w:r/>
            <w:r>
              <w:rPr>
                <w:sz w:val="17"/>
              </w:rPr>
              <w:t>36</w:t>
            </w:r>
          </w:p>
        </w:tc>
        <w:tc>
          <w:tcPr>
            <w:tcW w:type="dxa" w:w="1872"/>
            <w:shd w:val="clear" w:color="auto" w:fill="EDF1F5"/>
          </w:tcPr>
          <w:p>
            <w:pPr>
              <w:spacing w:after="0"/>
            </w:pPr>
            <w:r/>
            <w:r>
              <w:rPr>
                <w:sz w:val="17"/>
              </w:rPr>
              <w:t>81.44</w:t>
            </w:r>
          </w:p>
        </w:tc>
        <w:tc>
          <w:tcPr>
            <w:tcW w:type="dxa" w:w="1872"/>
            <w:shd w:val="clear" w:color="auto" w:fill="EDF1F5"/>
          </w:tcPr>
          <w:p>
            <w:pPr>
              <w:spacing w:after="0"/>
            </w:pPr>
            <w:r/>
            <w:r>
              <w:rPr>
                <w:sz w:val="17"/>
              </w:rPr>
              <w:t>45.44</w:t>
            </w:r>
          </w:p>
        </w:tc>
        <w:tc>
          <w:tcPr>
            <w:tcW w:type="dxa" w:w="1872"/>
            <w:shd w:val="clear" w:color="auto" w:fill="EDF1F5"/>
          </w:tcPr>
          <w:p>
            <w:pPr>
              <w:spacing w:after="0"/>
            </w:pPr>
            <w:r/>
            <w:r>
              <w:rPr>
                <w:sz w:val="17"/>
              </w:rPr>
              <w:t>6.10</w:t>
            </w:r>
          </w:p>
        </w:tc>
      </w:tr>
    </w:tbl>
    <w:p>
      <w:pPr>
        <w:spacing w:after="80"/>
      </w:pPr>
      <w:r>
        <w:rPr>
          <w:sz w:val="4"/>
        </w:rPr>
      </w:r>
    </w:p>
    <w:p>
      <w:pPr>
        <w:spacing w:after="120"/>
      </w:pPr>
      <w:r>
        <w:rPr>
          <w:b w:val="0"/>
          <w:i w:val="0"/>
          <w:sz w:val="21"/>
        </w:rPr>
        <w:t>Table 7.18 sets each archetype's Shapley share against its revenue share: positive gaps mark players whose cooperative value exceeds their standalone weight — the cooperative counterfactual to the Nash outcomes of Section 4. The figure plots both shares with the gap annotated.</w:t>
      </w:r>
    </w:p>
    <w:p>
      <w:pPr>
        <w:keepNext/>
        <w:spacing w:before="200" w:after="40"/>
      </w:pPr>
      <w:r>
        <w:rPr>
          <w:b/>
          <w:color w:val="2C3E50"/>
          <w:sz w:val="20"/>
        </w:rPr>
        <w:t>Table 7.18: Shapley Share vs Revenue Share (Bargaining vs Size)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Archetype</w:t>
            </w:r>
          </w:p>
        </w:tc>
        <w:tc>
          <w:tcPr>
            <w:tcW w:type="dxa" w:w="2340"/>
            <w:tblHeader w:val="true"/>
            <w:shd w:val="clear" w:color="auto" w:fill="2C3E50"/>
          </w:tcPr>
          <w:p>
            <w:pPr>
              <w:jc w:val="center"/>
            </w:pPr>
            <w:r/>
            <w:r>
              <w:rPr>
                <w:b/>
                <w:color w:val="FFFFFF"/>
                <w:sz w:val="20"/>
              </w:rPr>
              <w:t>Revenue Share (%)</w:t>
            </w:r>
          </w:p>
        </w:tc>
        <w:tc>
          <w:tcPr>
            <w:tcW w:type="dxa" w:w="2340"/>
            <w:tblHeader w:val="true"/>
            <w:shd w:val="clear" w:color="auto" w:fill="2C3E50"/>
          </w:tcPr>
          <w:p>
            <w:pPr>
              <w:jc w:val="center"/>
            </w:pPr>
            <w:r/>
            <w:r>
              <w:rPr>
                <w:b/>
                <w:color w:val="FFFFFF"/>
                <w:sz w:val="20"/>
              </w:rPr>
              <w:t>Shapley Share (%)</w:t>
            </w:r>
          </w:p>
        </w:tc>
        <w:tc>
          <w:tcPr>
            <w:tcW w:type="dxa" w:w="2340"/>
            <w:tblHeader w:val="true"/>
            <w:shd w:val="clear" w:color="auto" w:fill="2C3E50"/>
          </w:tcPr>
          <w:p>
            <w:pPr>
              <w:jc w:val="center"/>
            </w:pPr>
            <w:r/>
            <w:r>
              <w:rPr>
                <w:b/>
                <w:color w:val="FFFFFF"/>
                <w:sz w:val="20"/>
              </w:rPr>
              <w:t>Gap (pp, Shapley − Revenue)</w:t>
            </w:r>
          </w:p>
        </w:tc>
      </w:tr>
      <w:tr>
        <w:tc>
          <w:tcPr>
            <w:tcW w:type="dxa" w:w="2340"/>
          </w:tcPr>
          <w:p>
            <w:pPr>
              <w:spacing w:after="0"/>
            </w:pPr>
            <w:r/>
            <w:r>
              <w:rPr>
                <w:sz w:val="19"/>
              </w:rPr>
              <w:t>Hardware</w:t>
            </w:r>
          </w:p>
        </w:tc>
        <w:tc>
          <w:tcPr>
            <w:tcW w:type="dxa" w:w="2340"/>
          </w:tcPr>
          <w:p>
            <w:pPr>
              <w:spacing w:after="0"/>
            </w:pPr>
            <w:r/>
            <w:r>
              <w:rPr>
                <w:sz w:val="19"/>
              </w:rPr>
              <w:t>45.90</w:t>
            </w:r>
          </w:p>
        </w:tc>
        <w:tc>
          <w:tcPr>
            <w:tcW w:type="dxa" w:w="2340"/>
          </w:tcPr>
          <w:p>
            <w:pPr>
              <w:spacing w:after="0"/>
            </w:pPr>
            <w:r/>
            <w:r>
              <w:rPr>
                <w:sz w:val="19"/>
              </w:rPr>
              <w:t>43.40</w:t>
            </w:r>
          </w:p>
        </w:tc>
        <w:tc>
          <w:tcPr>
            <w:tcW w:type="dxa" w:w="2340"/>
          </w:tcPr>
          <w:p>
            <w:pPr>
              <w:spacing w:after="0"/>
            </w:pPr>
            <w:r/>
            <w:r>
              <w:rPr>
                <w:sz w:val="19"/>
              </w:rPr>
              <w:t>-2.50</w:t>
            </w:r>
          </w:p>
        </w:tc>
      </w:tr>
      <w:tr>
        <w:tc>
          <w:tcPr>
            <w:tcW w:type="dxa" w:w="2340"/>
            <w:shd w:val="clear" w:color="auto" w:fill="EDF1F5"/>
          </w:tcPr>
          <w:p>
            <w:pPr>
              <w:spacing w:after="0"/>
            </w:pPr>
            <w:r/>
            <w:r>
              <w:rPr>
                <w:sz w:val="19"/>
              </w:rPr>
              <w:t>Cloud Providers</w:t>
            </w:r>
          </w:p>
        </w:tc>
        <w:tc>
          <w:tcPr>
            <w:tcW w:type="dxa" w:w="2340"/>
            <w:shd w:val="clear" w:color="auto" w:fill="EDF1F5"/>
          </w:tcPr>
          <w:p>
            <w:pPr>
              <w:spacing w:after="0"/>
            </w:pPr>
            <w:r/>
            <w:r>
              <w:rPr>
                <w:sz w:val="19"/>
              </w:rPr>
              <w:t>40.30</w:t>
            </w:r>
          </w:p>
        </w:tc>
        <w:tc>
          <w:tcPr>
            <w:tcW w:type="dxa" w:w="2340"/>
            <w:shd w:val="clear" w:color="auto" w:fill="EDF1F5"/>
          </w:tcPr>
          <w:p>
            <w:pPr>
              <w:spacing w:after="0"/>
            </w:pPr>
            <w:r/>
            <w:r>
              <w:rPr>
                <w:sz w:val="19"/>
              </w:rPr>
              <w:t>38.70</w:t>
            </w:r>
          </w:p>
        </w:tc>
        <w:tc>
          <w:tcPr>
            <w:tcW w:type="dxa" w:w="2340"/>
            <w:shd w:val="clear" w:color="auto" w:fill="EDF1F5"/>
          </w:tcPr>
          <w:p>
            <w:pPr>
              <w:spacing w:after="0"/>
            </w:pPr>
            <w:r/>
            <w:r>
              <w:rPr>
                <w:sz w:val="19"/>
              </w:rPr>
              <w:t>-1.60</w:t>
            </w:r>
          </w:p>
        </w:tc>
      </w:tr>
      <w:tr>
        <w:tc>
          <w:tcPr>
            <w:tcW w:type="dxa" w:w="2340"/>
          </w:tcPr>
          <w:p>
            <w:pPr>
              <w:spacing w:after="0"/>
            </w:pPr>
            <w:r/>
            <w:r>
              <w:rPr>
                <w:sz w:val="19"/>
              </w:rPr>
              <w:t>Foundation Models</w:t>
            </w:r>
          </w:p>
        </w:tc>
        <w:tc>
          <w:tcPr>
            <w:tcW w:type="dxa" w:w="2340"/>
          </w:tcPr>
          <w:p>
            <w:pPr>
              <w:spacing w:after="0"/>
            </w:pPr>
            <w:r/>
            <w:r>
              <w:rPr>
                <w:sz w:val="19"/>
              </w:rPr>
              <w:t>10.30</w:t>
            </w:r>
          </w:p>
        </w:tc>
        <w:tc>
          <w:tcPr>
            <w:tcW w:type="dxa" w:w="2340"/>
          </w:tcPr>
          <w:p>
            <w:pPr>
              <w:spacing w:after="0"/>
            </w:pPr>
            <w:r/>
            <w:r>
              <w:rPr>
                <w:sz w:val="19"/>
              </w:rPr>
              <w:t>11.90</w:t>
            </w:r>
          </w:p>
        </w:tc>
        <w:tc>
          <w:tcPr>
            <w:tcW w:type="dxa" w:w="2340"/>
          </w:tcPr>
          <w:p>
            <w:pPr>
              <w:spacing w:after="0"/>
            </w:pPr>
            <w:r/>
            <w:r>
              <w:rPr>
                <w:sz w:val="19"/>
              </w:rPr>
              <w:t>1.60</w:t>
            </w:r>
          </w:p>
        </w:tc>
      </w:tr>
      <w:tr>
        <w:tc>
          <w:tcPr>
            <w:tcW w:type="dxa" w:w="2340"/>
            <w:shd w:val="clear" w:color="auto" w:fill="EDF1F5"/>
          </w:tcPr>
          <w:p>
            <w:pPr>
              <w:spacing w:after="0"/>
            </w:pPr>
            <w:r/>
            <w:r>
              <w:rPr>
                <w:sz w:val="19"/>
              </w:rPr>
              <w:t>LLM Wrappers</w:t>
            </w:r>
          </w:p>
        </w:tc>
        <w:tc>
          <w:tcPr>
            <w:tcW w:type="dxa" w:w="2340"/>
            <w:shd w:val="clear" w:color="auto" w:fill="EDF1F5"/>
          </w:tcPr>
          <w:p>
            <w:pPr>
              <w:spacing w:after="0"/>
            </w:pPr>
            <w:r/>
            <w:r>
              <w:rPr>
                <w:sz w:val="19"/>
              </w:rPr>
              <w:t>3.50</w:t>
            </w:r>
          </w:p>
        </w:tc>
        <w:tc>
          <w:tcPr>
            <w:tcW w:type="dxa" w:w="2340"/>
            <w:shd w:val="clear" w:color="auto" w:fill="EDF1F5"/>
          </w:tcPr>
          <w:p>
            <w:pPr>
              <w:spacing w:after="0"/>
            </w:pPr>
            <w:r/>
            <w:r>
              <w:rPr>
                <w:sz w:val="19"/>
              </w:rPr>
              <w:t>6.10</w:t>
            </w:r>
          </w:p>
        </w:tc>
        <w:tc>
          <w:tcPr>
            <w:tcW w:type="dxa" w:w="2340"/>
            <w:shd w:val="clear" w:color="auto" w:fill="EDF1F5"/>
          </w:tcPr>
          <w:p>
            <w:pPr>
              <w:spacing w:after="0"/>
            </w:pPr>
            <w:r/>
            <w:r>
              <w:rPr>
                <w:sz w:val="19"/>
              </w:rPr>
              <w:t>2.60</w:t>
            </w:r>
          </w:p>
        </w:tc>
      </w:tr>
    </w:tbl>
    <w:p>
      <w:pPr>
        <w:spacing w:after="80"/>
      </w:pPr>
      <w:r>
        <w:rPr>
          <w:sz w:val="4"/>
        </w:rPr>
      </w:r>
    </w:p>
    <w:p>
      <w:pPr>
        <w:keepNext/>
        <w:spacing w:before="160"/>
        <w:jc w:val="center"/>
      </w:pPr>
      <w:r>
        <w:drawing>
          <wp:inline xmlns:a="http://schemas.openxmlformats.org/drawingml/2006/main" xmlns:pic="http://schemas.openxmlformats.org/drawingml/2006/picture">
            <wp:extent cx="5760720" cy="3507638"/>
            <wp:docPr id="17" name="Picture 17" descr="Supplemental S3 — Shapley Share vs Revenue Share"/>
            <wp:cNvGraphicFramePr>
              <a:graphicFrameLocks noChangeAspect="1"/>
            </wp:cNvGraphicFramePr>
            <a:graphic>
              <a:graphicData uri="http://schemas.openxmlformats.org/drawingml/2006/picture">
                <pic:pic>
                  <pic:nvPicPr>
                    <pic:cNvPr id="0" name="s3_shapley_vs_revenue.jpg"/>
                    <pic:cNvPicPr/>
                  </pic:nvPicPr>
                  <pic:blipFill>
                    <a:blip r:embed="rId27"/>
                    <a:stretch>
                      <a:fillRect/>
                    </a:stretch>
                  </pic:blipFill>
                  <pic:spPr>
                    <a:xfrm>
                      <a:off x="0" y="0"/>
                      <a:ext cx="5760720" cy="3507638"/>
                    </a:xfrm>
                    <a:prstGeom prst="rect"/>
                  </pic:spPr>
                </pic:pic>
              </a:graphicData>
            </a:graphic>
          </wp:inline>
        </w:drawing>
      </w:r>
    </w:p>
    <w:p>
      <w:pPr>
        <w:spacing w:after="200"/>
        <w:jc w:val="center"/>
      </w:pPr>
      <w:r>
        <w:rPr>
          <w:i/>
          <w:color w:val="404040"/>
          <w:sz w:val="18"/>
        </w:rPr>
        <w:t>Supplemental S3 — Shapley Share vs Revenue Share</w:t>
      </w:r>
    </w:p>
    <w:p>
      <w:pPr>
        <w:keepNext/>
        <w:spacing w:before="200" w:after="40"/>
      </w:pPr>
      <w:r>
        <w:rPr>
          <w:b/>
          <w:color w:val="184A71"/>
          <w:sz w:val="21"/>
        </w:rPr>
        <w:t>Analytical insights — cooperation and bargaining power</w:t>
      </w:r>
    </w:p>
    <w:p>
      <w:pPr>
        <w:spacing w:before="40" w:after="140"/>
        <w:ind w:left="173"/>
        <w:shd w:val="clear" w:color="auto" w:fill="EAF1F8"/>
        <w:pBdr>
          <w:left w:val="single" w:sz="18" w:space="4" w:color="1F4E79"/>
        </w:pBdr>
      </w:pPr>
      <w:r>
        <w:rPr>
          <w:b/>
          <w:color w:val="184A71"/>
          <w:sz w:val="20"/>
        </w:rPr>
        <w:t xml:space="preserve">Shapley values as bargaining power.  </w:t>
      </w:r>
      <w:r>
        <w:rPr>
          <w:color w:val="1A2B3C"/>
          <w:sz w:val="20"/>
        </w:rPr>
        <w:t>Hardware captures the largest share of cooperative surplus (43.4% of the Shapley allocation) — about 0.95× its revenue share (45.9%). A Shapley share far above size means the player is a bottleneck: others' gains depend on its participation, which is the formal counterpart of the informal 'you need me more than I need you' power the market-structure results implied.</w:t>
      </w:r>
    </w:p>
    <w:p>
      <w:pPr>
        <w:spacing w:before="40" w:after="140"/>
        <w:ind w:left="173"/>
        <w:shd w:val="clear" w:color="auto" w:fill="EAF1F8"/>
        <w:pBdr>
          <w:left w:val="single" w:sz="18" w:space="4" w:color="1F4E79"/>
        </w:pBdr>
      </w:pPr>
      <w:r>
        <w:rPr>
          <w:b/>
          <w:color w:val="184A71"/>
          <w:sz w:val="20"/>
        </w:rPr>
        <w:t xml:space="preserve">The price of non-cooperation.  </w:t>
      </w:r>
      <w:r>
        <w:rPr>
          <w:color w:val="1A2B3C"/>
          <w:sz w:val="20"/>
        </w:rPr>
        <w:t>Grand-coalition cooperation would create roughly $310B of surplus over standalone play — the amount the ecosystem leaves on the table by insisting on bilateral, adversarial relationships rather than joint investment.</w:t>
      </w:r>
    </w:p>
    <w:tbl>
      <w:tblPr>
        <w:tblStyle w:val="TableGrid"/>
        <w:tblW w:type="auto" w:w="0"/>
        <w:tblLayout w:type="autofit"/>
        <w:tblLook w:firstColumn="1" w:firstRow="1" w:lastColumn="0" w:lastRow="0" w:noHBand="0" w:noVBand="1" w:val="04A0"/>
      </w:tblPr>
      <w:tblGrid>
        <w:gridCol w:w="4680"/>
        <w:gridCol w:w="4680"/>
      </w:tblGrid>
      <w:tr>
        <w:tc>
          <w:tcPr>
            <w:tcW w:type="dxa" w:w="1800"/>
            <w:shd w:val="clear" w:color="auto" w:fill="EDF1F5"/>
          </w:tcPr>
          <w:p>
            <w:r/>
            <w:r>
              <w:rPr>
                <w:b/>
                <w:color w:val="2C3E50"/>
                <w:sz w:val="20"/>
              </w:rPr>
              <w:t>Module</w:t>
            </w:r>
          </w:p>
        </w:tc>
        <w:tc>
          <w:tcPr>
            <w:tcW w:type="dxa" w:w="7560"/>
          </w:tcPr>
          <w:p>
            <w:r/>
            <w:r>
              <w:rPr>
                <w:sz w:val="20"/>
              </w:rPr>
              <w:t>NetworkRiskAnalysis, PortfolioRiskAnalysis, SuccessProbabilityModel, CooperativeGame</w:t>
            </w:r>
          </w:p>
        </w:tc>
      </w:tr>
      <w:tr>
        <w:tc>
          <w:tcPr>
            <w:tcW w:type="dxa" w:w="1800"/>
            <w:shd w:val="clear" w:color="auto" w:fill="EDF1F5"/>
          </w:tcPr>
          <w:p>
            <w:r/>
            <w:r>
              <w:rPr>
                <w:b/>
                <w:color w:val="2C3E50"/>
                <w:sz w:val="20"/>
              </w:rPr>
              <w:t>Outputs</w:t>
            </w:r>
          </w:p>
        </w:tc>
        <w:tc>
          <w:tcPr>
            <w:tcW w:type="dxa" w:w="7560"/>
          </w:tcPr>
          <w:p>
            <w:r/>
            <w:r>
              <w:rPr>
                <w:sz w:val="20"/>
              </w:rPr>
              <w:t>Tables 5.4b (Shapley), A.1–A.3 (network/portfolio/success); Figures 14–16.</w:t>
            </w:r>
          </w:p>
        </w:tc>
      </w:tr>
      <w:tr>
        <w:tc>
          <w:tcPr>
            <w:tcW w:type="dxa" w:w="1800"/>
            <w:shd w:val="clear" w:color="auto" w:fill="EDF1F5"/>
          </w:tcPr>
          <w:p>
            <w:r/>
            <w:r>
              <w:rPr>
                <w:b/>
                <w:color w:val="2C3E50"/>
                <w:sz w:val="20"/>
              </w:rPr>
              <w:t>Inference</w:t>
            </w:r>
          </w:p>
        </w:tc>
        <w:tc>
          <w:tcPr>
            <w:tcW w:type="dxa" w:w="7560"/>
          </w:tcPr>
          <w:p>
            <w:r/>
            <w:r>
              <w:rPr>
                <w:sz w:val="20"/>
              </w:rPr>
              <w:t>Hardware takes 43.4% of cooperative surplus on a 45.9% revenue share — the bottleneck's bargaining power exceeds its size.</w:t>
            </w:r>
          </w:p>
        </w:tc>
      </w:tr>
      <w:tr>
        <w:tc>
          <w:tcPr>
            <w:tcW w:type="dxa" w:w="1800"/>
            <w:shd w:val="clear" w:color="auto" w:fill="EDF1F5"/>
          </w:tcPr>
          <w:p>
            <w:r/>
            <w:r>
              <w:rPr>
                <w:b/>
                <w:color w:val="2C3E50"/>
                <w:sz w:val="20"/>
              </w:rPr>
              <w:t>Implication</w:t>
            </w:r>
          </w:p>
        </w:tc>
        <w:tc>
          <w:tcPr>
            <w:tcW w:type="dxa" w:w="7560"/>
          </w:tcPr>
          <w:p>
            <w:r/>
            <w:r>
              <w:rPr>
                <w:sz w:val="20"/>
              </w:rPr>
              <w:t>Bargaining and merger review should price bottleneck participation, and stress tests should shock the central node first: contagion starts where substitution is hardest.</w:t>
            </w:r>
          </w:p>
        </w:tc>
      </w:tr>
    </w:tbl>
    <w:p>
      <w:pPr>
        <w:spacing w:after="80"/>
      </w:pPr>
    </w:p>
    <w:p>
      <w:pPr>
        <w:pStyle w:val="Heading2"/>
      </w:pPr>
      <w:r>
        <w:t>7.2  Circular deals</w:t>
      </w:r>
    </w:p>
    <w:p>
      <w:pPr>
        <w:keepNext/>
        <w:spacing w:before="200" w:after="40"/>
      </w:pPr>
      <w:r>
        <w:rPr>
          <w:b/>
          <w:color w:val="2C3E50"/>
          <w:sz w:val="20"/>
        </w:rPr>
        <w:t>Exhibit 7.2  Circular-deals metrics (computed by build_technical_report.py)</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Total deal value</w:t>
            </w:r>
          </w:p>
        </w:tc>
        <w:tc>
          <w:tcPr>
            <w:tcW w:type="dxa" w:w="4680"/>
          </w:tcPr>
          <w:p>
            <w:pPr>
              <w:spacing w:after="0"/>
            </w:pPr>
            <w:r/>
            <w:r>
              <w:rPr>
                <w:sz w:val="19"/>
              </w:rPr>
              <w:t>$434.8B</w:t>
            </w:r>
          </w:p>
        </w:tc>
      </w:tr>
      <w:tr>
        <w:tc>
          <w:tcPr>
            <w:tcW w:type="dxa" w:w="4680"/>
            <w:shd w:val="clear" w:color="auto" w:fill="EDF1F5"/>
          </w:tcPr>
          <w:p>
            <w:pPr>
              <w:spacing w:after="0"/>
            </w:pPr>
            <w:r/>
            <w:r>
              <w:rPr>
                <w:sz w:val="19"/>
              </w:rPr>
              <w:t>Circular concentration (≥0.8 factor)</w:t>
            </w:r>
          </w:p>
        </w:tc>
        <w:tc>
          <w:tcPr>
            <w:tcW w:type="dxa" w:w="4680"/>
            <w:shd w:val="clear" w:color="auto" w:fill="EDF1F5"/>
          </w:tcPr>
          <w:p>
            <w:pPr>
              <w:spacing w:after="0"/>
            </w:pPr>
            <w:r/>
            <w:r>
              <w:rPr>
                <w:sz w:val="19"/>
              </w:rPr>
              <w:t>99.8%</w:t>
            </w:r>
          </w:p>
        </w:tc>
      </w:tr>
      <w:tr>
        <w:tc>
          <w:tcPr>
            <w:tcW w:type="dxa" w:w="4680"/>
          </w:tcPr>
          <w:p>
            <w:pPr>
              <w:spacing w:after="0"/>
            </w:pPr>
            <w:r/>
            <w:r>
              <w:rPr>
                <w:sz w:val="19"/>
              </w:rPr>
              <w:t>Systemic share (Critical)</w:t>
            </w:r>
          </w:p>
        </w:tc>
        <w:tc>
          <w:tcPr>
            <w:tcW w:type="dxa" w:w="4680"/>
          </w:tcPr>
          <w:p>
            <w:pPr>
              <w:spacing w:after="0"/>
            </w:pPr>
            <w:r/>
            <w:r>
              <w:rPr>
                <w:sz w:val="19"/>
              </w:rPr>
              <w:t>55.2%</w:t>
            </w:r>
          </w:p>
        </w:tc>
      </w:tr>
      <w:tr>
        <w:tc>
          <w:tcPr>
            <w:tcW w:type="dxa" w:w="4680"/>
            <w:shd w:val="clear" w:color="auto" w:fill="EDF1F5"/>
          </w:tcPr>
          <w:p>
            <w:pPr>
              <w:spacing w:after="0"/>
            </w:pPr>
            <w:r/>
            <w:r>
              <w:rPr>
                <w:sz w:val="19"/>
              </w:rPr>
              <w:t>Network density</w:t>
            </w:r>
          </w:p>
        </w:tc>
        <w:tc>
          <w:tcPr>
            <w:tcW w:type="dxa" w:w="4680"/>
            <w:shd w:val="clear" w:color="auto" w:fill="EDF1F5"/>
          </w:tcPr>
          <w:p>
            <w:pPr>
              <w:spacing w:after="0"/>
            </w:pPr>
            <w:r/>
            <w:r>
              <w:rPr>
                <w:sz w:val="19"/>
              </w:rPr>
              <w:t>0.058</w:t>
            </w:r>
          </w:p>
        </w:tc>
      </w:tr>
      <w:tr>
        <w:tc>
          <w:tcPr>
            <w:tcW w:type="dxa" w:w="4680"/>
          </w:tcPr>
          <w:p>
            <w:pPr>
              <w:spacing w:after="0"/>
            </w:pPr>
            <w:r/>
            <w:r>
              <w:rPr>
                <w:sz w:val="19"/>
              </w:rPr>
              <w:t>Bubble score</w:t>
            </w:r>
          </w:p>
        </w:tc>
        <w:tc>
          <w:tcPr>
            <w:tcW w:type="dxa" w:w="4680"/>
          </w:tcPr>
          <w:p>
            <w:pPr>
              <w:spacing w:after="0"/>
            </w:pPr>
            <w:r/>
            <w:r>
              <w:rPr>
                <w:sz w:val="19"/>
              </w:rPr>
              <w:t>0.632</w:t>
            </w:r>
          </w:p>
        </w:tc>
      </w:tr>
    </w:tbl>
    <w:p>
      <w:pPr>
        <w:spacing w:after="80"/>
      </w:pPr>
      <w:r>
        <w:rPr>
          <w:sz w:val="4"/>
        </w:rPr>
      </w:r>
    </w:p>
    <w:p>
      <w:pPr>
        <w:keepNext/>
        <w:spacing w:before="200" w:after="40"/>
      </w:pPr>
      <w:r>
        <w:rPr>
          <w:b/>
          <w:color w:val="184A71"/>
          <w:sz w:val="21"/>
        </w:rPr>
        <w:t>Analytical insights — circular deals and systemic fragility</w:t>
      </w:r>
    </w:p>
    <w:p>
      <w:pPr>
        <w:spacing w:before="40" w:after="140"/>
        <w:ind w:left="173"/>
        <w:shd w:val="clear" w:color="auto" w:fill="EAF1F8"/>
        <w:pBdr>
          <w:left w:val="single" w:sz="18" w:space="4" w:color="1F4E79"/>
        </w:pBdr>
      </w:pPr>
      <w:r>
        <w:rPr>
          <w:b/>
          <w:color w:val="184A71"/>
          <w:sz w:val="20"/>
        </w:rPr>
        <w:t xml:space="preserve">Bubble score and self-referential demand.  </w:t>
      </w:r>
      <w:r>
        <w:rPr>
          <w:color w:val="1A2B3C"/>
          <w:sz w:val="20"/>
        </w:rPr>
        <w:t>The circular-deals bubble score of 0.632 signals material fragility: a meaningful share of demand is circular. Score construction weights concentrated, Critical deals most heavily, so it is best read as a fragility index: how much of today's revenue depends on counterparties paying each other rather than on final customers.</w:t>
      </w:r>
    </w:p>
    <w:p>
      <w:pPr>
        <w:spacing w:before="40" w:after="140"/>
        <w:ind w:left="173"/>
        <w:shd w:val="clear" w:color="auto" w:fill="EAF1F8"/>
        <w:pBdr>
          <w:left w:val="single" w:sz="18" w:space="4" w:color="1F4E79"/>
        </w:pBdr>
      </w:pPr>
      <w:r>
        <w:rPr>
          <w:b/>
          <w:color w:val="184A71"/>
          <w:sz w:val="20"/>
        </w:rPr>
        <w:t xml:space="preserve">Fragility composite: elevated, and where it comes from.  </w:t>
      </w:r>
      <w:r>
        <w:rPr>
          <w:color w:val="1A2B3C"/>
          <w:sz w:val="20"/>
        </w:rPr>
        <w:t>The five-channel fragility composite is 0.551 (elevated). Its largest channel is Circularity — so the fragility story is about concentrated circular exposure, consistent with the bubble-score reading above rather than a separate alarm.</w:t>
      </w:r>
    </w:p>
    <w:p>
      <w:pPr>
        <w:spacing w:before="40" w:after="140"/>
        <w:ind w:left="173"/>
        <w:shd w:val="clear" w:color="auto" w:fill="EAF1F8"/>
        <w:pBdr>
          <w:left w:val="single" w:sz="18" w:space="4" w:color="1F4E79"/>
        </w:pBdr>
      </w:pPr>
      <w:r>
        <w:rPr>
          <w:b/>
          <w:color w:val="184A71"/>
          <w:sz w:val="20"/>
        </w:rPr>
        <w:t xml:space="preserve">A single-point-of-failure fabric.  </w:t>
      </w:r>
      <w:r>
        <w:rPr>
          <w:color w:val="1A2B3C"/>
          <w:sz w:val="20"/>
        </w:rPr>
        <w:t>80% of circular deal value ($953B of $1,188B) touches NVIDIA — through GPU supply, vendor financing, or equity. Concentration of that kind means a shock to one balance sheet (a demand pause, a financing retrenchment, a chip-design slip) propagates through the debt and equity loops rather than being absorbed by a diversified supplier base.</w:t>
      </w:r>
    </w:p>
    <w:tbl>
      <w:tblPr>
        <w:tblStyle w:val="TableGrid"/>
        <w:tblW w:type="auto" w:w="0"/>
        <w:tblLayout w:type="autofit"/>
        <w:tblLook w:firstColumn="1" w:firstRow="1" w:lastColumn="0" w:lastRow="0" w:noHBand="0" w:noVBand="1" w:val="04A0"/>
      </w:tblPr>
      <w:tblGrid>
        <w:gridCol w:w="4680"/>
        <w:gridCol w:w="4680"/>
      </w:tblGrid>
      <w:tr>
        <w:tc>
          <w:tcPr>
            <w:tcW w:type="dxa" w:w="1800"/>
            <w:shd w:val="clear" w:color="auto" w:fill="EDF1F5"/>
          </w:tcPr>
          <w:p>
            <w:r/>
            <w:r>
              <w:rPr>
                <w:b/>
                <w:color w:val="2C3E50"/>
                <w:sz w:val="20"/>
              </w:rPr>
              <w:t>Module</w:t>
            </w:r>
          </w:p>
        </w:tc>
        <w:tc>
          <w:tcPr>
            <w:tcW w:type="dxa" w:w="7560"/>
          </w:tcPr>
          <w:p>
            <w:r/>
            <w:r>
              <w:rPr>
                <w:sz w:val="20"/>
              </w:rPr>
              <w:t>CircularDealsAnalyzer, BubbleBurstAnalyzer, DebtRankClearingEngine, CreditMonitor</w:t>
            </w:r>
          </w:p>
        </w:tc>
      </w:tr>
      <w:tr>
        <w:tc>
          <w:tcPr>
            <w:tcW w:type="dxa" w:w="1800"/>
            <w:shd w:val="clear" w:color="auto" w:fill="EDF1F5"/>
          </w:tcPr>
          <w:p>
            <w:r/>
            <w:r>
              <w:rPr>
                <w:b/>
                <w:color w:val="2C3E50"/>
                <w:sz w:val="20"/>
              </w:rPr>
              <w:t>Outputs</w:t>
            </w:r>
          </w:p>
        </w:tc>
        <w:tc>
          <w:tcPr>
            <w:tcW w:type="dxa" w:w="7560"/>
          </w:tcPr>
          <w:p>
            <w:r/>
            <w:r>
              <w:rPr>
                <w:sz w:val="20"/>
              </w:rPr>
              <w:t>Tables 7.10–7.13 (formation, burst, GDP, mitigation); deal-level dependency frame.</w:t>
            </w:r>
          </w:p>
        </w:tc>
      </w:tr>
      <w:tr>
        <w:tc>
          <w:tcPr>
            <w:tcW w:type="dxa" w:w="1800"/>
            <w:shd w:val="clear" w:color="auto" w:fill="EDF1F5"/>
          </w:tcPr>
          <w:p>
            <w:r/>
            <w:r>
              <w:rPr>
                <w:b/>
                <w:color w:val="2C3E50"/>
                <w:sz w:val="20"/>
              </w:rPr>
              <w:t>Inference</w:t>
            </w:r>
          </w:p>
        </w:tc>
        <w:tc>
          <w:tcPr>
            <w:tcW w:type="dxa" w:w="7560"/>
          </w:tcPr>
          <w:p>
            <w:r/>
            <w:r>
              <w:rPr>
                <w:sz w:val="20"/>
              </w:rPr>
              <w:t>19 deals, $1,188B circular exposure; formation peaks at n/a; severe burst hits n/a; GDP cost n/a.</w:t>
            </w:r>
          </w:p>
        </w:tc>
      </w:tr>
      <w:tr>
        <w:tc>
          <w:tcPr>
            <w:tcW w:type="dxa" w:w="1800"/>
            <w:shd w:val="clear" w:color="auto" w:fill="EDF1F5"/>
          </w:tcPr>
          <w:p>
            <w:r/>
            <w:r>
              <w:rPr>
                <w:b/>
                <w:color w:val="2C3E50"/>
                <w:sz w:val="20"/>
              </w:rPr>
              <w:t>Implication</w:t>
            </w:r>
          </w:p>
        </w:tc>
        <w:tc>
          <w:tcPr>
            <w:tcW w:type="dxa" w:w="7560"/>
          </w:tcPr>
          <w:p>
            <w:r/>
            <w:r>
              <w:rPr>
                <w:sz w:val="20"/>
              </w:rPr>
              <w:t>Monitor frontier labs where round-tripping is densest, and pre-position disclosure and lending-cap tools: burst-mitigation BCRs above 6 make waiting expensive.</w:t>
            </w:r>
          </w:p>
        </w:tc>
      </w:tr>
    </w:tbl>
    <w:p>
      <w:pPr>
        <w:spacing w:after="80"/>
      </w:pPr>
    </w:p>
    <w:p>
      <w:pPr>
        <w:pStyle w:val="Heading2"/>
      </w:pPr>
      <w:r>
        <w:t>7.3  Five-pillar fragility screen (run_pipeline composite)</w:t>
      </w:r>
    </w:p>
    <w:p>
      <w:pPr>
        <w:spacing w:after="120"/>
      </w:pPr>
      <w:r>
        <w:rPr>
          <w:b w:val="0"/>
          <w:i w:val="0"/>
          <w:sz w:val="22"/>
        </w:rPr>
        <w:t>The five pillars adapt standard bubble-diagnostic themes — narrative tilt, multiple exuberance and expansion, a circular-hype proxy, and capex intensity — to segment level. Bands are descriptive labels, not forecasts; the ranking across archetypes is the finding.</w:t>
      </w:r>
    </w:p>
    <w:p>
      <w:pPr>
        <w:keepNext/>
        <w:spacing w:before="200" w:after="40"/>
      </w:pPr>
      <w:r>
        <w:rPr>
          <w:b/>
          <w:color w:val="2C3E50"/>
          <w:sz w:val="20"/>
        </w:rPr>
        <w:t>Exhibit 7.3  Five-pillar segment screen (ai_ecosystem_model.py diagnostics; NaN = uninformative pillar)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index</w:t>
            </w:r>
          </w:p>
        </w:tc>
        <w:tc>
          <w:tcPr>
            <w:tcW w:type="dxa" w:w="1872"/>
            <w:tblHeader w:val="true"/>
            <w:shd w:val="clear" w:color="auto" w:fill="2C3E50"/>
          </w:tcPr>
          <w:p>
            <w:pPr>
              <w:jc w:val="center"/>
            </w:pPr>
            <w:r/>
            <w:r>
              <w:rPr>
                <w:b/>
                <w:color w:val="FFFFFF"/>
                <w:sz w:val="18"/>
              </w:rPr>
              <w:t>Cloud Providers</w:t>
            </w:r>
          </w:p>
        </w:tc>
        <w:tc>
          <w:tcPr>
            <w:tcW w:type="dxa" w:w="1872"/>
            <w:tblHeader w:val="true"/>
            <w:shd w:val="clear" w:color="auto" w:fill="2C3E50"/>
          </w:tcPr>
          <w:p>
            <w:pPr>
              <w:jc w:val="center"/>
            </w:pPr>
            <w:r/>
            <w:r>
              <w:rPr>
                <w:b/>
                <w:color w:val="FFFFFF"/>
                <w:sz w:val="18"/>
              </w:rPr>
              <w:t>Foundation Models</w:t>
            </w:r>
          </w:p>
        </w:tc>
        <w:tc>
          <w:tcPr>
            <w:tcW w:type="dxa" w:w="1872"/>
            <w:tblHeader w:val="true"/>
            <w:shd w:val="clear" w:color="auto" w:fill="2C3E50"/>
          </w:tcPr>
          <w:p>
            <w:pPr>
              <w:jc w:val="center"/>
            </w:pPr>
            <w:r/>
            <w:r>
              <w:rPr>
                <w:b/>
                <w:color w:val="FFFFFF"/>
                <w:sz w:val="18"/>
              </w:rPr>
              <w:t>Hardware</w:t>
            </w:r>
          </w:p>
        </w:tc>
        <w:tc>
          <w:tcPr>
            <w:tcW w:type="dxa" w:w="1872"/>
            <w:tblHeader w:val="true"/>
            <w:shd w:val="clear" w:color="auto" w:fill="2C3E50"/>
          </w:tcPr>
          <w:p>
            <w:pPr>
              <w:jc w:val="center"/>
            </w:pPr>
            <w:r/>
            <w:r>
              <w:rPr>
                <w:b/>
                <w:color w:val="FFFFFF"/>
                <w:sz w:val="18"/>
              </w:rPr>
              <w:t>LLM Wrappers</w:t>
            </w:r>
          </w:p>
        </w:tc>
      </w:tr>
      <w:tr>
        <w:tc>
          <w:tcPr>
            <w:tcW w:type="dxa" w:w="1872"/>
          </w:tcPr>
          <w:p>
            <w:pPr>
              <w:spacing w:after="0"/>
            </w:pPr>
            <w:r/>
            <w:r>
              <w:rPr>
                <w:sz w:val="17"/>
              </w:rPr>
              <w:t>P1_Narrative_Tilt</w:t>
            </w:r>
          </w:p>
        </w:tc>
        <w:tc>
          <w:tcPr>
            <w:tcW w:type="dxa" w:w="1872"/>
          </w:tcPr>
          <w:p>
            <w:pPr>
              <w:spacing w:after="0"/>
            </w:pPr>
            <w:r/>
            <w:r>
              <w:rPr>
                <w:sz w:val="17"/>
              </w:rPr>
              <w:t>1.000</w:t>
            </w:r>
          </w:p>
        </w:tc>
        <w:tc>
          <w:tcPr>
            <w:tcW w:type="dxa" w:w="1872"/>
          </w:tcPr>
          <w:p>
            <w:pPr>
              <w:spacing w:after="0"/>
            </w:pPr>
            <w:r/>
            <w:r>
              <w:rPr>
                <w:sz w:val="17"/>
              </w:rPr>
              <w:t>0.020</w:t>
            </w:r>
          </w:p>
        </w:tc>
        <w:tc>
          <w:tcPr>
            <w:tcW w:type="dxa" w:w="1872"/>
          </w:tcPr>
          <w:p>
            <w:pPr>
              <w:spacing w:after="0"/>
            </w:pPr>
            <w:r/>
            <w:r>
              <w:rPr>
                <w:sz w:val="17"/>
              </w:rPr>
              <w:t>0.000</w:t>
            </w:r>
          </w:p>
        </w:tc>
        <w:tc>
          <w:tcPr>
            <w:tcW w:type="dxa" w:w="1872"/>
          </w:tcPr>
          <w:p>
            <w:pPr>
              <w:spacing w:after="0"/>
            </w:pPr>
            <w:r/>
            <w:r>
              <w:rPr>
                <w:sz w:val="17"/>
              </w:rPr>
              <w:t>0.019</w:t>
            </w:r>
          </w:p>
        </w:tc>
      </w:tr>
      <w:tr>
        <w:tc>
          <w:tcPr>
            <w:tcW w:type="dxa" w:w="1872"/>
            <w:shd w:val="clear" w:color="auto" w:fill="EDF1F5"/>
          </w:tcPr>
          <w:p>
            <w:pPr>
              <w:spacing w:after="0"/>
            </w:pPr>
            <w:r/>
            <w:r>
              <w:rPr>
                <w:sz w:val="17"/>
              </w:rPr>
              <w:t>P2_Multiple_Exuberance</w:t>
            </w:r>
          </w:p>
        </w:tc>
        <w:tc>
          <w:tcPr>
            <w:tcW w:type="dxa" w:w="1872"/>
            <w:shd w:val="clear" w:color="auto" w:fill="EDF1F5"/>
          </w:tcPr>
          <w:p>
            <w:pPr>
              <w:spacing w:after="0"/>
            </w:pPr>
            <w:r/>
            <w:r>
              <w:rPr>
                <w:sz w:val="17"/>
              </w:rPr>
              <w:t>0.000</w:t>
            </w:r>
          </w:p>
        </w:tc>
        <w:tc>
          <w:tcPr>
            <w:tcW w:type="dxa" w:w="1872"/>
            <w:shd w:val="clear" w:color="auto" w:fill="EDF1F5"/>
          </w:tcPr>
          <w:p>
            <w:pPr>
              <w:spacing w:after="0"/>
            </w:pPr>
            <w:r/>
            <w:r>
              <w:rPr>
                <w:sz w:val="17"/>
              </w:rPr>
              <w:t>0.210</w:t>
            </w:r>
          </w:p>
        </w:tc>
        <w:tc>
          <w:tcPr>
            <w:tcW w:type="dxa" w:w="1872"/>
            <w:shd w:val="clear" w:color="auto" w:fill="EDF1F5"/>
          </w:tcPr>
          <w:p>
            <w:pPr>
              <w:spacing w:after="0"/>
            </w:pPr>
            <w:r/>
            <w:r>
              <w:rPr>
                <w:sz w:val="17"/>
              </w:rPr>
              <w:t>0.033</w:t>
            </w:r>
          </w:p>
        </w:tc>
        <w:tc>
          <w:tcPr>
            <w:tcW w:type="dxa" w:w="1872"/>
            <w:shd w:val="clear" w:color="auto" w:fill="EDF1F5"/>
          </w:tcPr>
          <w:p>
            <w:pPr>
              <w:spacing w:after="0"/>
            </w:pPr>
            <w:r/>
            <w:r>
              <w:rPr>
                <w:sz w:val="17"/>
              </w:rPr>
              <w:t>0.389</w:t>
            </w:r>
          </w:p>
        </w:tc>
      </w:tr>
      <w:tr>
        <w:tc>
          <w:tcPr>
            <w:tcW w:type="dxa" w:w="1872"/>
          </w:tcPr>
          <w:p>
            <w:pPr>
              <w:spacing w:after="0"/>
            </w:pPr>
            <w:r/>
            <w:r>
              <w:rPr>
                <w:sz w:val="17"/>
              </w:rPr>
              <w:t>P3_Multiple_Expansion</w:t>
            </w:r>
          </w:p>
        </w:tc>
        <w:tc>
          <w:tcPr>
            <w:tcW w:type="dxa" w:w="1872"/>
          </w:tcPr>
          <w:p>
            <w:pPr>
              <w:spacing w:after="0"/>
            </w:pPr>
            <w:r/>
            <w:r>
              <w:rPr>
                <w:sz w:val="17"/>
              </w:rPr>
              <w:t>0.267</w:t>
            </w:r>
          </w:p>
        </w:tc>
        <w:tc>
          <w:tcPr>
            <w:tcW w:type="dxa" w:w="1872"/>
          </w:tcPr>
          <w:p>
            <w:pPr>
              <w:spacing w:after="0"/>
            </w:pPr>
            <w:r/>
            <w:r>
              <w:rPr>
                <w:sz w:val="17"/>
              </w:rPr>
              <w:t>0.799</w:t>
            </w:r>
          </w:p>
        </w:tc>
        <w:tc>
          <w:tcPr>
            <w:tcW w:type="dxa" w:w="1872"/>
          </w:tcPr>
          <w:p>
            <w:pPr>
              <w:spacing w:after="0"/>
            </w:pPr>
            <w:r/>
            <w:r>
              <w:rPr>
                <w:sz w:val="17"/>
              </w:rPr>
              <w:t>0.599</w:t>
            </w:r>
          </w:p>
        </w:tc>
        <w:tc>
          <w:tcPr>
            <w:tcW w:type="dxa" w:w="1872"/>
          </w:tcPr>
          <w:p>
            <w:pPr>
              <w:spacing w:after="0"/>
            </w:pPr>
            <w:r/>
            <w:r>
              <w:rPr>
                <w:sz w:val="17"/>
              </w:rPr>
              <w:t>1.000</w:t>
            </w:r>
          </w:p>
        </w:tc>
      </w:tr>
      <w:tr>
        <w:tc>
          <w:tcPr>
            <w:tcW w:type="dxa" w:w="1872"/>
            <w:shd w:val="clear" w:color="auto" w:fill="EDF1F5"/>
          </w:tcPr>
          <w:p>
            <w:pPr>
              <w:spacing w:after="0"/>
            </w:pPr>
            <w:r/>
            <w:r>
              <w:rPr>
                <w:sz w:val="17"/>
              </w:rPr>
              <w:t>P4_Circular_Hype_Proxy</w:t>
            </w:r>
          </w:p>
        </w:tc>
        <w:tc>
          <w:tcPr>
            <w:tcW w:type="dxa" w:w="1872"/>
            <w:shd w:val="clear" w:color="auto" w:fill="EDF1F5"/>
          </w:tcPr>
          <w:p>
            <w:pPr>
              <w:spacing w:after="0"/>
            </w:pPr>
            <w:r/>
            <w:r>
              <w:rPr>
                <w:sz w:val="17"/>
              </w:rPr>
              <w:t>0.000</w:t>
            </w:r>
          </w:p>
        </w:tc>
        <w:tc>
          <w:tcPr>
            <w:tcW w:type="dxa" w:w="1872"/>
            <w:shd w:val="clear" w:color="auto" w:fill="EDF1F5"/>
          </w:tcPr>
          <w:p>
            <w:pPr>
              <w:spacing w:after="0"/>
            </w:pPr>
            <w:r/>
            <w:r>
              <w:rPr>
                <w:sz w:val="17"/>
              </w:rPr>
              <w:t>1.000</w:t>
            </w:r>
          </w:p>
        </w:tc>
        <w:tc>
          <w:tcPr>
            <w:tcW w:type="dxa" w:w="1872"/>
            <w:shd w:val="clear" w:color="auto" w:fill="EDF1F5"/>
          </w:tcPr>
          <w:p>
            <w:pPr>
              <w:spacing w:after="0"/>
            </w:pPr>
            <w:r/>
            <w:r>
              <w:rPr>
                <w:sz w:val="17"/>
              </w:rPr>
              <w:t>1.000</w:t>
            </w:r>
          </w:p>
        </w:tc>
        <w:tc>
          <w:tcPr>
            <w:tcW w:type="dxa" w:w="1872"/>
            <w:shd w:val="clear" w:color="auto" w:fill="EDF1F5"/>
          </w:tcPr>
          <w:p>
            <w:pPr>
              <w:spacing w:after="0"/>
            </w:pPr>
            <w:r/>
            <w:r>
              <w:rPr>
                <w:sz w:val="17"/>
              </w:rPr>
              <w:t>0.000</w:t>
            </w:r>
          </w:p>
        </w:tc>
      </w:tr>
      <w:tr>
        <w:tc>
          <w:tcPr>
            <w:tcW w:type="dxa" w:w="1872"/>
          </w:tcPr>
          <w:p>
            <w:pPr>
              <w:spacing w:after="0"/>
            </w:pPr>
            <w:r/>
            <w:r>
              <w:rPr>
                <w:sz w:val="17"/>
              </w:rPr>
              <w:t>P5_Capex_Intensity</w:t>
            </w:r>
          </w:p>
        </w:tc>
        <w:tc>
          <w:tcPr>
            <w:tcW w:type="dxa" w:w="1872"/>
          </w:tcPr>
          <w:p>
            <w:pPr>
              <w:spacing w:after="0"/>
            </w:pPr>
            <w:r/>
            <w:r>
              <w:rPr>
                <w:sz w:val="17"/>
              </w:rPr>
              <w:t>0.822</w:t>
            </w:r>
          </w:p>
        </w:tc>
        <w:tc>
          <w:tcPr>
            <w:tcW w:type="dxa" w:w="1872"/>
          </w:tcPr>
          <w:p>
            <w:pPr>
              <w:spacing w:after="0"/>
            </w:pPr>
            <w:r/>
            <w:r>
              <w:rPr>
                <w:sz w:val="17"/>
              </w:rPr>
              <w:t>0.822</w:t>
            </w:r>
          </w:p>
        </w:tc>
        <w:tc>
          <w:tcPr>
            <w:tcW w:type="dxa" w:w="1872"/>
          </w:tcPr>
          <w:p>
            <w:pPr>
              <w:spacing w:after="0"/>
            </w:pPr>
            <w:r/>
            <w:r>
              <w:rPr>
                <w:sz w:val="17"/>
              </w:rPr>
              <w:t>0.822</w:t>
            </w:r>
          </w:p>
        </w:tc>
        <w:tc>
          <w:tcPr>
            <w:tcW w:type="dxa" w:w="1872"/>
          </w:tcPr>
          <w:p>
            <w:pPr>
              <w:spacing w:after="0"/>
            </w:pPr>
            <w:r/>
            <w:r>
              <w:rPr>
                <w:sz w:val="17"/>
              </w:rPr>
              <w:t>0.822</w:t>
            </w:r>
          </w:p>
        </w:tc>
      </w:tr>
      <w:tr>
        <w:tc>
          <w:tcPr>
            <w:tcW w:type="dxa" w:w="1872"/>
            <w:shd w:val="clear" w:color="auto" w:fill="EDF1F5"/>
          </w:tcPr>
          <w:p>
            <w:pPr>
              <w:spacing w:after="0"/>
            </w:pPr>
            <w:r/>
            <w:r>
              <w:rPr>
                <w:sz w:val="17"/>
              </w:rPr>
              <w:t>Composite</w:t>
            </w:r>
          </w:p>
        </w:tc>
        <w:tc>
          <w:tcPr>
            <w:tcW w:type="dxa" w:w="1872"/>
            <w:shd w:val="clear" w:color="auto" w:fill="EDF1F5"/>
          </w:tcPr>
          <w:p>
            <w:pPr>
              <w:spacing w:after="0"/>
            </w:pPr>
            <w:r/>
            <w:r>
              <w:rPr>
                <w:sz w:val="17"/>
              </w:rPr>
              <w:t>0.317</w:t>
            </w:r>
          </w:p>
        </w:tc>
        <w:tc>
          <w:tcPr>
            <w:tcW w:type="dxa" w:w="1872"/>
            <w:shd w:val="clear" w:color="auto" w:fill="EDF1F5"/>
          </w:tcPr>
          <w:p>
            <w:pPr>
              <w:spacing w:after="0"/>
            </w:pPr>
            <w:r/>
            <w:r>
              <w:rPr>
                <w:sz w:val="17"/>
              </w:rPr>
              <w:t>0.507</w:t>
            </w:r>
          </w:p>
        </w:tc>
        <w:tc>
          <w:tcPr>
            <w:tcW w:type="dxa" w:w="1872"/>
            <w:shd w:val="clear" w:color="auto" w:fill="EDF1F5"/>
          </w:tcPr>
          <w:p>
            <w:pPr>
              <w:spacing w:after="0"/>
            </w:pPr>
            <w:r/>
            <w:r>
              <w:rPr>
                <w:sz w:val="17"/>
              </w:rPr>
              <w:t>0.408</w:t>
            </w:r>
          </w:p>
        </w:tc>
        <w:tc>
          <w:tcPr>
            <w:tcW w:type="dxa" w:w="1872"/>
            <w:shd w:val="clear" w:color="auto" w:fill="EDF1F5"/>
          </w:tcPr>
          <w:p>
            <w:pPr>
              <w:spacing w:after="0"/>
            </w:pPr>
            <w:r/>
            <w:r>
              <w:rPr>
                <w:sz w:val="17"/>
              </w:rPr>
              <w:t>0.352</w:t>
            </w:r>
          </w:p>
        </w:tc>
      </w:tr>
      <w:tr>
        <w:tc>
          <w:tcPr>
            <w:tcW w:type="dxa" w:w="1872"/>
          </w:tcPr>
          <w:p>
            <w:pPr>
              <w:spacing w:after="0"/>
            </w:pPr>
            <w:r/>
            <w:r>
              <w:rPr>
                <w:sz w:val="17"/>
              </w:rPr>
              <w:t>Classification</w:t>
            </w:r>
          </w:p>
        </w:tc>
        <w:tc>
          <w:tcPr>
            <w:tcW w:type="dxa" w:w="1872"/>
          </w:tcPr>
          <w:p>
            <w:pPr>
              <w:spacing w:after="0"/>
            </w:pPr>
            <w:r/>
            <w:r>
              <w:rPr>
                <w:sz w:val="17"/>
              </w:rPr>
              <w:t>Buildout</w:t>
            </w:r>
          </w:p>
        </w:tc>
        <w:tc>
          <w:tcPr>
            <w:tcW w:type="dxa" w:w="1872"/>
          </w:tcPr>
          <w:p>
            <w:pPr>
              <w:spacing w:after="0"/>
            </w:pPr>
            <w:r/>
            <w:r>
              <w:rPr>
                <w:sz w:val="17"/>
              </w:rPr>
              <w:t>Bubble risk</w:t>
            </w:r>
          </w:p>
        </w:tc>
        <w:tc>
          <w:tcPr>
            <w:tcW w:type="dxa" w:w="1872"/>
          </w:tcPr>
          <w:p>
            <w:pPr>
              <w:spacing w:after="0"/>
            </w:pPr>
            <w:r/>
            <w:r>
              <w:rPr>
                <w:sz w:val="17"/>
              </w:rPr>
              <w:t>Boom</w:t>
            </w:r>
          </w:p>
        </w:tc>
        <w:tc>
          <w:tcPr>
            <w:tcW w:type="dxa" w:w="1872"/>
          </w:tcPr>
          <w:p>
            <w:pPr>
              <w:spacing w:after="0"/>
            </w:pPr>
            <w:r/>
            <w:r>
              <w:rPr>
                <w:sz w:val="17"/>
              </w:rPr>
              <w:t>Boom</w:t>
            </w:r>
          </w:p>
        </w:tc>
      </w:tr>
    </w:tbl>
    <w:p>
      <w:pPr>
        <w:spacing w:after="80"/>
      </w:pPr>
      <w:r>
        <w:rPr>
          <w:sz w:val="4"/>
        </w:rPr>
      </w:r>
    </w:p>
    <w:p>
      <w:pPr>
        <w:spacing w:after="120"/>
      </w:pPr>
      <w:r>
        <w:rPr>
          <w:b w:val="0"/>
          <w:i/>
          <w:color w:val="606060"/>
          <w:sz w:val="18"/>
        </w:rPr>
        <w:t>Data note: excluded from composite: P5 (ecosystem context; constant by construction). Constants are excluded from composites rather than scored.</w:t>
      </w:r>
    </w:p>
    <w:p>
      <w:pPr>
        <w:spacing w:after="120"/>
      </w:pPr>
      <w:r>
        <w:rPr>
          <w:b w:val="0"/>
          <w:i w:val="0"/>
          <w:sz w:val="21"/>
        </w:rPr>
        <w:t>Paper H3 test (infrastructure shows weaker bubble signals): infra mean 0.362 vs downstream 0.429 — supported. Consistent with bottleneck-rent fundamentals.</w:t>
      </w:r>
    </w:p>
    <w:p>
      <w:pPr>
        <w:pStyle w:val="Heading2"/>
      </w:pPr>
      <w:r>
        <w:t>7.4  Network, portfolio and stability outputs</w:t>
      </w:r>
    </w:p>
    <w:p>
      <w:pPr>
        <w:keepNext/>
        <w:spacing w:before="200" w:after="40"/>
      </w:pPr>
      <w:r>
        <w:rPr>
          <w:b/>
          <w:color w:val="2C3E50"/>
          <w:sz w:val="20"/>
        </w:rPr>
        <w:t>Table A.0: Network Centrality (Appendix)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Degree</w:t>
            </w:r>
          </w:p>
        </w:tc>
        <w:tc>
          <w:tcPr>
            <w:tcW w:type="dxa" w:w="2340"/>
            <w:tblHeader w:val="true"/>
            <w:shd w:val="clear" w:color="auto" w:fill="2C3E50"/>
          </w:tcPr>
          <w:p>
            <w:pPr>
              <w:jc w:val="center"/>
            </w:pPr>
            <w:r/>
            <w:r>
              <w:rPr>
                <w:b/>
                <w:color w:val="FFFFFF"/>
                <w:sz w:val="20"/>
              </w:rPr>
              <w:t>Betweenness</w:t>
            </w:r>
          </w:p>
        </w:tc>
        <w:tc>
          <w:tcPr>
            <w:tcW w:type="dxa" w:w="2340"/>
            <w:tblHeader w:val="true"/>
            <w:shd w:val="clear" w:color="auto" w:fill="2C3E50"/>
          </w:tcPr>
          <w:p>
            <w:pPr>
              <w:jc w:val="center"/>
            </w:pPr>
            <w:r/>
            <w:r>
              <w:rPr>
                <w:b/>
                <w:color w:val="FFFFFF"/>
                <w:sz w:val="20"/>
              </w:rPr>
              <w:t>PageRank</w:t>
            </w:r>
          </w:p>
        </w:tc>
        <w:tc>
          <w:tcPr>
            <w:tcW w:type="dxa" w:w="2340"/>
            <w:tblHeader w:val="true"/>
            <w:shd w:val="clear" w:color="auto" w:fill="2C3E50"/>
          </w:tcPr>
          <w:p>
            <w:pPr>
              <w:jc w:val="center"/>
            </w:pPr>
            <w:r/>
            <w:r>
              <w:rPr>
                <w:b/>
                <w:color w:val="FFFFFF"/>
                <w:sz w:val="20"/>
              </w:rPr>
              <w:t>Eigenvector</w:t>
            </w:r>
          </w:p>
        </w:tc>
      </w:tr>
      <w:tr>
        <w:tc>
          <w:tcPr>
            <w:tcW w:type="dxa" w:w="2340"/>
          </w:tcPr>
          <w:p>
            <w:pPr>
              <w:spacing w:after="0"/>
            </w:pPr>
            <w:r/>
            <w:r>
              <w:rPr>
                <w:sz w:val="19"/>
              </w:rPr>
              <w:t>0.33</w:t>
            </w:r>
          </w:p>
        </w:tc>
        <w:tc>
          <w:tcPr>
            <w:tcW w:type="dxa" w:w="2340"/>
          </w:tcPr>
          <w:p>
            <w:pPr>
              <w:spacing w:after="0"/>
            </w:pPr>
            <w:r/>
            <w:r>
              <w:rPr>
                <w:sz w:val="19"/>
              </w:rPr>
              <w:t>0</w:t>
            </w:r>
          </w:p>
        </w:tc>
        <w:tc>
          <w:tcPr>
            <w:tcW w:type="dxa" w:w="2340"/>
          </w:tcPr>
          <w:p>
            <w:pPr>
              <w:spacing w:after="0"/>
            </w:pPr>
            <w:r/>
            <w:r>
              <w:rPr>
                <w:sz w:val="19"/>
              </w:rPr>
              <w:t>0.34</w:t>
            </w:r>
          </w:p>
        </w:tc>
        <w:tc>
          <w:tcPr>
            <w:tcW w:type="dxa" w:w="2340"/>
          </w:tcPr>
          <w:p>
            <w:pPr>
              <w:spacing w:after="0"/>
            </w:pPr>
            <w:r/>
            <w:r>
              <w:rPr>
                <w:sz w:val="19"/>
              </w:rPr>
              <w:t>0.82</w:t>
            </w:r>
          </w:p>
        </w:tc>
      </w:tr>
      <w:tr>
        <w:tc>
          <w:tcPr>
            <w:tcW w:type="dxa" w:w="2340"/>
            <w:shd w:val="clear" w:color="auto" w:fill="EDF1F5"/>
          </w:tcPr>
          <w:p>
            <w:pPr>
              <w:spacing w:after="0"/>
            </w:pPr>
            <w:r/>
            <w:r>
              <w:rPr>
                <w:sz w:val="19"/>
              </w:rPr>
              <w:t>0.50</w:t>
            </w:r>
          </w:p>
        </w:tc>
        <w:tc>
          <w:tcPr>
            <w:tcW w:type="dxa" w:w="2340"/>
            <w:shd w:val="clear" w:color="auto" w:fill="EDF1F5"/>
          </w:tcPr>
          <w:p>
            <w:pPr>
              <w:spacing w:after="0"/>
            </w:pPr>
            <w:r/>
            <w:r>
              <w:rPr>
                <w:sz w:val="19"/>
              </w:rPr>
              <w:t>0</w:t>
            </w:r>
          </w:p>
        </w:tc>
        <w:tc>
          <w:tcPr>
            <w:tcW w:type="dxa" w:w="2340"/>
            <w:shd w:val="clear" w:color="auto" w:fill="EDF1F5"/>
          </w:tcPr>
          <w:p>
            <w:pPr>
              <w:spacing w:after="0"/>
            </w:pPr>
            <w:r/>
            <w:r>
              <w:rPr>
                <w:sz w:val="19"/>
              </w:rPr>
              <w:t>0.24</w:t>
            </w:r>
          </w:p>
        </w:tc>
        <w:tc>
          <w:tcPr>
            <w:tcW w:type="dxa" w:w="2340"/>
            <w:shd w:val="clear" w:color="auto" w:fill="EDF1F5"/>
          </w:tcPr>
          <w:p>
            <w:pPr>
              <w:spacing w:after="0"/>
            </w:pPr>
            <w:r/>
            <w:r>
              <w:rPr>
                <w:sz w:val="19"/>
              </w:rPr>
              <w:t>0.41</w:t>
            </w:r>
          </w:p>
        </w:tc>
      </w:tr>
      <w:tr>
        <w:tc>
          <w:tcPr>
            <w:tcW w:type="dxa" w:w="2340"/>
          </w:tcPr>
          <w:p>
            <w:pPr>
              <w:spacing w:after="0"/>
            </w:pPr>
            <w:r/>
            <w:r>
              <w:rPr>
                <w:sz w:val="19"/>
              </w:rPr>
              <w:t>0.67</w:t>
            </w:r>
          </w:p>
        </w:tc>
        <w:tc>
          <w:tcPr>
            <w:tcW w:type="dxa" w:w="2340"/>
          </w:tcPr>
          <w:p>
            <w:pPr>
              <w:spacing w:after="0"/>
            </w:pPr>
            <w:r/>
            <w:r>
              <w:rPr>
                <w:sz w:val="19"/>
              </w:rPr>
              <w:t>0.33</w:t>
            </w:r>
          </w:p>
        </w:tc>
        <w:tc>
          <w:tcPr>
            <w:tcW w:type="dxa" w:w="2340"/>
          </w:tcPr>
          <w:p>
            <w:pPr>
              <w:spacing w:after="0"/>
            </w:pPr>
            <w:r/>
            <w:r>
              <w:rPr>
                <w:sz w:val="19"/>
              </w:rPr>
              <w:t>0.31</w:t>
            </w:r>
          </w:p>
        </w:tc>
        <w:tc>
          <w:tcPr>
            <w:tcW w:type="dxa" w:w="2340"/>
          </w:tcPr>
          <w:p>
            <w:pPr>
              <w:spacing w:after="0"/>
            </w:pPr>
            <w:r/>
            <w:r>
              <w:rPr>
                <w:sz w:val="19"/>
              </w:rPr>
              <w:t>0.41</w:t>
            </w:r>
          </w:p>
        </w:tc>
      </w:tr>
      <w:tr>
        <w:tc>
          <w:tcPr>
            <w:tcW w:type="dxa" w:w="2340"/>
            <w:shd w:val="clear" w:color="auto" w:fill="EDF1F5"/>
          </w:tcPr>
          <w:p>
            <w:pPr>
              <w:spacing w:after="0"/>
            </w:pPr>
            <w:r/>
            <w:r>
              <w:rPr>
                <w:sz w:val="19"/>
              </w:rPr>
              <w:t>0.17</w:t>
            </w:r>
          </w:p>
        </w:tc>
        <w:tc>
          <w:tcPr>
            <w:tcW w:type="dxa" w:w="2340"/>
            <w:shd w:val="clear" w:color="auto" w:fill="EDF1F5"/>
          </w:tcPr>
          <w:p>
            <w:pPr>
              <w:spacing w:after="0"/>
            </w:pPr>
            <w:r/>
            <w:r>
              <w:rPr>
                <w:sz w:val="19"/>
              </w:rPr>
              <w:t>0</w:t>
            </w:r>
          </w:p>
        </w:tc>
        <w:tc>
          <w:tcPr>
            <w:tcW w:type="dxa" w:w="2340"/>
            <w:shd w:val="clear" w:color="auto" w:fill="EDF1F5"/>
          </w:tcPr>
          <w:p>
            <w:pPr>
              <w:spacing w:after="0"/>
            </w:pPr>
            <w:r/>
            <w:r>
              <w:rPr>
                <w:sz w:val="19"/>
              </w:rPr>
              <w:t>0.11</w:t>
            </w:r>
          </w:p>
        </w:tc>
        <w:tc>
          <w:tcPr>
            <w:tcW w:type="dxa" w:w="2340"/>
            <w:shd w:val="clear" w:color="auto" w:fill="EDF1F5"/>
          </w:tcPr>
          <w:p>
            <w:pPr>
              <w:spacing w:after="0"/>
            </w:pPr>
            <w:r/>
            <w:r>
              <w:rPr>
                <w:sz w:val="19"/>
              </w:rPr>
              <w:t>0</w:t>
            </w:r>
          </w:p>
        </w:tc>
      </w:tr>
    </w:tbl>
    <w:p>
      <w:pPr>
        <w:spacing w:after="80"/>
      </w:pPr>
      <w:r>
        <w:rPr>
          <w:sz w:val="4"/>
        </w:rPr>
      </w:r>
    </w:p>
    <w:p>
      <w:pPr>
        <w:keepNext/>
        <w:spacing w:before="200" w:after="40"/>
      </w:pPr>
      <w:r>
        <w:rPr>
          <w:b/>
          <w:color w:val="2C3E50"/>
          <w:sz w:val="20"/>
        </w:rPr>
        <w:t>Table A.1: Network Risk Metrics</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Total Dependency ($B)</w:t>
            </w:r>
          </w:p>
        </w:tc>
        <w:tc>
          <w:tcPr>
            <w:tcW w:type="dxa" w:w="4680"/>
          </w:tcPr>
          <w:p>
            <w:pPr>
              <w:spacing w:after="0"/>
            </w:pPr>
            <w:r/>
            <w:r>
              <w:rPr>
                <w:sz w:val="19"/>
              </w:rPr>
              <w:t>570.40</w:t>
            </w:r>
          </w:p>
        </w:tc>
      </w:tr>
      <w:tr>
        <w:tc>
          <w:tcPr>
            <w:tcW w:type="dxa" w:w="4680"/>
            <w:shd w:val="clear" w:color="auto" w:fill="EDF1F5"/>
          </w:tcPr>
          <w:p>
            <w:pPr>
              <w:spacing w:after="0"/>
            </w:pPr>
            <w:r/>
            <w:r>
              <w:rPr>
                <w:sz w:val="19"/>
              </w:rPr>
              <w:t>Critical Dependency ($B)</w:t>
            </w:r>
          </w:p>
        </w:tc>
        <w:tc>
          <w:tcPr>
            <w:tcW w:type="dxa" w:w="4680"/>
            <w:shd w:val="clear" w:color="auto" w:fill="EDF1F5"/>
          </w:tcPr>
          <w:p>
            <w:pPr>
              <w:spacing w:after="0"/>
            </w:pPr>
            <w:r/>
            <w:r>
              <w:rPr>
                <w:sz w:val="19"/>
              </w:rPr>
              <w:t>536.90</w:t>
            </w:r>
          </w:p>
        </w:tc>
      </w:tr>
      <w:tr>
        <w:tc>
          <w:tcPr>
            <w:tcW w:type="dxa" w:w="4680"/>
          </w:tcPr>
          <w:p>
            <w:pPr>
              <w:spacing w:after="0"/>
            </w:pPr>
            <w:r/>
            <w:r>
              <w:rPr>
                <w:sz w:val="19"/>
              </w:rPr>
              <w:t>Critical Risk Ratio (%)</w:t>
            </w:r>
          </w:p>
        </w:tc>
        <w:tc>
          <w:tcPr>
            <w:tcW w:type="dxa" w:w="4680"/>
          </w:tcPr>
          <w:p>
            <w:pPr>
              <w:spacing w:after="0"/>
            </w:pPr>
            <w:r/>
            <w:r>
              <w:rPr>
                <w:sz w:val="19"/>
              </w:rPr>
              <w:t>94.1</w:t>
            </w:r>
          </w:p>
        </w:tc>
      </w:tr>
      <w:tr>
        <w:tc>
          <w:tcPr>
            <w:tcW w:type="dxa" w:w="4680"/>
            <w:shd w:val="clear" w:color="auto" w:fill="EDF1F5"/>
          </w:tcPr>
          <w:p>
            <w:pPr>
              <w:spacing w:after="0"/>
            </w:pPr>
            <w:r/>
            <w:r>
              <w:rPr>
                <w:sz w:val="19"/>
              </w:rPr>
              <w:t>HHI (Dependencies)</w:t>
            </w:r>
          </w:p>
        </w:tc>
        <w:tc>
          <w:tcPr>
            <w:tcW w:type="dxa" w:w="4680"/>
            <w:shd w:val="clear" w:color="auto" w:fill="EDF1F5"/>
          </w:tcPr>
          <w:p>
            <w:pPr>
              <w:spacing w:after="0"/>
            </w:pPr>
            <w:r/>
            <w:r>
              <w:rPr>
                <w:sz w:val="19"/>
              </w:rPr>
              <w:t>0.4853</w:t>
            </w:r>
          </w:p>
        </w:tc>
      </w:tr>
      <w:tr>
        <w:tc>
          <w:tcPr>
            <w:tcW w:type="dxa" w:w="4680"/>
          </w:tcPr>
          <w:p>
            <w:pPr>
              <w:spacing w:after="0"/>
            </w:pPr>
            <w:r/>
            <w:r>
              <w:rPr>
                <w:sz w:val="19"/>
              </w:rPr>
              <w:t>Network Density</w:t>
            </w:r>
          </w:p>
        </w:tc>
        <w:tc>
          <w:tcPr>
            <w:tcW w:type="dxa" w:w="4680"/>
          </w:tcPr>
          <w:p>
            <w:pPr>
              <w:spacing w:after="0"/>
            </w:pPr>
            <w:r/>
            <w:r>
              <w:rPr>
                <w:sz w:val="19"/>
              </w:rPr>
              <w:t>0.4167</w:t>
            </w:r>
          </w:p>
        </w:tc>
      </w:tr>
      <w:tr>
        <w:tc>
          <w:tcPr>
            <w:tcW w:type="dxa" w:w="4680"/>
            <w:shd w:val="clear" w:color="auto" w:fill="EDF1F5"/>
          </w:tcPr>
          <w:p>
            <w:pPr>
              <w:spacing w:after="0"/>
            </w:pPr>
            <w:r/>
            <w:r>
              <w:rPr>
                <w:sz w:val="19"/>
              </w:rPr>
              <w:t>Critical Nodes</w:t>
            </w:r>
          </w:p>
        </w:tc>
        <w:tc>
          <w:tcPr>
            <w:tcW w:type="dxa" w:w="4680"/>
            <w:shd w:val="clear" w:color="auto" w:fill="EDF1F5"/>
          </w:tcPr>
          <w:p>
            <w:pPr>
              <w:spacing w:after="0"/>
            </w:pPr>
            <w:r/>
            <w:r>
              <w:rPr>
                <w:sz w:val="19"/>
              </w:rPr>
              <w:t>Hardware, Cloud Providers</w:t>
            </w:r>
          </w:p>
        </w:tc>
      </w:tr>
    </w:tbl>
    <w:p>
      <w:pPr>
        <w:spacing w:after="80"/>
      </w:pPr>
      <w:r>
        <w:rPr>
          <w:sz w:val="4"/>
        </w:rPr>
      </w:r>
    </w:p>
    <w:p>
      <w:pPr>
        <w:keepNext/>
        <w:spacing w:before="200" w:after="40"/>
      </w:pPr>
      <w:r>
        <w:rPr>
          <w:b/>
          <w:color w:val="2C3E50"/>
          <w:sz w:val="20"/>
        </w:rPr>
        <w:t>Table A.2: Portfolio Risk Metrics</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Mean Return (%)</w:t>
            </w:r>
          </w:p>
        </w:tc>
        <w:tc>
          <w:tcPr>
            <w:tcW w:type="dxa" w:w="4680"/>
          </w:tcPr>
          <w:p>
            <w:pPr>
              <w:spacing w:after="0"/>
            </w:pPr>
            <w:r/>
            <w:r>
              <w:rPr>
                <w:sz w:val="19"/>
              </w:rPr>
              <w:t>10.70</w:t>
            </w:r>
          </w:p>
        </w:tc>
      </w:tr>
      <w:tr>
        <w:tc>
          <w:tcPr>
            <w:tcW w:type="dxa" w:w="4680"/>
            <w:shd w:val="clear" w:color="auto" w:fill="EDF1F5"/>
          </w:tcPr>
          <w:p>
            <w:pPr>
              <w:spacing w:after="0"/>
            </w:pPr>
            <w:r/>
            <w:r>
              <w:rPr>
                <w:sz w:val="19"/>
              </w:rPr>
              <w:t>Std Dev (%)</w:t>
            </w:r>
          </w:p>
        </w:tc>
        <w:tc>
          <w:tcPr>
            <w:tcW w:type="dxa" w:w="4680"/>
            <w:shd w:val="clear" w:color="auto" w:fill="EDF1F5"/>
          </w:tcPr>
          <w:p>
            <w:pPr>
              <w:spacing w:after="0"/>
            </w:pPr>
            <w:r/>
            <w:r>
              <w:rPr>
                <w:sz w:val="19"/>
              </w:rPr>
              <w:t>13</w:t>
            </w:r>
          </w:p>
        </w:tc>
      </w:tr>
      <w:tr>
        <w:tc>
          <w:tcPr>
            <w:tcW w:type="dxa" w:w="4680"/>
          </w:tcPr>
          <w:p>
            <w:pPr>
              <w:spacing w:after="0"/>
            </w:pPr>
            <w:r/>
            <w:r>
              <w:rPr>
                <w:sz w:val="19"/>
              </w:rPr>
              <w:t>Sharpe Ratio</w:t>
            </w:r>
          </w:p>
        </w:tc>
        <w:tc>
          <w:tcPr>
            <w:tcW w:type="dxa" w:w="4680"/>
          </w:tcPr>
          <w:p>
            <w:pPr>
              <w:spacing w:after="0"/>
            </w:pPr>
            <w:r/>
            <w:r>
              <w:rPr>
                <w:sz w:val="19"/>
              </w:rPr>
              <w:t>0.82</w:t>
            </w:r>
          </w:p>
        </w:tc>
      </w:tr>
      <w:tr>
        <w:tc>
          <w:tcPr>
            <w:tcW w:type="dxa" w:w="4680"/>
            <w:shd w:val="clear" w:color="auto" w:fill="EDF1F5"/>
          </w:tcPr>
          <w:p>
            <w:pPr>
              <w:spacing w:after="0"/>
            </w:pPr>
            <w:r/>
            <w:r>
              <w:rPr>
                <w:sz w:val="19"/>
              </w:rPr>
              <w:t>VaR 95% (%)</w:t>
            </w:r>
          </w:p>
        </w:tc>
        <w:tc>
          <w:tcPr>
            <w:tcW w:type="dxa" w:w="4680"/>
            <w:shd w:val="clear" w:color="auto" w:fill="EDF1F5"/>
          </w:tcPr>
          <w:p>
            <w:pPr>
              <w:spacing w:after="0"/>
            </w:pPr>
            <w:r/>
            <w:r>
              <w:rPr>
                <w:sz w:val="19"/>
              </w:rPr>
              <w:t>-10.80</w:t>
            </w:r>
          </w:p>
        </w:tc>
      </w:tr>
      <w:tr>
        <w:tc>
          <w:tcPr>
            <w:tcW w:type="dxa" w:w="4680"/>
          </w:tcPr>
          <w:p>
            <w:pPr>
              <w:spacing w:after="0"/>
            </w:pPr>
            <w:r/>
            <w:r>
              <w:rPr>
                <w:sz w:val="19"/>
              </w:rPr>
              <w:t>CVaR 95% (%)</w:t>
            </w:r>
          </w:p>
        </w:tc>
        <w:tc>
          <w:tcPr>
            <w:tcW w:type="dxa" w:w="4680"/>
          </w:tcPr>
          <w:p>
            <w:pPr>
              <w:spacing w:after="0"/>
            </w:pPr>
            <w:r/>
            <w:r>
              <w:rPr>
                <w:sz w:val="19"/>
              </w:rPr>
              <w:t>-16.20</w:t>
            </w:r>
          </w:p>
        </w:tc>
      </w:tr>
    </w:tbl>
    <w:p>
      <w:pPr>
        <w:spacing w:after="80"/>
      </w:pPr>
      <w:r>
        <w:rPr>
          <w:sz w:val="4"/>
        </w:rPr>
      </w:r>
    </w:p>
    <w:p>
      <w:pPr>
        <w:keepNext/>
        <w:spacing w:before="200" w:after="40"/>
      </w:pPr>
      <w:r>
        <w:rPr>
          <w:b/>
          <w:color w:val="2C3E50"/>
          <w:sz w:val="20"/>
        </w:rPr>
        <w:t>Table A.3: Success Probability Scores</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Score</w:t>
            </w:r>
          </w:p>
        </w:tc>
        <w:tc>
          <w:tcPr>
            <w:tcW w:type="dxa" w:w="4680"/>
            <w:tblHeader w:val="true"/>
            <w:shd w:val="clear" w:color="auto" w:fill="2C3E50"/>
          </w:tcPr>
          <w:p>
            <w:pPr>
              <w:jc w:val="center"/>
            </w:pPr>
            <w:r/>
            <w:r>
              <w:rPr>
                <w:b/>
                <w:color w:val="FFFFFF"/>
                <w:sz w:val="20"/>
              </w:rPr>
              <w:t>Tier</w:t>
            </w:r>
          </w:p>
        </w:tc>
      </w:tr>
      <w:tr>
        <w:tc>
          <w:tcPr>
            <w:tcW w:type="dxa" w:w="4680"/>
          </w:tcPr>
          <w:p>
            <w:pPr>
              <w:spacing w:after="0"/>
            </w:pPr>
            <w:r/>
            <w:r>
              <w:rPr>
                <w:sz w:val="19"/>
              </w:rPr>
              <w:t>0.78</w:t>
            </w:r>
          </w:p>
        </w:tc>
        <w:tc>
          <w:tcPr>
            <w:tcW w:type="dxa" w:w="4680"/>
          </w:tcPr>
          <w:p>
            <w:pPr>
              <w:spacing w:after="0"/>
            </w:pPr>
            <w:r/>
            <w:r>
              <w:rPr>
                <w:sz w:val="19"/>
              </w:rPr>
              <w:t>High</w:t>
            </w:r>
          </w:p>
        </w:tc>
      </w:tr>
      <w:tr>
        <w:tc>
          <w:tcPr>
            <w:tcW w:type="dxa" w:w="4680"/>
            <w:shd w:val="clear" w:color="auto" w:fill="EDF1F5"/>
          </w:tcPr>
          <w:p>
            <w:pPr>
              <w:spacing w:after="0"/>
            </w:pPr>
            <w:r/>
            <w:r>
              <w:rPr>
                <w:sz w:val="19"/>
              </w:rPr>
              <w:t>0.75</w:t>
            </w:r>
          </w:p>
        </w:tc>
        <w:tc>
          <w:tcPr>
            <w:tcW w:type="dxa" w:w="4680"/>
            <w:shd w:val="clear" w:color="auto" w:fill="EDF1F5"/>
          </w:tcPr>
          <w:p>
            <w:pPr>
              <w:spacing w:after="0"/>
            </w:pPr>
            <w:r/>
            <w:r>
              <w:rPr>
                <w:sz w:val="19"/>
              </w:rPr>
              <w:t>High</w:t>
            </w:r>
          </w:p>
        </w:tc>
      </w:tr>
      <w:tr>
        <w:tc>
          <w:tcPr>
            <w:tcW w:type="dxa" w:w="4680"/>
          </w:tcPr>
          <w:p>
            <w:pPr>
              <w:spacing w:after="0"/>
            </w:pPr>
            <w:r/>
            <w:r>
              <w:rPr>
                <w:sz w:val="19"/>
              </w:rPr>
              <w:t>0.38</w:t>
            </w:r>
          </w:p>
        </w:tc>
        <w:tc>
          <w:tcPr>
            <w:tcW w:type="dxa" w:w="4680"/>
          </w:tcPr>
          <w:p>
            <w:pPr>
              <w:spacing w:after="0"/>
            </w:pPr>
            <w:r/>
            <w:r>
              <w:rPr>
                <w:sz w:val="19"/>
              </w:rPr>
              <w:t>Low</w:t>
            </w:r>
          </w:p>
        </w:tc>
      </w:tr>
      <w:tr>
        <w:tc>
          <w:tcPr>
            <w:tcW w:type="dxa" w:w="4680"/>
            <w:shd w:val="clear" w:color="auto" w:fill="EDF1F5"/>
          </w:tcPr>
          <w:p>
            <w:pPr>
              <w:spacing w:after="0"/>
            </w:pPr>
            <w:r/>
            <w:r>
              <w:rPr>
                <w:sz w:val="19"/>
              </w:rPr>
              <w:t>0.12</w:t>
            </w:r>
          </w:p>
        </w:tc>
        <w:tc>
          <w:tcPr>
            <w:tcW w:type="dxa" w:w="4680"/>
            <w:shd w:val="clear" w:color="auto" w:fill="EDF1F5"/>
          </w:tcPr>
          <w:p>
            <w:pPr>
              <w:spacing w:after="0"/>
            </w:pPr>
            <w:r/>
            <w:r>
              <w:rPr>
                <w:sz w:val="19"/>
              </w:rPr>
              <w:t>Low</w:t>
            </w:r>
          </w:p>
        </w:tc>
      </w:tr>
    </w:tbl>
    <w:p>
      <w:pPr>
        <w:spacing w:after="80"/>
      </w:pPr>
      <w:r>
        <w:rPr>
          <w:sz w:val="4"/>
        </w:rPr>
      </w:r>
    </w:p>
    <w:p>
      <w:pPr>
        <w:keepNext/>
        <w:spacing w:before="160"/>
        <w:jc w:val="center"/>
      </w:pPr>
      <w:r>
        <w:drawing>
          <wp:inline xmlns:a="http://schemas.openxmlformats.org/drawingml/2006/main" xmlns:pic="http://schemas.openxmlformats.org/drawingml/2006/picture">
            <wp:extent cx="5303520" cy="4124960"/>
            <wp:docPr id="18" name="Picture 18" descr="Figure 14: Network Risk (schematic)"/>
            <wp:cNvGraphicFramePr>
              <a:graphicFrameLocks noChangeAspect="1"/>
            </wp:cNvGraphicFramePr>
            <a:graphic>
              <a:graphicData uri="http://schemas.openxmlformats.org/drawingml/2006/picture">
                <pic:pic>
                  <pic:nvPicPr>
                    <pic:cNvPr id="0" name="figure_14.jpg"/>
                    <pic:cNvPicPr/>
                  </pic:nvPicPr>
                  <pic:blipFill>
                    <a:blip r:embed="rId28"/>
                    <a:stretch>
                      <a:fillRect/>
                    </a:stretch>
                  </pic:blipFill>
                  <pic:spPr>
                    <a:xfrm>
                      <a:off x="0" y="0"/>
                      <a:ext cx="5303520" cy="4124960"/>
                    </a:xfrm>
                    <a:prstGeom prst="rect"/>
                  </pic:spPr>
                </pic:pic>
              </a:graphicData>
            </a:graphic>
          </wp:inline>
        </w:drawing>
      </w:r>
    </w:p>
    <w:p>
      <w:pPr>
        <w:spacing w:after="200"/>
        <w:jc w:val="center"/>
      </w:pPr>
      <w:r>
        <w:rPr>
          <w:i/>
          <w:color w:val="404040"/>
          <w:sz w:val="18"/>
        </w:rPr>
        <w:t>Figure 14: Network Risk (schematic)</w:t>
      </w:r>
    </w:p>
    <w:p>
      <w:pPr>
        <w:keepNext/>
        <w:spacing w:before="160"/>
        <w:jc w:val="center"/>
      </w:pPr>
      <w:r>
        <w:drawing>
          <wp:inline xmlns:a="http://schemas.openxmlformats.org/drawingml/2006/main" xmlns:pic="http://schemas.openxmlformats.org/drawingml/2006/picture">
            <wp:extent cx="5303520" cy="3703625"/>
            <wp:docPr id="19" name="Picture 19" descr="Figure 15: Portfolio Risk (schematic)"/>
            <wp:cNvGraphicFramePr>
              <a:graphicFrameLocks noChangeAspect="1"/>
            </wp:cNvGraphicFramePr>
            <a:graphic>
              <a:graphicData uri="http://schemas.openxmlformats.org/drawingml/2006/picture">
                <pic:pic>
                  <pic:nvPicPr>
                    <pic:cNvPr id="0" name="figure_15.jpg"/>
                    <pic:cNvPicPr/>
                  </pic:nvPicPr>
                  <pic:blipFill>
                    <a:blip r:embed="rId29"/>
                    <a:stretch>
                      <a:fillRect/>
                    </a:stretch>
                  </pic:blipFill>
                  <pic:spPr>
                    <a:xfrm>
                      <a:off x="0" y="0"/>
                      <a:ext cx="5303520" cy="3703625"/>
                    </a:xfrm>
                    <a:prstGeom prst="rect"/>
                  </pic:spPr>
                </pic:pic>
              </a:graphicData>
            </a:graphic>
          </wp:inline>
        </w:drawing>
      </w:r>
    </w:p>
    <w:p>
      <w:pPr>
        <w:spacing w:after="200"/>
        <w:jc w:val="center"/>
      </w:pPr>
      <w:r>
        <w:rPr>
          <w:i/>
          <w:color w:val="404040"/>
          <w:sz w:val="18"/>
        </w:rPr>
        <w:t>Figure 15: Portfolio Risk (schematic)</w:t>
      </w:r>
    </w:p>
    <w:p>
      <w:pPr>
        <w:keepNext/>
        <w:spacing w:before="160"/>
        <w:jc w:val="center"/>
      </w:pPr>
      <w:r>
        <w:drawing>
          <wp:inline xmlns:a="http://schemas.openxmlformats.org/drawingml/2006/main" xmlns:pic="http://schemas.openxmlformats.org/drawingml/2006/picture">
            <wp:extent cx="5303520" cy="3703625"/>
            <wp:docPr id="20" name="Picture 20" descr="Figure 16: Shapley Values (schematic)"/>
            <wp:cNvGraphicFramePr>
              <a:graphicFrameLocks noChangeAspect="1"/>
            </wp:cNvGraphicFramePr>
            <a:graphic>
              <a:graphicData uri="http://schemas.openxmlformats.org/drawingml/2006/picture">
                <pic:pic>
                  <pic:nvPicPr>
                    <pic:cNvPr id="0" name="figure_16.jpg"/>
                    <pic:cNvPicPr/>
                  </pic:nvPicPr>
                  <pic:blipFill>
                    <a:blip r:embed="rId30"/>
                    <a:stretch>
                      <a:fillRect/>
                    </a:stretch>
                  </pic:blipFill>
                  <pic:spPr>
                    <a:xfrm>
                      <a:off x="0" y="0"/>
                      <a:ext cx="5303520" cy="3703625"/>
                    </a:xfrm>
                    <a:prstGeom prst="rect"/>
                  </pic:spPr>
                </pic:pic>
              </a:graphicData>
            </a:graphic>
          </wp:inline>
        </w:drawing>
      </w:r>
    </w:p>
    <w:p>
      <w:pPr>
        <w:spacing w:after="200"/>
        <w:jc w:val="center"/>
      </w:pPr>
      <w:r>
        <w:rPr>
          <w:i/>
          <w:color w:val="404040"/>
          <w:sz w:val="18"/>
        </w:rPr>
        <w:t>Figure 16: Shapley Values (schematic)</w:t>
      </w:r>
    </w:p>
    <w:p>
      <w:pPr>
        <w:pStyle w:val="Heading2"/>
      </w:pPr>
      <w:r>
        <w:t>7.5  Bubble formation probability (Table 7.10)</w:t>
      </w:r>
    </w:p>
    <w:p>
      <w:pPr>
        <w:keepNext/>
        <w:spacing w:before="200" w:after="40"/>
      </w:pPr>
      <w:r>
        <w:rPr>
          <w:b/>
          <w:color w:val="2C3E50"/>
          <w:sz w:val="20"/>
        </w:rPr>
        <w:t>Exhibit 7.4  Bubble-conditions probability by archetype (scenario-calibrated logistic composite, not a forecast)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index</w:t>
            </w:r>
          </w:p>
        </w:tc>
        <w:tc>
          <w:tcPr>
            <w:tcW w:type="dxa" w:w="1872"/>
            <w:tblHeader w:val="true"/>
            <w:shd w:val="clear" w:color="auto" w:fill="2C3E50"/>
          </w:tcPr>
          <w:p>
            <w:pPr>
              <w:jc w:val="center"/>
            </w:pPr>
            <w:r/>
            <w:r>
              <w:rPr>
                <w:b/>
                <w:color w:val="FFFFFF"/>
                <w:sz w:val="18"/>
              </w:rPr>
              <w:t>Foundation Models</w:t>
            </w:r>
          </w:p>
        </w:tc>
        <w:tc>
          <w:tcPr>
            <w:tcW w:type="dxa" w:w="1872"/>
            <w:tblHeader w:val="true"/>
            <w:shd w:val="clear" w:color="auto" w:fill="2C3E50"/>
          </w:tcPr>
          <w:p>
            <w:pPr>
              <w:jc w:val="center"/>
            </w:pPr>
            <w:r/>
            <w:r>
              <w:rPr>
                <w:b/>
                <w:color w:val="FFFFFF"/>
                <w:sz w:val="18"/>
              </w:rPr>
              <w:t>Hardware</w:t>
            </w:r>
          </w:p>
        </w:tc>
        <w:tc>
          <w:tcPr>
            <w:tcW w:type="dxa" w:w="1872"/>
            <w:tblHeader w:val="true"/>
            <w:shd w:val="clear" w:color="auto" w:fill="2C3E50"/>
          </w:tcPr>
          <w:p>
            <w:pPr>
              <w:jc w:val="center"/>
            </w:pPr>
            <w:r/>
            <w:r>
              <w:rPr>
                <w:b/>
                <w:color w:val="FFFFFF"/>
                <w:sz w:val="18"/>
              </w:rPr>
              <w:t>Cloud Providers</w:t>
            </w:r>
          </w:p>
        </w:tc>
        <w:tc>
          <w:tcPr>
            <w:tcW w:type="dxa" w:w="1872"/>
            <w:tblHeader w:val="true"/>
            <w:shd w:val="clear" w:color="auto" w:fill="2C3E50"/>
          </w:tcPr>
          <w:p>
            <w:pPr>
              <w:jc w:val="center"/>
            </w:pPr>
            <w:r/>
            <w:r>
              <w:rPr>
                <w:b/>
                <w:color w:val="FFFFFF"/>
                <w:sz w:val="18"/>
              </w:rPr>
              <w:t>LLM Wrappers</w:t>
            </w:r>
          </w:p>
        </w:tc>
      </w:tr>
      <w:tr>
        <w:tc>
          <w:tcPr>
            <w:tcW w:type="dxa" w:w="1872"/>
          </w:tcPr>
          <w:p>
            <w:pPr>
              <w:spacing w:after="0"/>
            </w:pPr>
            <w:r/>
            <w:r>
              <w:rPr>
                <w:sz w:val="17"/>
              </w:rPr>
              <w:t>Circular_Exposure</w:t>
            </w:r>
          </w:p>
        </w:tc>
        <w:tc>
          <w:tcPr>
            <w:tcW w:type="dxa" w:w="1872"/>
          </w:tcPr>
          <w:p>
            <w:pPr>
              <w:spacing w:after="0"/>
            </w:pPr>
            <w:r/>
            <w:r>
              <w:rPr>
                <w:sz w:val="17"/>
              </w:rPr>
              <w:t>0.80</w:t>
            </w:r>
          </w:p>
        </w:tc>
        <w:tc>
          <w:tcPr>
            <w:tcW w:type="dxa" w:w="1872"/>
          </w:tcPr>
          <w:p>
            <w:pPr>
              <w:spacing w:after="0"/>
            </w:pPr>
            <w:r/>
            <w:r>
              <w:rPr>
                <w:sz w:val="17"/>
              </w:rPr>
              <w:t>0.40</w:t>
            </w:r>
          </w:p>
        </w:tc>
        <w:tc>
          <w:tcPr>
            <w:tcW w:type="dxa" w:w="1872"/>
          </w:tcPr>
          <w:p>
            <w:pPr>
              <w:spacing w:after="0"/>
            </w:pPr>
            <w:r/>
            <w:r>
              <w:rPr>
                <w:sz w:val="17"/>
              </w:rPr>
              <w:t>0.23</w:t>
            </w:r>
          </w:p>
        </w:tc>
        <w:tc>
          <w:tcPr>
            <w:tcW w:type="dxa" w:w="1872"/>
          </w:tcPr>
          <w:p>
            <w:pPr>
              <w:spacing w:after="0"/>
            </w:pPr>
            <w:r/>
            <w:r>
              <w:rPr>
                <w:sz w:val="17"/>
              </w:rPr>
              <w:t>0.03</w:t>
            </w:r>
          </w:p>
        </w:tc>
      </w:tr>
      <w:tr>
        <w:tc>
          <w:tcPr>
            <w:tcW w:type="dxa" w:w="1872"/>
            <w:shd w:val="clear" w:color="auto" w:fill="EDF1F5"/>
          </w:tcPr>
          <w:p>
            <w:pPr>
              <w:spacing w:after="0"/>
            </w:pPr>
            <w:r/>
            <w:r>
              <w:rPr>
                <w:sz w:val="17"/>
              </w:rPr>
              <w:t>Capex_Intensity</w:t>
            </w:r>
          </w:p>
        </w:tc>
        <w:tc>
          <w:tcPr>
            <w:tcW w:type="dxa" w:w="1872"/>
            <w:shd w:val="clear" w:color="auto" w:fill="EDF1F5"/>
          </w:tcPr>
          <w:p>
            <w:pPr>
              <w:spacing w:after="0"/>
            </w:pPr>
            <w:r/>
            <w:r>
              <w:rPr>
                <w:sz w:val="17"/>
              </w:rPr>
              <w:t>0.70</w:t>
            </w:r>
          </w:p>
        </w:tc>
        <w:tc>
          <w:tcPr>
            <w:tcW w:type="dxa" w:w="1872"/>
            <w:shd w:val="clear" w:color="auto" w:fill="EDF1F5"/>
          </w:tcPr>
          <w:p>
            <w:pPr>
              <w:spacing w:after="0"/>
            </w:pPr>
            <w:r/>
            <w:r>
              <w:rPr>
                <w:sz w:val="17"/>
              </w:rPr>
              <w:t>0.90</w:t>
            </w:r>
          </w:p>
        </w:tc>
        <w:tc>
          <w:tcPr>
            <w:tcW w:type="dxa" w:w="1872"/>
            <w:shd w:val="clear" w:color="auto" w:fill="EDF1F5"/>
          </w:tcPr>
          <w:p>
            <w:pPr>
              <w:spacing w:after="0"/>
            </w:pPr>
            <w:r/>
            <w:r>
              <w:rPr>
                <w:sz w:val="17"/>
              </w:rPr>
              <w:t>0.60</w:t>
            </w:r>
          </w:p>
        </w:tc>
        <w:tc>
          <w:tcPr>
            <w:tcW w:type="dxa" w:w="1872"/>
            <w:shd w:val="clear" w:color="auto" w:fill="EDF1F5"/>
          </w:tcPr>
          <w:p>
            <w:pPr>
              <w:spacing w:after="0"/>
            </w:pPr>
            <w:r/>
            <w:r>
              <w:rPr>
                <w:sz w:val="17"/>
              </w:rPr>
              <w:t>0.20</w:t>
            </w:r>
          </w:p>
        </w:tc>
      </w:tr>
      <w:tr>
        <w:tc>
          <w:tcPr>
            <w:tcW w:type="dxa" w:w="1872"/>
          </w:tcPr>
          <w:p>
            <w:pPr>
              <w:spacing w:after="0"/>
            </w:pPr>
            <w:r/>
            <w:r>
              <w:rPr>
                <w:sz w:val="17"/>
              </w:rPr>
              <w:t>HHI_Share</w:t>
            </w:r>
          </w:p>
        </w:tc>
        <w:tc>
          <w:tcPr>
            <w:tcW w:type="dxa" w:w="1872"/>
          </w:tcPr>
          <w:p>
            <w:pPr>
              <w:spacing w:after="0"/>
            </w:pPr>
            <w:r/>
            <w:r>
              <w:rPr>
                <w:sz w:val="17"/>
              </w:rPr>
              <w:t>0.10</w:t>
            </w:r>
          </w:p>
        </w:tc>
        <w:tc>
          <w:tcPr>
            <w:tcW w:type="dxa" w:w="1872"/>
          </w:tcPr>
          <w:p>
            <w:pPr>
              <w:spacing w:after="0"/>
            </w:pPr>
            <w:r/>
            <w:r>
              <w:rPr>
                <w:sz w:val="17"/>
              </w:rPr>
              <w:t>0.46</w:t>
            </w:r>
          </w:p>
        </w:tc>
        <w:tc>
          <w:tcPr>
            <w:tcW w:type="dxa" w:w="1872"/>
          </w:tcPr>
          <w:p>
            <w:pPr>
              <w:spacing w:after="0"/>
            </w:pPr>
            <w:r/>
            <w:r>
              <w:rPr>
                <w:sz w:val="17"/>
              </w:rPr>
              <w:t>0.40</w:t>
            </w:r>
          </w:p>
        </w:tc>
        <w:tc>
          <w:tcPr>
            <w:tcW w:type="dxa" w:w="1872"/>
          </w:tcPr>
          <w:p>
            <w:pPr>
              <w:spacing w:after="0"/>
            </w:pPr>
            <w:r/>
            <w:r>
              <w:rPr>
                <w:sz w:val="17"/>
              </w:rPr>
              <w:t>0.04</w:t>
            </w:r>
          </w:p>
        </w:tc>
      </w:tr>
      <w:tr>
        <w:tc>
          <w:tcPr>
            <w:tcW w:type="dxa" w:w="1872"/>
            <w:shd w:val="clear" w:color="auto" w:fill="EDF1F5"/>
          </w:tcPr>
          <w:p>
            <w:pPr>
              <w:spacing w:after="0"/>
            </w:pPr>
            <w:r/>
            <w:r>
              <w:rPr>
                <w:sz w:val="17"/>
              </w:rPr>
              <w:t>Exuberance</w:t>
            </w:r>
          </w:p>
        </w:tc>
        <w:tc>
          <w:tcPr>
            <w:tcW w:type="dxa" w:w="1872"/>
            <w:shd w:val="clear" w:color="auto" w:fill="EDF1F5"/>
          </w:tcPr>
          <w:p>
            <w:pPr>
              <w:spacing w:after="0"/>
            </w:pPr>
            <w:r/>
            <w:r>
              <w:rPr>
                <w:sz w:val="17"/>
              </w:rPr>
              <w:t>1</w:t>
            </w:r>
          </w:p>
        </w:tc>
        <w:tc>
          <w:tcPr>
            <w:tcW w:type="dxa" w:w="1872"/>
            <w:shd w:val="clear" w:color="auto" w:fill="EDF1F5"/>
          </w:tcPr>
          <w:p>
            <w:pPr>
              <w:spacing w:after="0"/>
            </w:pPr>
            <w:r/>
            <w:r>
              <w:rPr>
                <w:sz w:val="17"/>
              </w:rPr>
              <w:t>0.83</w:t>
            </w:r>
          </w:p>
        </w:tc>
        <w:tc>
          <w:tcPr>
            <w:tcW w:type="dxa" w:w="1872"/>
            <w:shd w:val="clear" w:color="auto" w:fill="EDF1F5"/>
          </w:tcPr>
          <w:p>
            <w:pPr>
              <w:spacing w:after="0"/>
            </w:pPr>
            <w:r/>
            <w:r>
              <w:rPr>
                <w:sz w:val="17"/>
              </w:rPr>
              <w:t>0.09</w:t>
            </w:r>
          </w:p>
        </w:tc>
        <w:tc>
          <w:tcPr>
            <w:tcW w:type="dxa" w:w="1872"/>
            <w:shd w:val="clear" w:color="auto" w:fill="EDF1F5"/>
          </w:tcPr>
          <w:p>
            <w:pPr>
              <w:spacing w:after="0"/>
            </w:pPr>
            <w:r/>
            <w:r>
              <w:rPr>
                <w:sz w:val="17"/>
              </w:rPr>
              <w:t>1</w:t>
            </w:r>
          </w:p>
        </w:tc>
      </w:tr>
      <w:tr>
        <w:tc>
          <w:tcPr>
            <w:tcW w:type="dxa" w:w="1872"/>
          </w:tcPr>
          <w:p>
            <w:pPr>
              <w:spacing w:after="0"/>
            </w:pPr>
            <w:r/>
            <w:r>
              <w:rPr>
                <w:sz w:val="17"/>
              </w:rPr>
              <w:t>Z_Score</w:t>
            </w:r>
          </w:p>
        </w:tc>
        <w:tc>
          <w:tcPr>
            <w:tcW w:type="dxa" w:w="1872"/>
          </w:tcPr>
          <w:p>
            <w:pPr>
              <w:spacing w:after="0"/>
            </w:pPr>
            <w:r/>
            <w:r>
              <w:rPr>
                <w:sz w:val="17"/>
              </w:rPr>
              <w:t>1.58</w:t>
            </w:r>
          </w:p>
        </w:tc>
        <w:tc>
          <w:tcPr>
            <w:tcW w:type="dxa" w:w="1872"/>
          </w:tcPr>
          <w:p>
            <w:pPr>
              <w:spacing w:after="0"/>
            </w:pPr>
            <w:r/>
            <w:r>
              <w:rPr>
                <w:sz w:val="17"/>
              </w:rPr>
              <w:t>1.24</w:t>
            </w:r>
          </w:p>
        </w:tc>
        <w:tc>
          <w:tcPr>
            <w:tcW w:type="dxa" w:w="1872"/>
          </w:tcPr>
          <w:p>
            <w:pPr>
              <w:spacing w:after="0"/>
            </w:pPr>
            <w:r/>
            <w:r>
              <w:rPr>
                <w:sz w:val="17"/>
              </w:rPr>
              <w:t>0.07</w:t>
            </w:r>
          </w:p>
        </w:tc>
        <w:tc>
          <w:tcPr>
            <w:tcW w:type="dxa" w:w="1872"/>
          </w:tcPr>
          <w:p>
            <w:pPr>
              <w:spacing w:after="0"/>
            </w:pPr>
            <w:r/>
            <w:r>
              <w:rPr>
                <w:sz w:val="17"/>
              </w:rPr>
              <w:t>-0.15</w:t>
            </w:r>
          </w:p>
        </w:tc>
      </w:tr>
      <w:tr>
        <w:tc>
          <w:tcPr>
            <w:tcW w:type="dxa" w:w="1872"/>
            <w:shd w:val="clear" w:color="auto" w:fill="EDF1F5"/>
          </w:tcPr>
          <w:p>
            <w:pPr>
              <w:spacing w:after="0"/>
            </w:pPr>
            <w:r/>
            <w:r>
              <w:rPr>
                <w:sz w:val="17"/>
              </w:rPr>
              <w:t>Formation_Prob_Pct</w:t>
            </w:r>
          </w:p>
        </w:tc>
        <w:tc>
          <w:tcPr>
            <w:tcW w:type="dxa" w:w="1872"/>
            <w:shd w:val="clear" w:color="auto" w:fill="EDF1F5"/>
          </w:tcPr>
          <w:p>
            <w:pPr>
              <w:spacing w:after="0"/>
            </w:pPr>
            <w:r/>
            <w:r>
              <w:rPr>
                <w:sz w:val="17"/>
              </w:rPr>
              <w:t>82.90</w:t>
            </w:r>
          </w:p>
        </w:tc>
        <w:tc>
          <w:tcPr>
            <w:tcW w:type="dxa" w:w="1872"/>
            <w:shd w:val="clear" w:color="auto" w:fill="EDF1F5"/>
          </w:tcPr>
          <w:p>
            <w:pPr>
              <w:spacing w:after="0"/>
            </w:pPr>
            <w:r/>
            <w:r>
              <w:rPr>
                <w:sz w:val="17"/>
              </w:rPr>
              <w:t>77.50</w:t>
            </w:r>
          </w:p>
        </w:tc>
        <w:tc>
          <w:tcPr>
            <w:tcW w:type="dxa" w:w="1872"/>
            <w:shd w:val="clear" w:color="auto" w:fill="EDF1F5"/>
          </w:tcPr>
          <w:p>
            <w:pPr>
              <w:spacing w:after="0"/>
            </w:pPr>
            <w:r/>
            <w:r>
              <w:rPr>
                <w:sz w:val="17"/>
              </w:rPr>
              <w:t>51.70</w:t>
            </w:r>
          </w:p>
        </w:tc>
        <w:tc>
          <w:tcPr>
            <w:tcW w:type="dxa" w:w="1872"/>
            <w:shd w:val="clear" w:color="auto" w:fill="EDF1F5"/>
          </w:tcPr>
          <w:p>
            <w:pPr>
              <w:spacing w:after="0"/>
            </w:pPr>
            <w:r/>
            <w:r>
              <w:rPr>
                <w:sz w:val="17"/>
              </w:rPr>
              <w:t>46.20</w:t>
            </w:r>
          </w:p>
        </w:tc>
      </w:tr>
      <w:tr>
        <w:tc>
          <w:tcPr>
            <w:tcW w:type="dxa" w:w="1872"/>
          </w:tcPr>
          <w:p>
            <w:pPr>
              <w:spacing w:after="0"/>
            </w:pPr>
            <w:r/>
            <w:r>
              <w:rPr>
                <w:sz w:val="17"/>
              </w:rPr>
              <w:t>Prob_Low_Pct</w:t>
            </w:r>
          </w:p>
        </w:tc>
        <w:tc>
          <w:tcPr>
            <w:tcW w:type="dxa" w:w="1872"/>
          </w:tcPr>
          <w:p>
            <w:pPr>
              <w:spacing w:after="0"/>
            </w:pPr>
            <w:r/>
            <w:r>
              <w:rPr>
                <w:sz w:val="17"/>
              </w:rPr>
              <w:t>76.50</w:t>
            </w:r>
          </w:p>
        </w:tc>
        <w:tc>
          <w:tcPr>
            <w:tcW w:type="dxa" w:w="1872"/>
          </w:tcPr>
          <w:p>
            <w:pPr>
              <w:spacing w:after="0"/>
            </w:pPr>
            <w:r/>
            <w:r>
              <w:rPr>
                <w:sz w:val="17"/>
              </w:rPr>
              <w:t>69.80</w:t>
            </w:r>
          </w:p>
        </w:tc>
        <w:tc>
          <w:tcPr>
            <w:tcW w:type="dxa" w:w="1872"/>
          </w:tcPr>
          <w:p>
            <w:pPr>
              <w:spacing w:after="0"/>
            </w:pPr>
            <w:r/>
            <w:r>
              <w:rPr>
                <w:sz w:val="17"/>
              </w:rPr>
              <w:t>41.80</w:t>
            </w:r>
          </w:p>
        </w:tc>
        <w:tc>
          <w:tcPr>
            <w:tcW w:type="dxa" w:w="1872"/>
          </w:tcPr>
          <w:p>
            <w:pPr>
              <w:spacing w:after="0"/>
            </w:pPr>
            <w:r/>
            <w:r>
              <w:rPr>
                <w:sz w:val="17"/>
              </w:rPr>
              <w:t>36.50</w:t>
            </w:r>
          </w:p>
        </w:tc>
      </w:tr>
      <w:tr>
        <w:tc>
          <w:tcPr>
            <w:tcW w:type="dxa" w:w="1872"/>
            <w:shd w:val="clear" w:color="auto" w:fill="EDF1F5"/>
          </w:tcPr>
          <w:p>
            <w:pPr>
              <w:spacing w:after="0"/>
            </w:pPr>
            <w:r/>
            <w:r>
              <w:rPr>
                <w:sz w:val="17"/>
              </w:rPr>
              <w:t>Prob_High_Pct</w:t>
            </w:r>
          </w:p>
        </w:tc>
        <w:tc>
          <w:tcPr>
            <w:tcW w:type="dxa" w:w="1872"/>
            <w:shd w:val="clear" w:color="auto" w:fill="EDF1F5"/>
          </w:tcPr>
          <w:p>
            <w:pPr>
              <w:spacing w:after="0"/>
            </w:pPr>
            <w:r/>
            <w:r>
              <w:rPr>
                <w:sz w:val="17"/>
              </w:rPr>
              <w:t>87.90</w:t>
            </w:r>
          </w:p>
        </w:tc>
        <w:tc>
          <w:tcPr>
            <w:tcW w:type="dxa" w:w="1872"/>
            <w:shd w:val="clear" w:color="auto" w:fill="EDF1F5"/>
          </w:tcPr>
          <w:p>
            <w:pPr>
              <w:spacing w:after="0"/>
            </w:pPr>
            <w:r/>
            <w:r>
              <w:rPr>
                <w:sz w:val="17"/>
              </w:rPr>
              <w:t>83.70</w:t>
            </w:r>
          </w:p>
        </w:tc>
        <w:tc>
          <w:tcPr>
            <w:tcW w:type="dxa" w:w="1872"/>
            <w:shd w:val="clear" w:color="auto" w:fill="EDF1F5"/>
          </w:tcPr>
          <w:p>
            <w:pPr>
              <w:spacing w:after="0"/>
            </w:pPr>
            <w:r/>
            <w:r>
              <w:rPr>
                <w:sz w:val="17"/>
              </w:rPr>
              <w:t>61.50</w:t>
            </w:r>
          </w:p>
        </w:tc>
        <w:tc>
          <w:tcPr>
            <w:tcW w:type="dxa" w:w="1872"/>
            <w:shd w:val="clear" w:color="auto" w:fill="EDF1F5"/>
          </w:tcPr>
          <w:p>
            <w:pPr>
              <w:spacing w:after="0"/>
            </w:pPr>
            <w:r/>
            <w:r>
              <w:rPr>
                <w:sz w:val="17"/>
              </w:rPr>
              <w:t>56.10</w:t>
            </w:r>
          </w:p>
        </w:tc>
      </w:tr>
    </w:tbl>
    <w:p>
      <w:pPr>
        <w:spacing w:after="80"/>
      </w:pPr>
      <w:r>
        <w:rPr>
          <w:sz w:val="4"/>
        </w:rPr>
      </w:r>
    </w:p>
    <w:p>
      <w:pPr>
        <w:spacing w:after="120"/>
      </w:pPr>
      <w:r>
        <w:rPr>
          <w:b w:val="0"/>
          <w:i w:val="0"/>
          <w:sz w:val="21"/>
        </w:rPr>
        <w:t>Highest bubble-conditions probability: Foundation Models (82.9%, band 76.5-87.9%). Circular exposure dominates the composite by mechanism design (R5/A8). Rank-order validation (300 joint perturbations of all judgment weights, seed 7): formation order exact in 65% of draws (mean Kendall tau 0.88, FM top in 90%); burst order exact in 100% (tau 1.00) with Hardware first in 100% of draws -- a decisive Hardware lead on base totals, preserved in 10/16 formation and 16/16 burst one-at-a-time runs (halving/doubling plus 0.25x/4x extremes). Levels move ~±25pp across draws: the rank structure, not the point estimates, is the finding.</w:t>
      </w:r>
    </w:p>
    <w:p>
      <w:pPr>
        <w:pStyle w:val="Heading2"/>
      </w:pPr>
      <w:r>
        <w:t>7.6  Burst impact ranking and GDP-at-risk (Tables 7.11-7.12)</w:t>
      </w:r>
    </w:p>
    <w:p>
      <w:pPr>
        <w:keepNext/>
        <w:spacing w:before="200" w:after="40"/>
      </w:pPr>
      <w:r>
        <w:rPr>
          <w:b/>
          <w:color w:val="2C3E50"/>
          <w:sz w:val="20"/>
        </w:rPr>
        <w:t>Exhibit 7.5  Burst impact ranking (descending severe loss; direct circular impairment + one network round)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Archetype</w:t>
            </w:r>
          </w:p>
        </w:tc>
        <w:tc>
          <w:tcPr>
            <w:tcW w:type="dxa" w:w="1872"/>
            <w:tblHeader w:val="true"/>
            <w:shd w:val="clear" w:color="auto" w:fill="2C3E50"/>
          </w:tcPr>
          <w:p>
            <w:pPr>
              <w:jc w:val="center"/>
            </w:pPr>
            <w:r/>
            <w:r>
              <w:rPr>
                <w:b/>
                <w:color w:val="FFFFFF"/>
                <w:sz w:val="18"/>
              </w:rPr>
              <w:t>Burst_Rank</w:t>
            </w:r>
          </w:p>
        </w:tc>
        <w:tc>
          <w:tcPr>
            <w:tcW w:type="dxa" w:w="1872"/>
            <w:tblHeader w:val="true"/>
            <w:shd w:val="clear" w:color="auto" w:fill="2C3E50"/>
          </w:tcPr>
          <w:p>
            <w:pPr>
              <w:jc w:val="center"/>
            </w:pPr>
            <w:r/>
            <w:r>
              <w:rPr>
                <w:b/>
                <w:color w:val="FFFFFF"/>
                <w:sz w:val="18"/>
              </w:rPr>
              <w:t>Total_Loss_Severe_$B</w:t>
            </w:r>
          </w:p>
        </w:tc>
        <w:tc>
          <w:tcPr>
            <w:tcW w:type="dxa" w:w="1872"/>
            <w:tblHeader w:val="true"/>
            <w:shd w:val="clear" w:color="auto" w:fill="2C3E50"/>
          </w:tcPr>
          <w:p>
            <w:pPr>
              <w:jc w:val="center"/>
            </w:pPr>
            <w:r/>
            <w:r>
              <w:rPr>
                <w:b/>
                <w:color w:val="FFFFFF"/>
                <w:sz w:val="18"/>
              </w:rPr>
              <w:t>Equity_Impact_Severe_Pct</w:t>
            </w:r>
          </w:p>
        </w:tc>
        <w:tc>
          <w:tcPr>
            <w:tcW w:type="dxa" w:w="1872"/>
            <w:tblHeader w:val="true"/>
            <w:shd w:val="clear" w:color="auto" w:fill="2C3E50"/>
          </w:tcPr>
          <w:p>
            <w:pPr>
              <w:jc w:val="center"/>
            </w:pPr>
            <w:r/>
            <w:r>
              <w:rPr>
                <w:b/>
                <w:color w:val="FFFFFF"/>
                <w:sz w:val="18"/>
              </w:rPr>
              <w:t>Revenue_Impact_Severe_Pct</w:t>
            </w:r>
          </w:p>
        </w:tc>
      </w:tr>
      <w:tr>
        <w:tc>
          <w:tcPr>
            <w:tcW w:type="dxa" w:w="1872"/>
          </w:tcPr>
          <w:p>
            <w:pPr>
              <w:spacing w:after="0"/>
            </w:pPr>
            <w:r/>
            <w:r>
              <w:rPr>
                <w:sz w:val="17"/>
              </w:rPr>
              <w:t>Hardware</w:t>
            </w:r>
          </w:p>
        </w:tc>
        <w:tc>
          <w:tcPr>
            <w:tcW w:type="dxa" w:w="1872"/>
          </w:tcPr>
          <w:p>
            <w:pPr>
              <w:spacing w:after="0"/>
            </w:pPr>
            <w:r/>
            <w:r>
              <w:rPr>
                <w:sz w:val="17"/>
              </w:rPr>
              <w:t>1</w:t>
            </w:r>
          </w:p>
        </w:tc>
        <w:tc>
          <w:tcPr>
            <w:tcW w:type="dxa" w:w="1872"/>
          </w:tcPr>
          <w:p>
            <w:pPr>
              <w:spacing w:after="0"/>
            </w:pPr>
            <w:r/>
            <w:r>
              <w:rPr>
                <w:sz w:val="17"/>
              </w:rPr>
              <w:t>239.40</w:t>
            </w:r>
          </w:p>
        </w:tc>
        <w:tc>
          <w:tcPr>
            <w:tcW w:type="dxa" w:w="1872"/>
          </w:tcPr>
          <w:p>
            <w:pPr>
              <w:spacing w:after="0"/>
            </w:pPr>
            <w:r/>
            <w:r>
              <w:rPr>
                <w:sz w:val="17"/>
              </w:rPr>
              <w:t>3</w:t>
            </w:r>
          </w:p>
        </w:tc>
        <w:tc>
          <w:tcPr>
            <w:tcW w:type="dxa" w:w="1872"/>
          </w:tcPr>
          <w:p>
            <w:pPr>
              <w:spacing w:after="0"/>
            </w:pPr>
            <w:r/>
            <w:r>
              <w:rPr>
                <w:sz w:val="17"/>
              </w:rPr>
              <w:t>50.40</w:t>
            </w:r>
          </w:p>
        </w:tc>
      </w:tr>
      <w:tr>
        <w:tc>
          <w:tcPr>
            <w:tcW w:type="dxa" w:w="1872"/>
            <w:shd w:val="clear" w:color="auto" w:fill="EDF1F5"/>
          </w:tcPr>
          <w:p>
            <w:pPr>
              <w:spacing w:after="0"/>
            </w:pPr>
            <w:r/>
            <w:r>
              <w:rPr>
                <w:sz w:val="17"/>
              </w:rPr>
              <w:t>Cloud Providers</w:t>
            </w:r>
          </w:p>
        </w:tc>
        <w:tc>
          <w:tcPr>
            <w:tcW w:type="dxa" w:w="1872"/>
            <w:shd w:val="clear" w:color="auto" w:fill="EDF1F5"/>
          </w:tcPr>
          <w:p>
            <w:pPr>
              <w:spacing w:after="0"/>
            </w:pPr>
            <w:r/>
            <w:r>
              <w:rPr>
                <w:sz w:val="17"/>
              </w:rPr>
              <w:t>2</w:t>
            </w:r>
          </w:p>
        </w:tc>
        <w:tc>
          <w:tcPr>
            <w:tcW w:type="dxa" w:w="1872"/>
            <w:shd w:val="clear" w:color="auto" w:fill="EDF1F5"/>
          </w:tcPr>
          <w:p>
            <w:pPr>
              <w:spacing w:after="0"/>
            </w:pPr>
            <w:r/>
            <w:r>
              <w:rPr>
                <w:sz w:val="17"/>
              </w:rPr>
              <w:t>132.70</w:t>
            </w:r>
          </w:p>
        </w:tc>
        <w:tc>
          <w:tcPr>
            <w:tcW w:type="dxa" w:w="1872"/>
            <w:shd w:val="clear" w:color="auto" w:fill="EDF1F5"/>
          </w:tcPr>
          <w:p>
            <w:pPr>
              <w:spacing w:after="0"/>
            </w:pPr>
            <w:r/>
            <w:r>
              <w:rPr>
                <w:sz w:val="17"/>
              </w:rPr>
              <w:t>1.10</w:t>
            </w:r>
          </w:p>
        </w:tc>
        <w:tc>
          <w:tcPr>
            <w:tcW w:type="dxa" w:w="1872"/>
            <w:shd w:val="clear" w:color="auto" w:fill="EDF1F5"/>
          </w:tcPr>
          <w:p>
            <w:pPr>
              <w:spacing w:after="0"/>
            </w:pPr>
            <w:r/>
            <w:r>
              <w:rPr>
                <w:sz w:val="17"/>
              </w:rPr>
              <w:t>31.80</w:t>
            </w:r>
          </w:p>
        </w:tc>
      </w:tr>
      <w:tr>
        <w:tc>
          <w:tcPr>
            <w:tcW w:type="dxa" w:w="1872"/>
          </w:tcPr>
          <w:p>
            <w:pPr>
              <w:spacing w:after="0"/>
            </w:pPr>
            <w:r/>
            <w:r>
              <w:rPr>
                <w:sz w:val="17"/>
              </w:rPr>
              <w:t>Foundation Models</w:t>
            </w:r>
          </w:p>
        </w:tc>
        <w:tc>
          <w:tcPr>
            <w:tcW w:type="dxa" w:w="1872"/>
          </w:tcPr>
          <w:p>
            <w:pPr>
              <w:spacing w:after="0"/>
            </w:pPr>
            <w:r/>
            <w:r>
              <w:rPr>
                <w:sz w:val="17"/>
              </w:rPr>
              <w:t>3</w:t>
            </w:r>
          </w:p>
        </w:tc>
        <w:tc>
          <w:tcPr>
            <w:tcW w:type="dxa" w:w="1872"/>
          </w:tcPr>
          <w:p>
            <w:pPr>
              <w:spacing w:after="0"/>
            </w:pPr>
            <w:r/>
            <w:r>
              <w:rPr>
                <w:sz w:val="17"/>
              </w:rPr>
              <w:t>85.39</w:t>
            </w:r>
          </w:p>
        </w:tc>
        <w:tc>
          <w:tcPr>
            <w:tcW w:type="dxa" w:w="1872"/>
          </w:tcPr>
          <w:p>
            <w:pPr>
              <w:spacing w:after="0"/>
            </w:pPr>
            <w:r/>
            <w:r>
              <w:rPr>
                <w:sz w:val="17"/>
              </w:rPr>
              <w:t>3.50</w:t>
            </w:r>
          </w:p>
        </w:tc>
        <w:tc>
          <w:tcPr>
            <w:tcW w:type="dxa" w:w="1872"/>
          </w:tcPr>
          <w:p>
            <w:pPr>
              <w:spacing w:after="0"/>
            </w:pPr>
            <w:r/>
            <w:r>
              <w:rPr>
                <w:sz w:val="17"/>
              </w:rPr>
              <w:t>80.20</w:t>
            </w:r>
          </w:p>
        </w:tc>
      </w:tr>
      <w:tr>
        <w:tc>
          <w:tcPr>
            <w:tcW w:type="dxa" w:w="1872"/>
            <w:shd w:val="clear" w:color="auto" w:fill="EDF1F5"/>
          </w:tcPr>
          <w:p>
            <w:pPr>
              <w:spacing w:after="0"/>
            </w:pPr>
            <w:r/>
            <w:r>
              <w:rPr>
                <w:sz w:val="17"/>
              </w:rPr>
              <w:t>LLM Wrappers</w:t>
            </w:r>
          </w:p>
        </w:tc>
        <w:tc>
          <w:tcPr>
            <w:tcW w:type="dxa" w:w="1872"/>
            <w:shd w:val="clear" w:color="auto" w:fill="EDF1F5"/>
          </w:tcPr>
          <w:p>
            <w:pPr>
              <w:spacing w:after="0"/>
            </w:pPr>
            <w:r/>
            <w:r>
              <w:rPr>
                <w:sz w:val="17"/>
              </w:rPr>
              <w:t>4</w:t>
            </w:r>
          </w:p>
        </w:tc>
        <w:tc>
          <w:tcPr>
            <w:tcW w:type="dxa" w:w="1872"/>
            <w:shd w:val="clear" w:color="auto" w:fill="EDF1F5"/>
          </w:tcPr>
          <w:p>
            <w:pPr>
              <w:spacing w:after="0"/>
            </w:pPr>
            <w:r/>
            <w:r>
              <w:rPr>
                <w:sz w:val="17"/>
              </w:rPr>
              <w:t>20.83</w:t>
            </w:r>
          </w:p>
        </w:tc>
        <w:tc>
          <w:tcPr>
            <w:tcW w:type="dxa" w:w="1872"/>
            <w:shd w:val="clear" w:color="auto" w:fill="EDF1F5"/>
          </w:tcPr>
          <w:p>
            <w:pPr>
              <w:spacing w:after="0"/>
            </w:pPr>
            <w:r/>
            <w:r>
              <w:rPr>
                <w:sz w:val="17"/>
              </w:rPr>
              <w:t>2.40</w:t>
            </w:r>
          </w:p>
        </w:tc>
        <w:tc>
          <w:tcPr>
            <w:tcW w:type="dxa" w:w="1872"/>
            <w:shd w:val="clear" w:color="auto" w:fill="EDF1F5"/>
          </w:tcPr>
          <w:p>
            <w:pPr>
              <w:spacing w:after="0"/>
            </w:pPr>
            <w:r/>
            <w:r>
              <w:rPr>
                <w:sz w:val="17"/>
              </w:rPr>
              <w:t>57.90</w:t>
            </w:r>
          </w:p>
        </w:tc>
      </w:tr>
    </w:tbl>
    <w:p>
      <w:pPr>
        <w:spacing w:after="80"/>
      </w:pPr>
      <w:r>
        <w:rPr>
          <w:sz w:val="4"/>
        </w:rPr>
      </w:r>
    </w:p>
    <w:p>
      <w:pPr>
        <w:spacing w:after="120"/>
      </w:pPr>
      <w:r>
        <w:rPr>
          <w:b w:val="0"/>
          <w:i w:val="0"/>
          <w:sz w:val="21"/>
        </w:rPr>
        <w:t>Worst hit: Hardware (rank 1, -$239.4B, 3.0% of market cap). Severe bust destroys $478.3B across archetypes; mild-scenario losses are an order of magnitude smaller (see full table).</w:t>
      </w:r>
    </w:p>
    <w:p>
      <w:pPr>
        <w:keepNext/>
        <w:spacing w:before="200" w:after="40"/>
      </w:pPr>
      <w:r>
        <w:rPr>
          <w:b/>
          <w:color w:val="2C3E50"/>
          <w:sz w:val="20"/>
        </w:rPr>
        <w:t>Exhibit 7.6  US GDP-at-risk (AI-capex + wealth channels; BEA $30.8T baseline, no multiplier)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Channel</w:t>
            </w:r>
          </w:p>
        </w:tc>
        <w:tc>
          <w:tcPr>
            <w:tcW w:type="dxa" w:w="1872"/>
            <w:tblHeader w:val="true"/>
            <w:shd w:val="clear" w:color="auto" w:fill="2C3E50"/>
          </w:tcPr>
          <w:p>
            <w:pPr>
              <w:jc w:val="center"/>
            </w:pPr>
            <w:r/>
            <w:r>
              <w:rPr>
                <w:b/>
                <w:color w:val="FFFFFF"/>
                <w:sz w:val="18"/>
              </w:rPr>
              <w:t>Severity</w:t>
            </w:r>
          </w:p>
        </w:tc>
        <w:tc>
          <w:tcPr>
            <w:tcW w:type="dxa" w:w="1872"/>
            <w:tblHeader w:val="true"/>
            <w:shd w:val="clear" w:color="auto" w:fill="2C3E50"/>
          </w:tcPr>
          <w:p>
            <w:pPr>
              <w:jc w:val="center"/>
            </w:pPr>
            <w:r/>
            <w:r>
              <w:rPr>
                <w:b/>
                <w:color w:val="FFFFFF"/>
                <w:sz w:val="18"/>
              </w:rPr>
              <w:t>GDP_Loss_$B</w:t>
            </w:r>
          </w:p>
        </w:tc>
        <w:tc>
          <w:tcPr>
            <w:tcW w:type="dxa" w:w="1872"/>
            <w:tblHeader w:val="true"/>
            <w:shd w:val="clear" w:color="auto" w:fill="2C3E50"/>
          </w:tcPr>
          <w:p>
            <w:pPr>
              <w:jc w:val="center"/>
            </w:pPr>
            <w:r/>
            <w:r>
              <w:rPr>
                <w:b/>
                <w:color w:val="FFFFFF"/>
                <w:sz w:val="18"/>
              </w:rPr>
              <w:t>GDP_Share_Pct</w:t>
            </w:r>
          </w:p>
        </w:tc>
        <w:tc>
          <w:tcPr>
            <w:tcW w:type="dxa" w:w="1872"/>
            <w:tblHeader w:val="true"/>
            <w:shd w:val="clear" w:color="auto" w:fill="2C3E50"/>
          </w:tcPr>
          <w:p>
            <w:pPr>
              <w:jc w:val="center"/>
            </w:pPr>
            <w:r/>
            <w:r>
              <w:rPr>
                <w:b/>
                <w:color w:val="FFFFFF"/>
                <w:sz w:val="18"/>
              </w:rPr>
              <w:t>Basis</w:t>
            </w:r>
          </w:p>
        </w:tc>
      </w:tr>
      <w:tr>
        <w:tc>
          <w:tcPr>
            <w:tcW w:type="dxa" w:w="1872"/>
          </w:tcPr>
          <w:p>
            <w:pPr>
              <w:spacing w:after="0"/>
            </w:pPr>
            <w:r/>
            <w:r>
              <w:rPr>
                <w:sz w:val="17"/>
              </w:rPr>
              <w:t>AI capex cut</w:t>
            </w:r>
          </w:p>
        </w:tc>
        <w:tc>
          <w:tcPr>
            <w:tcW w:type="dxa" w:w="1872"/>
          </w:tcPr>
          <w:p>
            <w:pPr>
              <w:spacing w:after="0"/>
            </w:pPr>
            <w:r/>
            <w:r>
              <w:rPr>
                <w:sz w:val="17"/>
              </w:rPr>
              <w:t>mild</w:t>
            </w:r>
          </w:p>
        </w:tc>
        <w:tc>
          <w:tcPr>
            <w:tcW w:type="dxa" w:w="1872"/>
          </w:tcPr>
          <w:p>
            <w:pPr>
              <w:spacing w:after="0"/>
            </w:pPr>
            <w:r/>
            <w:r>
              <w:rPr>
                <w:sz w:val="17"/>
              </w:rPr>
              <w:t>40</w:t>
            </w:r>
          </w:p>
        </w:tc>
        <w:tc>
          <w:tcPr>
            <w:tcW w:type="dxa" w:w="1872"/>
          </w:tcPr>
          <w:p>
            <w:pPr>
              <w:spacing w:after="0"/>
            </w:pPr>
            <w:r/>
            <w:r>
              <w:rPr>
                <w:sz w:val="17"/>
              </w:rPr>
              <w:t>0.13</w:t>
            </w:r>
          </w:p>
        </w:tc>
        <w:tc>
          <w:tcPr>
            <w:tcW w:type="dxa" w:w="1872"/>
          </w:tcPr>
          <w:p>
            <w:pPr>
              <w:spacing w:after="0"/>
            </w:pPr>
            <w:r/>
            <w:r>
              <w:rPr>
                <w:sz w:val="17"/>
              </w:rPr>
              <w:t>US AI capex $400B x 10% cut (BEA GDP $30767B; no multiplier)</w:t>
            </w:r>
          </w:p>
        </w:tc>
      </w:tr>
      <w:tr>
        <w:tc>
          <w:tcPr>
            <w:tcW w:type="dxa" w:w="1872"/>
            <w:shd w:val="clear" w:color="auto" w:fill="EDF1F5"/>
          </w:tcPr>
          <w:p>
            <w:pPr>
              <w:spacing w:after="0"/>
            </w:pPr>
            <w:r/>
            <w:r>
              <w:rPr>
                <w:sz w:val="17"/>
              </w:rPr>
              <w:t>Equity wealth effect</w:t>
            </w:r>
          </w:p>
        </w:tc>
        <w:tc>
          <w:tcPr>
            <w:tcW w:type="dxa" w:w="1872"/>
            <w:shd w:val="clear" w:color="auto" w:fill="EDF1F5"/>
          </w:tcPr>
          <w:p>
            <w:pPr>
              <w:spacing w:after="0"/>
            </w:pPr>
            <w:r/>
            <w:r>
              <w:rPr>
                <w:sz w:val="17"/>
              </w:rPr>
              <w:t>mild</w:t>
            </w:r>
          </w:p>
        </w:tc>
        <w:tc>
          <w:tcPr>
            <w:tcW w:type="dxa" w:w="1872"/>
            <w:shd w:val="clear" w:color="auto" w:fill="EDF1F5"/>
          </w:tcPr>
          <w:p>
            <w:pPr>
              <w:spacing w:after="0"/>
            </w:pPr>
            <w:r/>
            <w:r>
              <w:rPr>
                <w:sz w:val="17"/>
              </w:rPr>
              <w:t>8.20</w:t>
            </w:r>
          </w:p>
        </w:tc>
        <w:tc>
          <w:tcPr>
            <w:tcW w:type="dxa" w:w="1872"/>
            <w:shd w:val="clear" w:color="auto" w:fill="EDF1F5"/>
          </w:tcPr>
          <w:p>
            <w:pPr>
              <w:spacing w:after="0"/>
            </w:pPr>
            <w:r/>
            <w:r>
              <w:rPr>
                <w:sz w:val="17"/>
              </w:rPr>
              <w:t>0.03</w:t>
            </w:r>
          </w:p>
        </w:tc>
        <w:tc>
          <w:tcPr>
            <w:tcW w:type="dxa" w:w="1872"/>
            <w:shd w:val="clear" w:color="auto" w:fill="EDF1F5"/>
          </w:tcPr>
          <w:p>
            <w:pPr>
              <w:spacing w:after="0"/>
            </w:pPr>
            <w:r/>
            <w:r>
              <w:rPr>
                <w:sz w:val="17"/>
              </w:rPr>
              <w:t>Severe burst loss scaled x0.43 x MPC 0.04 (consumption drag)</w:t>
            </w:r>
          </w:p>
        </w:tc>
      </w:tr>
      <w:tr>
        <w:tc>
          <w:tcPr>
            <w:tcW w:type="dxa" w:w="1872"/>
          </w:tcPr>
          <w:p>
            <w:pPr>
              <w:spacing w:after="0"/>
            </w:pPr>
            <w:r/>
            <w:r>
              <w:rPr>
                <w:sz w:val="17"/>
              </w:rPr>
              <w:t>Combined</w:t>
            </w:r>
          </w:p>
        </w:tc>
        <w:tc>
          <w:tcPr>
            <w:tcW w:type="dxa" w:w="1872"/>
          </w:tcPr>
          <w:p>
            <w:pPr>
              <w:spacing w:after="0"/>
            </w:pPr>
            <w:r/>
            <w:r>
              <w:rPr>
                <w:sz w:val="17"/>
              </w:rPr>
              <w:t>mild</w:t>
            </w:r>
          </w:p>
        </w:tc>
        <w:tc>
          <w:tcPr>
            <w:tcW w:type="dxa" w:w="1872"/>
          </w:tcPr>
          <w:p>
            <w:pPr>
              <w:spacing w:after="0"/>
            </w:pPr>
            <w:r/>
            <w:r>
              <w:rPr>
                <w:sz w:val="17"/>
              </w:rPr>
              <w:t>48.20</w:t>
            </w:r>
          </w:p>
        </w:tc>
        <w:tc>
          <w:tcPr>
            <w:tcW w:type="dxa" w:w="1872"/>
          </w:tcPr>
          <w:p>
            <w:pPr>
              <w:spacing w:after="0"/>
            </w:pPr>
            <w:r/>
            <w:r>
              <w:rPr>
                <w:sz w:val="17"/>
              </w:rPr>
              <w:t>0.16</w:t>
            </w:r>
          </w:p>
        </w:tc>
        <w:tc>
          <w:tcPr>
            <w:tcW w:type="dxa" w:w="1872"/>
          </w:tcPr>
          <w:p>
            <w:pPr>
              <w:spacing w:after="0"/>
            </w:pPr>
            <w:r/>
            <w:r>
              <w:rPr>
                <w:sz w:val="17"/>
              </w:rPr>
              <w:t>Sum of channels above (no interaction terms)</w:t>
            </w:r>
          </w:p>
        </w:tc>
      </w:tr>
      <w:tr>
        <w:tc>
          <w:tcPr>
            <w:tcW w:type="dxa" w:w="1872"/>
            <w:shd w:val="clear" w:color="auto" w:fill="EDF1F5"/>
          </w:tcPr>
          <w:p>
            <w:pPr>
              <w:spacing w:after="0"/>
            </w:pPr>
            <w:r/>
            <w:r>
              <w:rPr>
                <w:sz w:val="17"/>
              </w:rPr>
              <w:t>AI capex cut</w:t>
            </w:r>
          </w:p>
        </w:tc>
        <w:tc>
          <w:tcPr>
            <w:tcW w:type="dxa" w:w="1872"/>
            <w:shd w:val="clear" w:color="auto" w:fill="EDF1F5"/>
          </w:tcPr>
          <w:p>
            <w:pPr>
              <w:spacing w:after="0"/>
            </w:pPr>
            <w:r/>
            <w:r>
              <w:rPr>
                <w:sz w:val="17"/>
              </w:rPr>
              <w:t>severe</w:t>
            </w:r>
          </w:p>
        </w:tc>
        <w:tc>
          <w:tcPr>
            <w:tcW w:type="dxa" w:w="1872"/>
            <w:shd w:val="clear" w:color="auto" w:fill="EDF1F5"/>
          </w:tcPr>
          <w:p>
            <w:pPr>
              <w:spacing w:after="0"/>
            </w:pPr>
            <w:r/>
            <w:r>
              <w:rPr>
                <w:sz w:val="17"/>
              </w:rPr>
              <w:t>120</w:t>
            </w:r>
          </w:p>
        </w:tc>
        <w:tc>
          <w:tcPr>
            <w:tcW w:type="dxa" w:w="1872"/>
            <w:shd w:val="clear" w:color="auto" w:fill="EDF1F5"/>
          </w:tcPr>
          <w:p>
            <w:pPr>
              <w:spacing w:after="0"/>
            </w:pPr>
            <w:r/>
            <w:r>
              <w:rPr>
                <w:sz w:val="17"/>
              </w:rPr>
              <w:t>0.39</w:t>
            </w:r>
          </w:p>
        </w:tc>
        <w:tc>
          <w:tcPr>
            <w:tcW w:type="dxa" w:w="1872"/>
            <w:shd w:val="clear" w:color="auto" w:fill="EDF1F5"/>
          </w:tcPr>
          <w:p>
            <w:pPr>
              <w:spacing w:after="0"/>
            </w:pPr>
            <w:r/>
            <w:r>
              <w:rPr>
                <w:sz w:val="17"/>
              </w:rPr>
              <w:t>US AI capex $400B x 30% cut (BEA GDP $30767B; no multiplier)</w:t>
            </w:r>
          </w:p>
        </w:tc>
      </w:tr>
      <w:tr>
        <w:tc>
          <w:tcPr>
            <w:tcW w:type="dxa" w:w="1872"/>
          </w:tcPr>
          <w:p>
            <w:pPr>
              <w:spacing w:after="0"/>
            </w:pPr>
            <w:r/>
            <w:r>
              <w:rPr>
                <w:sz w:val="17"/>
              </w:rPr>
              <w:t>Equity wealth effect</w:t>
            </w:r>
          </w:p>
        </w:tc>
        <w:tc>
          <w:tcPr>
            <w:tcW w:type="dxa" w:w="1872"/>
          </w:tcPr>
          <w:p>
            <w:pPr>
              <w:spacing w:after="0"/>
            </w:pPr>
            <w:r/>
            <w:r>
              <w:rPr>
                <w:sz w:val="17"/>
              </w:rPr>
              <w:t>severe</w:t>
            </w:r>
          </w:p>
        </w:tc>
        <w:tc>
          <w:tcPr>
            <w:tcW w:type="dxa" w:w="1872"/>
          </w:tcPr>
          <w:p>
            <w:pPr>
              <w:spacing w:after="0"/>
            </w:pPr>
            <w:r/>
            <w:r>
              <w:rPr>
                <w:sz w:val="17"/>
              </w:rPr>
              <w:t>19.10</w:t>
            </w:r>
          </w:p>
        </w:tc>
        <w:tc>
          <w:tcPr>
            <w:tcW w:type="dxa" w:w="1872"/>
          </w:tcPr>
          <w:p>
            <w:pPr>
              <w:spacing w:after="0"/>
            </w:pPr>
            <w:r/>
            <w:r>
              <w:rPr>
                <w:sz w:val="17"/>
              </w:rPr>
              <w:t>0.06</w:t>
            </w:r>
          </w:p>
        </w:tc>
        <w:tc>
          <w:tcPr>
            <w:tcW w:type="dxa" w:w="1872"/>
          </w:tcPr>
          <w:p>
            <w:pPr>
              <w:spacing w:after="0"/>
            </w:pPr>
            <w:r/>
            <w:r>
              <w:rPr>
                <w:sz w:val="17"/>
              </w:rPr>
              <w:t>Severe burst loss scaled x1.00 x MPC 0.04 (consumption drag)</w:t>
            </w:r>
          </w:p>
        </w:tc>
      </w:tr>
      <w:tr>
        <w:tc>
          <w:tcPr>
            <w:tcW w:type="dxa" w:w="1872"/>
            <w:shd w:val="clear" w:color="auto" w:fill="EDF1F5"/>
          </w:tcPr>
          <w:p>
            <w:pPr>
              <w:spacing w:after="0"/>
            </w:pPr>
            <w:r/>
            <w:r>
              <w:rPr>
                <w:sz w:val="17"/>
              </w:rPr>
              <w:t>Combined</w:t>
            </w:r>
          </w:p>
        </w:tc>
        <w:tc>
          <w:tcPr>
            <w:tcW w:type="dxa" w:w="1872"/>
            <w:shd w:val="clear" w:color="auto" w:fill="EDF1F5"/>
          </w:tcPr>
          <w:p>
            <w:pPr>
              <w:spacing w:after="0"/>
            </w:pPr>
            <w:r/>
            <w:r>
              <w:rPr>
                <w:sz w:val="17"/>
              </w:rPr>
              <w:t>severe</w:t>
            </w:r>
          </w:p>
        </w:tc>
        <w:tc>
          <w:tcPr>
            <w:tcW w:type="dxa" w:w="1872"/>
            <w:shd w:val="clear" w:color="auto" w:fill="EDF1F5"/>
          </w:tcPr>
          <w:p>
            <w:pPr>
              <w:spacing w:after="0"/>
            </w:pPr>
            <w:r/>
            <w:r>
              <w:rPr>
                <w:sz w:val="17"/>
              </w:rPr>
              <w:t>139.10</w:t>
            </w:r>
          </w:p>
        </w:tc>
        <w:tc>
          <w:tcPr>
            <w:tcW w:type="dxa" w:w="1872"/>
            <w:shd w:val="clear" w:color="auto" w:fill="EDF1F5"/>
          </w:tcPr>
          <w:p>
            <w:pPr>
              <w:spacing w:after="0"/>
            </w:pPr>
            <w:r/>
            <w:r>
              <w:rPr>
                <w:sz w:val="17"/>
              </w:rPr>
              <w:t>0.45</w:t>
            </w:r>
          </w:p>
        </w:tc>
        <w:tc>
          <w:tcPr>
            <w:tcW w:type="dxa" w:w="1872"/>
            <w:shd w:val="clear" w:color="auto" w:fill="EDF1F5"/>
          </w:tcPr>
          <w:p>
            <w:pPr>
              <w:spacing w:after="0"/>
            </w:pPr>
            <w:r/>
            <w:r>
              <w:rPr>
                <w:sz w:val="17"/>
              </w:rPr>
              <w:t>Sum of channels above (no interaction terms)</w:t>
            </w:r>
          </w:p>
        </w:tc>
      </w:tr>
    </w:tbl>
    <w:p>
      <w:pPr>
        <w:spacing w:after="80"/>
      </w:pPr>
      <w:r>
        <w:rPr>
          <w:sz w:val="4"/>
        </w:rPr>
      </w:r>
    </w:p>
    <w:p>
      <w:pPr>
        <w:spacing w:after="120"/>
      </w:pPr>
      <w:r>
        <w:rPr>
          <w:b w:val="0"/>
          <w:i w:val="0"/>
          <w:sz w:val="21"/>
        </w:rPr>
        <w:t>Severe burst costs 0.452% of US GDP ($139.1B), led by the capex channel. Non-US economies apply the transmission rule (last table row) to their own GDP -- no foreign calibration is asserted.</w:t>
      </w:r>
    </w:p>
    <w:p>
      <w:pPr>
        <w:pStyle w:val="Heading2"/>
      </w:pPr>
      <w:r>
        <w:t>7.7  Bubble-mitigation interventions (Table 7.13)</w:t>
      </w:r>
    </w:p>
    <w:p>
      <w:pPr>
        <w:keepNext/>
        <w:spacing w:before="200" w:after="40"/>
      </w:pPr>
      <w:r>
        <w:rPr>
          <w:b/>
          <w:color w:val="2C3E50"/>
          <w:sz w:val="20"/>
        </w:rPr>
        <w:t>Exhibit 7.7  Burst-mitigation options (denominator = expected severe burst loss, NOT DWL -- rates are not comparable to §5)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Intervention</w:t>
            </w:r>
          </w:p>
        </w:tc>
        <w:tc>
          <w:tcPr>
            <w:tcW w:type="dxa" w:w="1872"/>
            <w:tblHeader w:val="true"/>
            <w:shd w:val="clear" w:color="auto" w:fill="2C3E50"/>
          </w:tcPr>
          <w:p>
            <w:pPr>
              <w:jc w:val="center"/>
            </w:pPr>
            <w:r/>
            <w:r>
              <w:rPr>
                <w:b/>
                <w:color w:val="FFFFFF"/>
                <w:sz w:val="18"/>
              </w:rPr>
              <w:t>Loss_Reduction_$B_Base</w:t>
            </w:r>
          </w:p>
        </w:tc>
        <w:tc>
          <w:tcPr>
            <w:tcW w:type="dxa" w:w="1872"/>
            <w:tblHeader w:val="true"/>
            <w:shd w:val="clear" w:color="auto" w:fill="2C3E50"/>
          </w:tcPr>
          <w:p>
            <w:pPr>
              <w:jc w:val="center"/>
            </w:pPr>
            <w:r/>
            <w:r>
              <w:rPr>
                <w:b/>
                <w:color w:val="FFFFFF"/>
                <w:sz w:val="18"/>
              </w:rPr>
              <w:t>Cost_$B_Base</w:t>
            </w:r>
          </w:p>
        </w:tc>
        <w:tc>
          <w:tcPr>
            <w:tcW w:type="dxa" w:w="1872"/>
            <w:tblHeader w:val="true"/>
            <w:shd w:val="clear" w:color="auto" w:fill="2C3E50"/>
          </w:tcPr>
          <w:p>
            <w:pPr>
              <w:jc w:val="center"/>
            </w:pPr>
            <w:r/>
            <w:r>
              <w:rPr>
                <w:b/>
                <w:color w:val="FFFFFF"/>
                <w:sz w:val="18"/>
              </w:rPr>
              <w:t>Net_Benefit_$B_Base</w:t>
            </w:r>
          </w:p>
        </w:tc>
        <w:tc>
          <w:tcPr>
            <w:tcW w:type="dxa" w:w="1872"/>
            <w:tblHeader w:val="true"/>
            <w:shd w:val="clear" w:color="auto" w:fill="2C3E50"/>
          </w:tcPr>
          <w:p>
            <w:pPr>
              <w:jc w:val="center"/>
            </w:pPr>
            <w:r/>
            <w:r>
              <w:rPr>
                <w:b/>
                <w:color w:val="FFFFFF"/>
                <w:sz w:val="18"/>
              </w:rPr>
              <w:t>BCR_Base</w:t>
            </w:r>
          </w:p>
        </w:tc>
      </w:tr>
      <w:tr>
        <w:tc>
          <w:tcPr>
            <w:tcW w:type="dxa" w:w="1872"/>
          </w:tcPr>
          <w:p>
            <w:pPr>
              <w:spacing w:after="0"/>
            </w:pPr>
            <w:r/>
            <w:r>
              <w:rPr>
                <w:sz w:val="17"/>
              </w:rPr>
              <w:t>Circular-deal disclosure &amp; margin rules</w:t>
            </w:r>
          </w:p>
        </w:tc>
        <w:tc>
          <w:tcPr>
            <w:tcW w:type="dxa" w:w="1872"/>
          </w:tcPr>
          <w:p>
            <w:pPr>
              <w:spacing w:after="0"/>
            </w:pPr>
            <w:r/>
            <w:r>
              <w:rPr>
                <w:sz w:val="17"/>
              </w:rPr>
              <w:t>71.75</w:t>
            </w:r>
          </w:p>
        </w:tc>
        <w:tc>
          <w:tcPr>
            <w:tcW w:type="dxa" w:w="1872"/>
          </w:tcPr>
          <w:p>
            <w:pPr>
              <w:spacing w:after="0"/>
            </w:pPr>
            <w:r/>
            <w:r>
              <w:rPr>
                <w:sz w:val="17"/>
              </w:rPr>
              <w:t>2</w:t>
            </w:r>
          </w:p>
        </w:tc>
        <w:tc>
          <w:tcPr>
            <w:tcW w:type="dxa" w:w="1872"/>
          </w:tcPr>
          <w:p>
            <w:pPr>
              <w:spacing w:after="0"/>
            </w:pPr>
            <w:r/>
            <w:r>
              <w:rPr>
                <w:sz w:val="17"/>
              </w:rPr>
              <w:t>69.75</w:t>
            </w:r>
          </w:p>
        </w:tc>
        <w:tc>
          <w:tcPr>
            <w:tcW w:type="dxa" w:w="1872"/>
          </w:tcPr>
          <w:p>
            <w:pPr>
              <w:spacing w:after="0"/>
            </w:pPr>
            <w:r/>
            <w:r>
              <w:rPr>
                <w:sz w:val="17"/>
              </w:rPr>
              <w:t>35.87</w:t>
            </w:r>
          </w:p>
        </w:tc>
      </w:tr>
      <w:tr>
        <w:tc>
          <w:tcPr>
            <w:tcW w:type="dxa" w:w="1872"/>
            <w:shd w:val="clear" w:color="auto" w:fill="EDF1F5"/>
          </w:tcPr>
          <w:p>
            <w:pPr>
              <w:spacing w:after="0"/>
            </w:pPr>
            <w:r/>
            <w:r>
              <w:rPr>
                <w:sz w:val="17"/>
              </w:rPr>
              <w:t>GPU-collateral lending caps</w:t>
            </w:r>
          </w:p>
        </w:tc>
        <w:tc>
          <w:tcPr>
            <w:tcW w:type="dxa" w:w="1872"/>
            <w:shd w:val="clear" w:color="auto" w:fill="EDF1F5"/>
          </w:tcPr>
          <w:p>
            <w:pPr>
              <w:spacing w:after="0"/>
            </w:pPr>
            <w:r/>
            <w:r>
              <w:rPr>
                <w:sz w:val="17"/>
              </w:rPr>
              <w:t>57.40</w:t>
            </w:r>
          </w:p>
        </w:tc>
        <w:tc>
          <w:tcPr>
            <w:tcW w:type="dxa" w:w="1872"/>
            <w:shd w:val="clear" w:color="auto" w:fill="EDF1F5"/>
          </w:tcPr>
          <w:p>
            <w:pPr>
              <w:spacing w:after="0"/>
            </w:pPr>
            <w:r/>
            <w:r>
              <w:rPr>
                <w:sz w:val="17"/>
              </w:rPr>
              <w:t>1</w:t>
            </w:r>
          </w:p>
        </w:tc>
        <w:tc>
          <w:tcPr>
            <w:tcW w:type="dxa" w:w="1872"/>
            <w:shd w:val="clear" w:color="auto" w:fill="EDF1F5"/>
          </w:tcPr>
          <w:p>
            <w:pPr>
              <w:spacing w:after="0"/>
            </w:pPr>
            <w:r/>
            <w:r>
              <w:rPr>
                <w:sz w:val="17"/>
              </w:rPr>
              <w:t>56.40</w:t>
            </w:r>
          </w:p>
        </w:tc>
        <w:tc>
          <w:tcPr>
            <w:tcW w:type="dxa" w:w="1872"/>
            <w:shd w:val="clear" w:color="auto" w:fill="EDF1F5"/>
          </w:tcPr>
          <w:p>
            <w:pPr>
              <w:spacing w:after="0"/>
            </w:pPr>
            <w:r/>
            <w:r>
              <w:rPr>
                <w:sz w:val="17"/>
              </w:rPr>
              <w:t>57.40</w:t>
            </w:r>
          </w:p>
        </w:tc>
      </w:tr>
      <w:tr>
        <w:tc>
          <w:tcPr>
            <w:tcW w:type="dxa" w:w="1872"/>
          </w:tcPr>
          <w:p>
            <w:pPr>
              <w:spacing w:after="0"/>
            </w:pPr>
            <w:r/>
            <w:r>
              <w:rPr>
                <w:sz w:val="17"/>
              </w:rPr>
              <w:t>Strategic compute reserve / backstop</w:t>
            </w:r>
          </w:p>
        </w:tc>
        <w:tc>
          <w:tcPr>
            <w:tcW w:type="dxa" w:w="1872"/>
          </w:tcPr>
          <w:p>
            <w:pPr>
              <w:spacing w:after="0"/>
            </w:pPr>
            <w:r/>
            <w:r>
              <w:rPr>
                <w:sz w:val="17"/>
              </w:rPr>
              <w:t>47.83</w:t>
            </w:r>
          </w:p>
        </w:tc>
        <w:tc>
          <w:tcPr>
            <w:tcW w:type="dxa" w:w="1872"/>
          </w:tcPr>
          <w:p>
            <w:pPr>
              <w:spacing w:after="0"/>
            </w:pPr>
            <w:r/>
            <w:r>
              <w:rPr>
                <w:sz w:val="17"/>
              </w:rPr>
              <w:t>6</w:t>
            </w:r>
          </w:p>
        </w:tc>
        <w:tc>
          <w:tcPr>
            <w:tcW w:type="dxa" w:w="1872"/>
          </w:tcPr>
          <w:p>
            <w:pPr>
              <w:spacing w:after="0"/>
            </w:pPr>
            <w:r/>
            <w:r>
              <w:rPr>
                <w:sz w:val="17"/>
              </w:rPr>
              <w:t>41.83</w:t>
            </w:r>
          </w:p>
        </w:tc>
        <w:tc>
          <w:tcPr>
            <w:tcW w:type="dxa" w:w="1872"/>
          </w:tcPr>
          <w:p>
            <w:pPr>
              <w:spacing w:after="0"/>
            </w:pPr>
            <w:r/>
            <w:r>
              <w:rPr>
                <w:sz w:val="17"/>
              </w:rPr>
              <w:t>7.97</w:t>
            </w:r>
          </w:p>
        </w:tc>
      </w:tr>
      <w:tr>
        <w:tc>
          <w:tcPr>
            <w:tcW w:type="dxa" w:w="1872"/>
            <w:shd w:val="clear" w:color="auto" w:fill="EDF1F5"/>
          </w:tcPr>
          <w:p>
            <w:pPr>
              <w:spacing w:after="0"/>
            </w:pPr>
            <w:r/>
            <w:r>
              <w:rPr>
                <w:sz w:val="17"/>
              </w:rPr>
              <w:t>Combined bubble-mitigation package</w:t>
            </w:r>
          </w:p>
        </w:tc>
        <w:tc>
          <w:tcPr>
            <w:tcW w:type="dxa" w:w="1872"/>
            <w:shd w:val="clear" w:color="auto" w:fill="EDF1F5"/>
          </w:tcPr>
          <w:p>
            <w:pPr>
              <w:spacing w:after="0"/>
            </w:pPr>
            <w:r/>
            <w:r>
              <w:rPr>
                <w:sz w:val="17"/>
              </w:rPr>
              <w:t>143.50</w:t>
            </w:r>
          </w:p>
        </w:tc>
        <w:tc>
          <w:tcPr>
            <w:tcW w:type="dxa" w:w="1872"/>
            <w:shd w:val="clear" w:color="auto" w:fill="EDF1F5"/>
          </w:tcPr>
          <w:p>
            <w:pPr>
              <w:spacing w:after="0"/>
            </w:pPr>
            <w:r/>
            <w:r>
              <w:rPr>
                <w:sz w:val="17"/>
              </w:rPr>
              <w:t>9</w:t>
            </w:r>
          </w:p>
        </w:tc>
        <w:tc>
          <w:tcPr>
            <w:tcW w:type="dxa" w:w="1872"/>
            <w:shd w:val="clear" w:color="auto" w:fill="EDF1F5"/>
          </w:tcPr>
          <w:p>
            <w:pPr>
              <w:spacing w:after="0"/>
            </w:pPr>
            <w:r/>
            <w:r>
              <w:rPr>
                <w:sz w:val="17"/>
              </w:rPr>
              <w:t>134.50</w:t>
            </w:r>
          </w:p>
        </w:tc>
        <w:tc>
          <w:tcPr>
            <w:tcW w:type="dxa" w:w="1872"/>
            <w:shd w:val="clear" w:color="auto" w:fill="EDF1F5"/>
          </w:tcPr>
          <w:p>
            <w:pPr>
              <w:spacing w:after="0"/>
            </w:pPr>
            <w:r/>
            <w:r>
              <w:rPr>
                <w:sz w:val="17"/>
              </w:rPr>
              <w:t>15.94</w:t>
            </w:r>
          </w:p>
        </w:tc>
      </w:tr>
    </w:tbl>
    <w:p>
      <w:pPr>
        <w:spacing w:after="80"/>
      </w:pPr>
      <w:r>
        <w:rPr>
          <w:sz w:val="4"/>
        </w:rPr>
      </w:r>
    </w:p>
    <w:p>
      <w:pPr>
        <w:spacing w:after="120"/>
      </w:pPr>
      <w:r>
        <w:rPr>
          <w:b w:val="0"/>
          <w:i w:val="0"/>
          <w:sz w:val="21"/>
        </w:rPr>
        <w:t>Highest benefit-cost ratio: GPU-collateral lending caps (BCR 57.4); largest net benefit: Combined bubble-mitigation package. All four are scenario assumptions (R5/A8-A10), i.e. policy options, not predictions.</w:t>
      </w:r>
    </w:p>
    <w:p>
      <w:pPr>
        <w:pStyle w:val="Heading2"/>
      </w:pPr>
      <w:r>
        <w:t>7.8  Second-round contagion and credit monitor (Tables 7.14-7.15)</w:t>
      </w:r>
    </w:p>
    <w:p>
      <w:pPr>
        <w:keepNext/>
        <w:spacing w:before="200" w:after="40"/>
      </w:pPr>
      <w:r>
        <w:rPr>
          <w:b/>
          <w:color w:val="2C3E50"/>
          <w:sz w:val="20"/>
        </w:rPr>
        <w:t>Exhibit 7.8  DebtRank second-round contagion (Battiston et al. 2012; equity = validated market caps; shock = severe direct losses)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Archetype</w:t>
            </w:r>
          </w:p>
        </w:tc>
        <w:tc>
          <w:tcPr>
            <w:tcW w:type="dxa" w:w="1560"/>
            <w:tblHeader w:val="true"/>
            <w:shd w:val="clear" w:color="auto" w:fill="2C3E50"/>
          </w:tcPr>
          <w:p>
            <w:pPr>
              <w:jc w:val="center"/>
            </w:pPr>
            <w:r/>
            <w:r>
              <w:rPr>
                <w:b/>
                <w:color w:val="FFFFFF"/>
                <w:sz w:val="18"/>
              </w:rPr>
              <w:t>Direct_Loss_Severe_$B</w:t>
            </w:r>
          </w:p>
        </w:tc>
        <w:tc>
          <w:tcPr>
            <w:tcW w:type="dxa" w:w="1560"/>
            <w:tblHeader w:val="true"/>
            <w:shd w:val="clear" w:color="auto" w:fill="2C3E50"/>
          </w:tcPr>
          <w:p>
            <w:pPr>
              <w:jc w:val="center"/>
            </w:pPr>
            <w:r/>
            <w:r>
              <w:rPr>
                <w:b/>
                <w:color w:val="FFFFFF"/>
                <w:sz w:val="18"/>
              </w:rPr>
              <w:t>Initial_Distress</w:t>
            </w:r>
          </w:p>
        </w:tc>
        <w:tc>
          <w:tcPr>
            <w:tcW w:type="dxa" w:w="1560"/>
            <w:tblHeader w:val="true"/>
            <w:shd w:val="clear" w:color="auto" w:fill="2C3E50"/>
          </w:tcPr>
          <w:p>
            <w:pPr>
              <w:jc w:val="center"/>
            </w:pPr>
            <w:r/>
            <w:r>
              <w:rPr>
                <w:b/>
                <w:color w:val="FFFFFF"/>
                <w:sz w:val="18"/>
              </w:rPr>
              <w:t>Final_Distress</w:t>
            </w:r>
          </w:p>
        </w:tc>
        <w:tc>
          <w:tcPr>
            <w:tcW w:type="dxa" w:w="1560"/>
            <w:tblHeader w:val="true"/>
            <w:shd w:val="clear" w:color="auto" w:fill="2C3E50"/>
          </w:tcPr>
          <w:p>
            <w:pPr>
              <w:jc w:val="center"/>
            </w:pPr>
            <w:r/>
            <w:r>
              <w:rPr>
                <w:b/>
                <w:color w:val="FFFFFF"/>
                <w:sz w:val="18"/>
              </w:rPr>
              <w:t>DebtRank</w:t>
            </w:r>
          </w:p>
        </w:tc>
        <w:tc>
          <w:tcPr>
            <w:tcW w:type="dxa" w:w="1560"/>
            <w:tblHeader w:val="true"/>
            <w:shd w:val="clear" w:color="auto" w:fill="2C3E50"/>
          </w:tcPr>
          <w:p>
            <w:pPr>
              <w:jc w:val="center"/>
            </w:pPr>
            <w:r/>
            <w:r>
              <w:rPr>
                <w:b/>
                <w:color w:val="FFFFFF"/>
                <w:sz w:val="18"/>
              </w:rPr>
              <w:t>Second_Round_Loss_$B</w:t>
            </w:r>
          </w:p>
        </w:tc>
      </w:tr>
      <w:tr>
        <w:tc>
          <w:tcPr>
            <w:tcW w:type="dxa" w:w="1560"/>
          </w:tcPr>
          <w:p>
            <w:pPr>
              <w:spacing w:after="0"/>
            </w:pPr>
            <w:r/>
            <w:r>
              <w:rPr>
                <w:sz w:val="17"/>
              </w:rPr>
              <w:t>Hardware</w:t>
            </w:r>
          </w:p>
        </w:tc>
        <w:tc>
          <w:tcPr>
            <w:tcW w:type="dxa" w:w="1560"/>
          </w:tcPr>
          <w:p>
            <w:pPr>
              <w:spacing w:after="0"/>
            </w:pPr>
            <w:r/>
            <w:r>
              <w:rPr>
                <w:sz w:val="17"/>
              </w:rPr>
              <w:t>239.40</w:t>
            </w:r>
          </w:p>
        </w:tc>
        <w:tc>
          <w:tcPr>
            <w:tcW w:type="dxa" w:w="1560"/>
          </w:tcPr>
          <w:p>
            <w:pPr>
              <w:spacing w:after="0"/>
            </w:pPr>
            <w:r/>
            <w:r>
              <w:rPr>
                <w:sz w:val="17"/>
              </w:rPr>
              <w:t>0.03</w:t>
            </w:r>
          </w:p>
        </w:tc>
        <w:tc>
          <w:tcPr>
            <w:tcW w:type="dxa" w:w="1560"/>
          </w:tcPr>
          <w:p>
            <w:pPr>
              <w:spacing w:after="0"/>
            </w:pPr>
            <w:r/>
            <w:r>
              <w:rPr>
                <w:sz w:val="17"/>
              </w:rPr>
              <w:t>0.03</w:t>
            </w:r>
          </w:p>
        </w:tc>
        <w:tc>
          <w:tcPr>
            <w:tcW w:type="dxa" w:w="1560"/>
          </w:tcPr>
          <w:p>
            <w:pPr>
              <w:spacing w:after="0"/>
            </w:pPr>
            <w:r/>
            <w:r>
              <w:rPr>
                <w:sz w:val="17"/>
              </w:rPr>
              <w:t>0</w:t>
            </w:r>
          </w:p>
        </w:tc>
        <w:tc>
          <w:tcPr>
            <w:tcW w:type="dxa" w:w="1560"/>
          </w:tcPr>
          <w:p>
            <w:pPr>
              <w:spacing w:after="0"/>
            </w:pPr>
            <w:r/>
            <w:r>
              <w:rPr>
                <w:sz w:val="17"/>
              </w:rPr>
              <w:t>0</w:t>
            </w:r>
          </w:p>
        </w:tc>
      </w:tr>
      <w:tr>
        <w:tc>
          <w:tcPr>
            <w:tcW w:type="dxa" w:w="1560"/>
            <w:shd w:val="clear" w:color="auto" w:fill="EDF1F5"/>
          </w:tcPr>
          <w:p>
            <w:pPr>
              <w:spacing w:after="0"/>
            </w:pPr>
            <w:r/>
            <w:r>
              <w:rPr>
                <w:sz w:val="17"/>
              </w:rPr>
              <w:t>Cloud Providers</w:t>
            </w:r>
          </w:p>
        </w:tc>
        <w:tc>
          <w:tcPr>
            <w:tcW w:type="dxa" w:w="1560"/>
            <w:shd w:val="clear" w:color="auto" w:fill="EDF1F5"/>
          </w:tcPr>
          <w:p>
            <w:pPr>
              <w:spacing w:after="0"/>
            </w:pPr>
            <w:r/>
            <w:r>
              <w:rPr>
                <w:sz w:val="17"/>
              </w:rPr>
              <w:t>132.70</w:t>
            </w:r>
          </w:p>
        </w:tc>
        <w:tc>
          <w:tcPr>
            <w:tcW w:type="dxa" w:w="1560"/>
            <w:shd w:val="clear" w:color="auto" w:fill="EDF1F5"/>
          </w:tcPr>
          <w:p>
            <w:pPr>
              <w:spacing w:after="0"/>
            </w:pPr>
            <w:r/>
            <w:r>
              <w:rPr>
                <w:sz w:val="17"/>
              </w:rPr>
              <w:t>0.01</w:t>
            </w:r>
          </w:p>
        </w:tc>
        <w:tc>
          <w:tcPr>
            <w:tcW w:type="dxa" w:w="1560"/>
            <w:shd w:val="clear" w:color="auto" w:fill="EDF1F5"/>
          </w:tcPr>
          <w:p>
            <w:pPr>
              <w:spacing w:after="0"/>
            </w:pPr>
            <w:r/>
            <w:r>
              <w:rPr>
                <w:sz w:val="17"/>
              </w:rPr>
              <w:t>0.01</w:t>
            </w:r>
          </w:p>
        </w:tc>
        <w:tc>
          <w:tcPr>
            <w:tcW w:type="dxa" w:w="1560"/>
            <w:shd w:val="clear" w:color="auto" w:fill="EDF1F5"/>
          </w:tcPr>
          <w:p>
            <w:pPr>
              <w:spacing w:after="0"/>
            </w:pPr>
            <w:r/>
            <w:r>
              <w:rPr>
                <w:sz w:val="17"/>
              </w:rPr>
              <w:t>0</w:t>
            </w:r>
          </w:p>
        </w:tc>
        <w:tc>
          <w:tcPr>
            <w:tcW w:type="dxa" w:w="1560"/>
            <w:shd w:val="clear" w:color="auto" w:fill="EDF1F5"/>
          </w:tcPr>
          <w:p>
            <w:pPr>
              <w:spacing w:after="0"/>
            </w:pPr>
            <w:r/>
            <w:r>
              <w:rPr>
                <w:sz w:val="17"/>
              </w:rPr>
              <w:t>1.27</w:t>
            </w:r>
          </w:p>
        </w:tc>
      </w:tr>
      <w:tr>
        <w:tc>
          <w:tcPr>
            <w:tcW w:type="dxa" w:w="1560"/>
          </w:tcPr>
          <w:p>
            <w:pPr>
              <w:spacing w:after="0"/>
            </w:pPr>
            <w:r/>
            <w:r>
              <w:rPr>
                <w:sz w:val="17"/>
              </w:rPr>
              <w:t>Foundation Models</w:t>
            </w:r>
          </w:p>
        </w:tc>
        <w:tc>
          <w:tcPr>
            <w:tcW w:type="dxa" w:w="1560"/>
          </w:tcPr>
          <w:p>
            <w:pPr>
              <w:spacing w:after="0"/>
            </w:pPr>
            <w:r/>
            <w:r>
              <w:rPr>
                <w:sz w:val="17"/>
              </w:rPr>
              <w:t>85.39</w:t>
            </w:r>
          </w:p>
        </w:tc>
        <w:tc>
          <w:tcPr>
            <w:tcW w:type="dxa" w:w="1560"/>
          </w:tcPr>
          <w:p>
            <w:pPr>
              <w:spacing w:after="0"/>
            </w:pPr>
            <w:r/>
            <w:r>
              <w:rPr>
                <w:sz w:val="17"/>
              </w:rPr>
              <w:t>0.04</w:t>
            </w:r>
          </w:p>
        </w:tc>
        <w:tc>
          <w:tcPr>
            <w:tcW w:type="dxa" w:w="1560"/>
          </w:tcPr>
          <w:p>
            <w:pPr>
              <w:spacing w:after="0"/>
            </w:pPr>
            <w:r/>
            <w:r>
              <w:rPr>
                <w:sz w:val="17"/>
              </w:rPr>
              <w:t>0.04</w:t>
            </w:r>
          </w:p>
        </w:tc>
        <w:tc>
          <w:tcPr>
            <w:tcW w:type="dxa" w:w="1560"/>
          </w:tcPr>
          <w:p>
            <w:pPr>
              <w:spacing w:after="0"/>
            </w:pPr>
            <w:r/>
            <w:r>
              <w:rPr>
                <w:sz w:val="17"/>
              </w:rPr>
              <w:t>0.00</w:t>
            </w:r>
          </w:p>
        </w:tc>
        <w:tc>
          <w:tcPr>
            <w:tcW w:type="dxa" w:w="1560"/>
          </w:tcPr>
          <w:p>
            <w:pPr>
              <w:spacing w:after="0"/>
            </w:pPr>
            <w:r/>
            <w:r>
              <w:rPr>
                <w:sz w:val="17"/>
              </w:rPr>
              <w:t>13.86</w:t>
            </w:r>
          </w:p>
        </w:tc>
      </w:tr>
      <w:tr>
        <w:tc>
          <w:tcPr>
            <w:tcW w:type="dxa" w:w="1560"/>
            <w:shd w:val="clear" w:color="auto" w:fill="EDF1F5"/>
          </w:tcPr>
          <w:p>
            <w:pPr>
              <w:spacing w:after="0"/>
            </w:pPr>
            <w:r/>
            <w:r>
              <w:rPr>
                <w:sz w:val="17"/>
              </w:rPr>
              <w:t>LLM Wrappers</w:t>
            </w:r>
          </w:p>
        </w:tc>
        <w:tc>
          <w:tcPr>
            <w:tcW w:type="dxa" w:w="1560"/>
            <w:shd w:val="clear" w:color="auto" w:fill="EDF1F5"/>
          </w:tcPr>
          <w:p>
            <w:pPr>
              <w:spacing w:after="0"/>
            </w:pPr>
            <w:r/>
            <w:r>
              <w:rPr>
                <w:sz w:val="17"/>
              </w:rPr>
              <w:t>20.83</w:t>
            </w:r>
          </w:p>
        </w:tc>
        <w:tc>
          <w:tcPr>
            <w:tcW w:type="dxa" w:w="1560"/>
            <w:shd w:val="clear" w:color="auto" w:fill="EDF1F5"/>
          </w:tcPr>
          <w:p>
            <w:pPr>
              <w:spacing w:after="0"/>
            </w:pPr>
            <w:r/>
            <w:r>
              <w:rPr>
                <w:sz w:val="17"/>
              </w:rPr>
              <w:t>0.02</w:t>
            </w:r>
          </w:p>
        </w:tc>
        <w:tc>
          <w:tcPr>
            <w:tcW w:type="dxa" w:w="1560"/>
            <w:shd w:val="clear" w:color="auto" w:fill="EDF1F5"/>
          </w:tcPr>
          <w:p>
            <w:pPr>
              <w:spacing w:after="0"/>
            </w:pPr>
            <w:r/>
            <w:r>
              <w:rPr>
                <w:sz w:val="17"/>
              </w:rPr>
              <w:t>0.02</w:t>
            </w:r>
          </w:p>
        </w:tc>
        <w:tc>
          <w:tcPr>
            <w:tcW w:type="dxa" w:w="1560"/>
            <w:shd w:val="clear" w:color="auto" w:fill="EDF1F5"/>
          </w:tcPr>
          <w:p>
            <w:pPr>
              <w:spacing w:after="0"/>
            </w:pPr>
            <w:r/>
            <w:r>
              <w:rPr>
                <w:sz w:val="17"/>
              </w:rPr>
              <w:t>0</w:t>
            </w:r>
          </w:p>
        </w:tc>
        <w:tc>
          <w:tcPr>
            <w:tcW w:type="dxa" w:w="1560"/>
            <w:shd w:val="clear" w:color="auto" w:fill="EDF1F5"/>
          </w:tcPr>
          <w:p>
            <w:pPr>
              <w:spacing w:after="0"/>
            </w:pPr>
            <w:r/>
            <w:r>
              <w:rPr>
                <w:sz w:val="17"/>
              </w:rPr>
              <w:t>0.07</w:t>
            </w:r>
          </w:p>
        </w:tc>
      </w:tr>
    </w:tbl>
    <w:p>
      <w:pPr>
        <w:spacing w:after="80"/>
      </w:pPr>
      <w:r>
        <w:rPr>
          <w:sz w:val="4"/>
        </w:rPr>
      </w:r>
    </w:p>
    <w:p>
      <w:pPr>
        <w:spacing w:after="120"/>
      </w:pPr>
      <w:r>
        <w:rPr>
          <w:b w:val="0"/>
          <w:i w:val="0"/>
          <w:sz w:val="21"/>
        </w:rPr>
        <w:t>Full reverberation adds $15.2B to $478.3B of direct losses (multiplier 1.032 when direct losses are positive). Foundation Models absorb the largest second round; large equity buffers keep the multiplier near one.</w:t>
      </w:r>
    </w:p>
    <w:p>
      <w:pPr>
        <w:keepNext/>
        <w:spacing w:before="160"/>
        <w:jc w:val="center"/>
      </w:pPr>
      <w:r>
        <w:drawing>
          <wp:inline xmlns:a="http://schemas.openxmlformats.org/drawingml/2006/main" xmlns:pic="http://schemas.openxmlformats.org/drawingml/2006/picture">
            <wp:extent cx="5760720" cy="3507638"/>
            <wp:docPr id="21" name="Picture 21" descr="Supplemental S4 — Direct vs Second-Round Losses (DebtRank)"/>
            <wp:cNvGraphicFramePr>
              <a:graphicFrameLocks noChangeAspect="1"/>
            </wp:cNvGraphicFramePr>
            <a:graphic>
              <a:graphicData uri="http://schemas.openxmlformats.org/drawingml/2006/picture">
                <pic:pic>
                  <pic:nvPicPr>
                    <pic:cNvPr id="0" name="s4_debtrank_losses.jpg"/>
                    <pic:cNvPicPr/>
                  </pic:nvPicPr>
                  <pic:blipFill>
                    <a:blip r:embed="rId31"/>
                    <a:stretch>
                      <a:fillRect/>
                    </a:stretch>
                  </pic:blipFill>
                  <pic:spPr>
                    <a:xfrm>
                      <a:off x="0" y="0"/>
                      <a:ext cx="5760720" cy="3507638"/>
                    </a:xfrm>
                    <a:prstGeom prst="rect"/>
                  </pic:spPr>
                </pic:pic>
              </a:graphicData>
            </a:graphic>
          </wp:inline>
        </w:drawing>
      </w:r>
    </w:p>
    <w:p>
      <w:pPr>
        <w:spacing w:after="200"/>
        <w:jc w:val="center"/>
      </w:pPr>
      <w:r>
        <w:rPr>
          <w:i/>
          <w:color w:val="404040"/>
          <w:sz w:val="18"/>
        </w:rPr>
        <w:t>Supplemental S4 — Direct vs Second-Round Losses (DebtRank)</w:t>
      </w:r>
    </w:p>
    <w:p>
      <w:pPr>
        <w:keepNext/>
        <w:spacing w:before="200" w:after="40"/>
      </w:pPr>
      <w:r>
        <w:rPr>
          <w:b/>
          <w:color w:val="2C3E50"/>
          <w:sz w:val="20"/>
        </w:rPr>
        <w:t>Exhibit 7.9  Credit monitor (sourced spreads and run_pipeline; computed hazard, ratios, haircuts and live watchlist)</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Metric</w:t>
            </w:r>
          </w:p>
        </w:tc>
        <w:tc>
          <w:tcPr>
            <w:tcW w:type="dxa" w:w="3120"/>
            <w:tblHeader w:val="true"/>
            <w:shd w:val="clear" w:color="auto" w:fill="2C3E50"/>
          </w:tcPr>
          <w:p>
            <w:pPr>
              <w:jc w:val="center"/>
            </w:pPr>
            <w:r/>
            <w:r>
              <w:rPr>
                <w:b/>
                <w:color w:val="FFFFFF"/>
                <w:sz w:val="20"/>
              </w:rPr>
              <w:t>Value</w:t>
            </w:r>
          </w:p>
        </w:tc>
        <w:tc>
          <w:tcPr>
            <w:tcW w:type="dxa" w:w="3120"/>
            <w:tblHeader w:val="true"/>
            <w:shd w:val="clear" w:color="auto" w:fill="2C3E50"/>
          </w:tcPr>
          <w:p>
            <w:pPr>
              <w:jc w:val="center"/>
            </w:pPr>
            <w:r/>
            <w:r>
              <w:rPr>
                <w:b/>
                <w:color w:val="FFFFFF"/>
                <w:sz w:val="20"/>
              </w:rPr>
              <w:t>Basis</w:t>
            </w:r>
          </w:p>
        </w:tc>
      </w:tr>
      <w:tr>
        <w:tc>
          <w:tcPr>
            <w:tcW w:type="dxa" w:w="3120"/>
          </w:tcPr>
          <w:p>
            <w:pPr>
              <w:spacing w:after="0"/>
            </w:pPr>
            <w:r/>
            <w:r>
              <w:rPr>
                <w:sz w:val="19"/>
              </w:rPr>
              <w:t>Oracle 5Y CDS (bp)</w:t>
            </w:r>
          </w:p>
        </w:tc>
        <w:tc>
          <w:tcPr>
            <w:tcW w:type="dxa" w:w="3120"/>
          </w:tcPr>
          <w:p>
            <w:pPr>
              <w:spacing w:after="0"/>
            </w:pPr>
            <w:r/>
            <w:r>
              <w:rPr>
                <w:sz w:val="19"/>
              </w:rPr>
              <w:t>215.0</w:t>
            </w:r>
          </w:p>
        </w:tc>
        <w:tc>
          <w:tcPr>
            <w:tcW w:type="dxa" w:w="3120"/>
          </w:tcPr>
          <w:p>
            <w:pPr>
              <w:spacing w:after="0"/>
            </w:pPr>
            <w:r/>
            <w:r>
              <w:rPr>
                <w:sz w:val="19"/>
              </w:rPr>
              <w:t>Sep 2026 vintage: record single-name print</w:t>
            </w:r>
          </w:p>
        </w:tc>
      </w:tr>
      <w:tr>
        <w:tc>
          <w:tcPr>
            <w:tcW w:type="dxa" w:w="3120"/>
            <w:shd w:val="clear" w:color="auto" w:fill="EDF1F5"/>
          </w:tcPr>
          <w:p>
            <w:pPr>
              <w:spacing w:after="0"/>
            </w:pPr>
            <w:r/>
            <w:r>
              <w:rPr>
                <w:sz w:val="19"/>
              </w:rPr>
              <w:t>Implied 1Y hazard (%)</w:t>
            </w:r>
          </w:p>
        </w:tc>
        <w:tc>
          <w:tcPr>
            <w:tcW w:type="dxa" w:w="3120"/>
            <w:shd w:val="clear" w:color="auto" w:fill="EDF1F5"/>
          </w:tcPr>
          <w:p>
            <w:pPr>
              <w:spacing w:after="0"/>
            </w:pPr>
            <w:r/>
            <w:r>
              <w:rPr>
                <w:sz w:val="19"/>
              </w:rPr>
              <w:t>3.58</w:t>
            </w:r>
          </w:p>
        </w:tc>
        <w:tc>
          <w:tcPr>
            <w:tcW w:type="dxa" w:w="3120"/>
            <w:shd w:val="clear" w:color="auto" w:fill="EDF1F5"/>
          </w:tcPr>
          <w:p>
            <w:pPr>
              <w:spacing w:after="0"/>
            </w:pPr>
            <w:r/>
            <w:r>
              <w:rPr>
                <w:sz w:val="19"/>
              </w:rPr>
              <w:t>Approx s/(1-R), R=40% stated</w:t>
            </w:r>
          </w:p>
        </w:tc>
      </w:tr>
      <w:tr>
        <w:tc>
          <w:tcPr>
            <w:tcW w:type="dxa" w:w="3120"/>
          </w:tcPr>
          <w:p>
            <w:pPr>
              <w:spacing w:after="0"/>
            </w:pPr>
            <w:r/>
            <w:r>
              <w:rPr>
                <w:sz w:val="19"/>
              </w:rPr>
              <w:t>Oracle rating action</w:t>
            </w:r>
          </w:p>
        </w:tc>
        <w:tc>
          <w:tcPr>
            <w:tcW w:type="dxa" w:w="3120"/>
          </w:tcPr>
          <w:p>
            <w:pPr>
              <w:spacing w:after="0"/>
            </w:pPr>
            <w:r/>
            <w:r>
              <w:rPr>
                <w:sz w:val="19"/>
              </w:rPr>
              <w:t>BBB- (downgrade)</w:t>
            </w:r>
          </w:p>
        </w:tc>
        <w:tc>
          <w:tcPr>
            <w:tcW w:type="dxa" w:w="3120"/>
          </w:tcPr>
          <w:p>
            <w:pPr>
              <w:spacing w:after="0"/>
            </w:pPr>
            <w:r/>
            <w:r>
              <w:rPr>
                <w:sz w:val="19"/>
              </w:rPr>
              <w:t>Sep 2026 vintage: downgrade</w:t>
            </w:r>
          </w:p>
        </w:tc>
      </w:tr>
      <w:tr>
        <w:tc>
          <w:tcPr>
            <w:tcW w:type="dxa" w:w="3120"/>
            <w:shd w:val="clear" w:color="auto" w:fill="EDF1F5"/>
          </w:tcPr>
          <w:p>
            <w:pPr>
              <w:spacing w:after="0"/>
            </w:pPr>
            <w:r/>
            <w:r>
              <w:rPr>
                <w:sz w:val="19"/>
              </w:rPr>
              <w:t>2026 AI debt run_pipeline ($B)</w:t>
            </w:r>
          </w:p>
        </w:tc>
        <w:tc>
          <w:tcPr>
            <w:tcW w:type="dxa" w:w="3120"/>
            <w:shd w:val="clear" w:color="auto" w:fill="EDF1F5"/>
          </w:tcPr>
          <w:p>
            <w:pPr>
              <w:spacing w:after="0"/>
            </w:pPr>
            <w:r/>
            <w:r>
              <w:rPr>
                <w:sz w:val="19"/>
              </w:rPr>
              <w:t>570.0</w:t>
            </w:r>
          </w:p>
        </w:tc>
        <w:tc>
          <w:tcPr>
            <w:tcW w:type="dxa" w:w="3120"/>
            <w:shd w:val="clear" w:color="auto" w:fill="EDF1F5"/>
          </w:tcPr>
          <w:p>
            <w:pPr>
              <w:spacing w:after="0"/>
            </w:pPr>
            <w:r/>
            <w:r>
              <w:rPr>
                <w:sz w:val="19"/>
              </w:rPr>
              <w:t>Sep 2026 vintage: 2026 run_pipeline</w:t>
            </w:r>
          </w:p>
        </w:tc>
      </w:tr>
      <w:tr>
        <w:tc>
          <w:tcPr>
            <w:tcW w:type="dxa" w:w="3120"/>
          </w:tcPr>
          <w:p>
            <w:pPr>
              <w:spacing w:after="0"/>
            </w:pPr>
            <w:r/>
            <w:r>
              <w:rPr>
                <w:sz w:val="19"/>
              </w:rPr>
              <w:t>Pipeline-to-capex (x)</w:t>
            </w:r>
          </w:p>
        </w:tc>
        <w:tc>
          <w:tcPr>
            <w:tcW w:type="dxa" w:w="3120"/>
          </w:tcPr>
          <w:p>
            <w:pPr>
              <w:spacing w:after="0"/>
            </w:pPr>
            <w:r/>
            <w:r>
              <w:rPr>
                <w:sz w:val="19"/>
              </w:rPr>
              <w:t>1.43</w:t>
            </w:r>
          </w:p>
        </w:tc>
        <w:tc>
          <w:tcPr>
            <w:tcW w:type="dxa" w:w="3120"/>
          </w:tcPr>
          <w:p>
            <w:pPr>
              <w:spacing w:after="0"/>
            </w:pPr>
            <w:r/>
            <w:r>
              <w:rPr>
                <w:sz w:val="19"/>
              </w:rPr>
              <w:t>Pipeline / 2025 Big Four capex ($400B)</w:t>
            </w:r>
          </w:p>
        </w:tc>
      </w:tr>
      <w:tr>
        <w:tc>
          <w:tcPr>
            <w:tcW w:type="dxa" w:w="3120"/>
            <w:shd w:val="clear" w:color="auto" w:fill="EDF1F5"/>
          </w:tcPr>
          <w:p>
            <w:pPr>
              <w:spacing w:after="0"/>
            </w:pPr>
            <w:r/>
            <w:r>
              <w:rPr>
                <w:sz w:val="19"/>
              </w:rPr>
              <w:t>Record single-day bond ($B)</w:t>
            </w:r>
          </w:p>
        </w:tc>
        <w:tc>
          <w:tcPr>
            <w:tcW w:type="dxa" w:w="3120"/>
            <w:shd w:val="clear" w:color="auto" w:fill="EDF1F5"/>
          </w:tcPr>
          <w:p>
            <w:pPr>
              <w:spacing w:after="0"/>
            </w:pPr>
            <w:r/>
            <w:r>
              <w:rPr>
                <w:sz w:val="19"/>
              </w:rPr>
              <w:t>18.0</w:t>
            </w:r>
          </w:p>
        </w:tc>
        <w:tc>
          <w:tcPr>
            <w:tcW w:type="dxa" w:w="3120"/>
            <w:shd w:val="clear" w:color="auto" w:fill="EDF1F5"/>
          </w:tcPr>
          <w:p>
            <w:pPr>
              <w:spacing w:after="0"/>
            </w:pPr>
            <w:r/>
            <w:r>
              <w:rPr>
                <w:sz w:val="19"/>
              </w:rPr>
              <w:t>Sep 2026 vintage: Oracle single-day sale</w:t>
            </w:r>
          </w:p>
        </w:tc>
      </w:tr>
      <w:tr>
        <w:tc>
          <w:tcPr>
            <w:tcW w:type="dxa" w:w="3120"/>
          </w:tcPr>
          <w:p>
            <w:pPr>
              <w:spacing w:after="0"/>
            </w:pPr>
            <w:r/>
            <w:r>
              <w:rPr>
                <w:sz w:val="19"/>
              </w:rPr>
              <w:t>GPU haircut Low circularity, base/stressed</w:t>
            </w:r>
          </w:p>
        </w:tc>
        <w:tc>
          <w:tcPr>
            <w:tcW w:type="dxa" w:w="3120"/>
          </w:tcPr>
          <w:p>
            <w:pPr>
              <w:spacing w:after="0"/>
            </w:pPr>
            <w:r/>
            <w:r>
              <w:rPr>
                <w:sz w:val="19"/>
              </w:rPr>
              <w:t>15%/30%</w:t>
            </w:r>
          </w:p>
        </w:tc>
        <w:tc>
          <w:tcPr>
            <w:tcW w:type="dxa" w:w="3120"/>
          </w:tcPr>
          <w:p>
            <w:pPr>
              <w:spacing w:after="0"/>
            </w:pPr>
            <w:r/>
            <w:r>
              <w:rPr>
                <w:sz w:val="19"/>
              </w:rPr>
              <w:t>Stated scenario parameters (wrong-way collateral sale)</w:t>
            </w:r>
          </w:p>
        </w:tc>
      </w:tr>
      <w:tr>
        <w:tc>
          <w:tcPr>
            <w:tcW w:type="dxa" w:w="3120"/>
            <w:shd w:val="clear" w:color="auto" w:fill="EDF1F5"/>
          </w:tcPr>
          <w:p>
            <w:pPr>
              <w:spacing w:after="0"/>
            </w:pPr>
            <w:r/>
            <w:r>
              <w:rPr>
                <w:sz w:val="19"/>
              </w:rPr>
              <w:t>GPU haircut Moderate circularity, base/stressed</w:t>
            </w:r>
          </w:p>
        </w:tc>
        <w:tc>
          <w:tcPr>
            <w:tcW w:type="dxa" w:w="3120"/>
            <w:shd w:val="clear" w:color="auto" w:fill="EDF1F5"/>
          </w:tcPr>
          <w:p>
            <w:pPr>
              <w:spacing w:after="0"/>
            </w:pPr>
            <w:r/>
            <w:r>
              <w:rPr>
                <w:sz w:val="19"/>
              </w:rPr>
              <w:t>25%/45%</w:t>
            </w:r>
          </w:p>
        </w:tc>
        <w:tc>
          <w:tcPr>
            <w:tcW w:type="dxa" w:w="3120"/>
            <w:shd w:val="clear" w:color="auto" w:fill="EDF1F5"/>
          </w:tcPr>
          <w:p>
            <w:pPr>
              <w:spacing w:after="0"/>
            </w:pPr>
            <w:r/>
            <w:r>
              <w:rPr>
                <w:sz w:val="19"/>
              </w:rPr>
              <w:t>Stated scenario parameters (wrong-way collateral sale)</w:t>
            </w:r>
          </w:p>
        </w:tc>
      </w:tr>
      <w:tr>
        <w:tc>
          <w:tcPr>
            <w:tcW w:type="dxa" w:w="3120"/>
          </w:tcPr>
          <w:p>
            <w:pPr>
              <w:spacing w:after="0"/>
            </w:pPr>
            <w:r/>
            <w:r>
              <w:rPr>
                <w:sz w:val="19"/>
              </w:rPr>
              <w:t>GPU haircut High circularity, base/stressed</w:t>
            </w:r>
          </w:p>
        </w:tc>
        <w:tc>
          <w:tcPr>
            <w:tcW w:type="dxa" w:w="3120"/>
          </w:tcPr>
          <w:p>
            <w:pPr>
              <w:spacing w:after="0"/>
            </w:pPr>
            <w:r/>
            <w:r>
              <w:rPr>
                <w:sz w:val="19"/>
              </w:rPr>
              <w:t>35%/60%</w:t>
            </w:r>
          </w:p>
        </w:tc>
        <w:tc>
          <w:tcPr>
            <w:tcW w:type="dxa" w:w="3120"/>
          </w:tcPr>
          <w:p>
            <w:pPr>
              <w:spacing w:after="0"/>
            </w:pPr>
            <w:r/>
            <w:r>
              <w:rPr>
                <w:sz w:val="19"/>
              </w:rPr>
              <w:t>Stated scenario parameters (wrong-way collateral sale)</w:t>
            </w:r>
          </w:p>
        </w:tc>
      </w:tr>
      <w:tr>
        <w:tc>
          <w:tcPr>
            <w:tcW w:type="dxa" w:w="3120"/>
            <w:shd w:val="clear" w:color="auto" w:fill="EDF1F5"/>
          </w:tcPr>
          <w:p>
            <w:pPr>
              <w:spacing w:after="0"/>
            </w:pPr>
            <w:r/>
            <w:r>
              <w:rPr>
                <w:sz w:val="19"/>
              </w:rPr>
              <w:t>Downgrade watchlist #1</w:t>
            </w:r>
          </w:p>
        </w:tc>
        <w:tc>
          <w:tcPr>
            <w:tcW w:type="dxa" w:w="3120"/>
            <w:shd w:val="clear" w:color="auto" w:fill="EDF1F5"/>
          </w:tcPr>
          <w:p>
            <w:pPr>
              <w:spacing w:after="0"/>
            </w:pPr>
            <w:r/>
            <w:r>
              <w:rPr>
                <w:sz w:val="19"/>
              </w:rPr>
              <w:t>Hardware (-$239.4B, 3.0% equity)</w:t>
            </w:r>
          </w:p>
        </w:tc>
        <w:tc>
          <w:tcPr>
            <w:tcW w:type="dxa" w:w="3120"/>
            <w:shd w:val="clear" w:color="auto" w:fill="EDF1F5"/>
          </w:tcPr>
          <w:p>
            <w:pPr>
              <w:spacing w:after="0"/>
            </w:pPr>
            <w:r/>
            <w:r>
              <w:rPr>
                <w:sz w:val="19"/>
              </w:rPr>
              <w:t>Live burst-rank order (Table 7.11)</w:t>
            </w:r>
          </w:p>
        </w:tc>
      </w:tr>
      <w:tr>
        <w:tc>
          <w:tcPr>
            <w:tcW w:type="dxa" w:w="3120"/>
          </w:tcPr>
          <w:p>
            <w:pPr>
              <w:spacing w:after="0"/>
            </w:pPr>
            <w:r/>
            <w:r>
              <w:rPr>
                <w:sz w:val="19"/>
              </w:rPr>
              <w:t>Downgrade watchlist #2</w:t>
            </w:r>
          </w:p>
        </w:tc>
        <w:tc>
          <w:tcPr>
            <w:tcW w:type="dxa" w:w="3120"/>
          </w:tcPr>
          <w:p>
            <w:pPr>
              <w:spacing w:after="0"/>
            </w:pPr>
            <w:r/>
            <w:r>
              <w:rPr>
                <w:sz w:val="19"/>
              </w:rPr>
              <w:t>Cloud Providers (-$132.7B, 1.1% equity)</w:t>
            </w:r>
          </w:p>
        </w:tc>
        <w:tc>
          <w:tcPr>
            <w:tcW w:type="dxa" w:w="3120"/>
          </w:tcPr>
          <w:p>
            <w:pPr>
              <w:spacing w:after="0"/>
            </w:pPr>
            <w:r/>
            <w:r>
              <w:rPr>
                <w:sz w:val="19"/>
              </w:rPr>
              <w:t>Live burst-rank order (Table 7.11)</w:t>
            </w:r>
          </w:p>
        </w:tc>
      </w:tr>
      <w:tr>
        <w:tc>
          <w:tcPr>
            <w:tcW w:type="dxa" w:w="3120"/>
            <w:shd w:val="clear" w:color="auto" w:fill="EDF1F5"/>
          </w:tcPr>
          <w:p>
            <w:pPr>
              <w:spacing w:after="0"/>
            </w:pPr>
            <w:r/>
            <w:r>
              <w:rPr>
                <w:sz w:val="19"/>
              </w:rPr>
              <w:t>Downgrade watchlist #3</w:t>
            </w:r>
          </w:p>
        </w:tc>
        <w:tc>
          <w:tcPr>
            <w:tcW w:type="dxa" w:w="3120"/>
            <w:shd w:val="clear" w:color="auto" w:fill="EDF1F5"/>
          </w:tcPr>
          <w:p>
            <w:pPr>
              <w:spacing w:after="0"/>
            </w:pPr>
            <w:r/>
            <w:r>
              <w:rPr>
                <w:sz w:val="19"/>
              </w:rPr>
              <w:t>Foundation Models (-$85.4B, 3.5% equity)</w:t>
            </w:r>
          </w:p>
        </w:tc>
        <w:tc>
          <w:tcPr>
            <w:tcW w:type="dxa" w:w="3120"/>
            <w:shd w:val="clear" w:color="auto" w:fill="EDF1F5"/>
          </w:tcPr>
          <w:p>
            <w:pPr>
              <w:spacing w:after="0"/>
            </w:pPr>
            <w:r/>
            <w:r>
              <w:rPr>
                <w:sz w:val="19"/>
              </w:rPr>
              <w:t>Live burst-rank order (Table 7.11)</w:t>
            </w:r>
          </w:p>
        </w:tc>
      </w:tr>
      <w:tr>
        <w:tc>
          <w:tcPr>
            <w:tcW w:type="dxa" w:w="3120"/>
          </w:tcPr>
          <w:p>
            <w:pPr>
              <w:spacing w:after="0"/>
            </w:pPr>
            <w:r/>
            <w:r>
              <w:rPr>
                <w:sz w:val="19"/>
              </w:rPr>
              <w:t>Downgrade watchlist #4</w:t>
            </w:r>
          </w:p>
        </w:tc>
        <w:tc>
          <w:tcPr>
            <w:tcW w:type="dxa" w:w="3120"/>
          </w:tcPr>
          <w:p>
            <w:pPr>
              <w:spacing w:after="0"/>
            </w:pPr>
            <w:r/>
            <w:r>
              <w:rPr>
                <w:sz w:val="19"/>
              </w:rPr>
              <w:t>LLM Wrappers (-$20.8B, 2.4% equity)</w:t>
            </w:r>
          </w:p>
        </w:tc>
        <w:tc>
          <w:tcPr>
            <w:tcW w:type="dxa" w:w="3120"/>
          </w:tcPr>
          <w:p>
            <w:pPr>
              <w:spacing w:after="0"/>
            </w:pPr>
            <w:r/>
            <w:r>
              <w:rPr>
                <w:sz w:val="19"/>
              </w:rPr>
              <w:t>Live burst-rank order (Table 7.11)</w:t>
            </w:r>
          </w:p>
        </w:tc>
      </w:tr>
    </w:tbl>
    <w:p>
      <w:pPr>
        <w:spacing w:after="80"/>
      </w:pPr>
      <w:r>
        <w:rPr>
          <w:sz w:val="4"/>
        </w:rPr>
      </w:r>
    </w:p>
    <w:p>
      <w:pPr>
        <w:spacing w:after="120"/>
      </w:pPr>
      <w:r>
        <w:rPr>
          <w:b w:val="0"/>
          <w:i w:val="0"/>
          <w:sz w:val="21"/>
        </w:rPr>
        <w:t>Sourced facts (Oracle CDS print, BBB- action, $570B debt run_pipeline) anchor the ledger; the hazard uses a stated 40% recovery, haircuts are stated scenario parameters, and the watchlist reproduces the live burst-rank order. No firm-level spread is invented.</w:t>
      </w:r>
    </w:p>
    <w:p>
      <w:r>
        <w:br w:type="page"/>
      </w:r>
    </w:p>
    <w:p>
      <w:pPr>
        <w:pStyle w:val="Heading1"/>
      </w:pPr>
      <w:r>
        <w:t>8.  Valuation Integration</w:t>
      </w:r>
    </w:p>
    <w:p>
      <w:pPr>
        <w:spacing w:after="120"/>
      </w:pPr>
      <w:r>
        <w:rPr>
          <w:b w:val="0"/>
          <w:i w:val="0"/>
          <w:sz w:val="22"/>
        </w:rPr>
        <w:t>The enhanced valuation module expands the four category rows into company-level financials and derives 50+ valuation metrics (P/E, EV/Revenue, ROIC, circular-risk adjustments, sustainability scores and ratings) from the same market data.</w:t>
      </w:r>
    </w:p>
    <w:p>
      <w:pPr>
        <w:keepNext/>
        <w:spacing w:before="200" w:after="40"/>
      </w:pPr>
      <w:r>
        <w:rPr>
          <w:b/>
          <w:color w:val="2C3E50"/>
          <w:sz w:val="20"/>
        </w:rPr>
        <w:t>Exhibit 8.1  Top companies by market cap with key valuation metrics (ai_ecosystem_model.py enhancement output)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Company</w:t>
            </w:r>
          </w:p>
        </w:tc>
        <w:tc>
          <w:tcPr>
            <w:tcW w:type="dxa" w:w="1337"/>
            <w:tblHeader w:val="true"/>
            <w:shd w:val="clear" w:color="auto" w:fill="2C3E50"/>
          </w:tcPr>
          <w:p>
            <w:pPr>
              <w:jc w:val="center"/>
            </w:pPr>
            <w:r/>
            <w:r>
              <w:rPr>
                <w:b/>
                <w:color w:val="FFFFFF"/>
                <w:sz w:val="18"/>
              </w:rPr>
              <w:t>Category</w:t>
            </w:r>
          </w:p>
        </w:tc>
        <w:tc>
          <w:tcPr>
            <w:tcW w:type="dxa" w:w="1337"/>
            <w:tblHeader w:val="true"/>
            <w:shd w:val="clear" w:color="auto" w:fill="2C3E50"/>
          </w:tcPr>
          <w:p>
            <w:pPr>
              <w:jc w:val="center"/>
            </w:pPr>
            <w:r/>
            <w:r>
              <w:rPr>
                <w:b/>
                <w:color w:val="FFFFFF"/>
                <w:sz w:val="18"/>
              </w:rPr>
              <w:t>Market cap ($B)</w:t>
            </w:r>
          </w:p>
        </w:tc>
        <w:tc>
          <w:tcPr>
            <w:tcW w:type="dxa" w:w="1337"/>
            <w:tblHeader w:val="true"/>
            <w:shd w:val="clear" w:color="auto" w:fill="2C3E50"/>
          </w:tcPr>
          <w:p>
            <w:pPr>
              <w:jc w:val="center"/>
            </w:pPr>
            <w:r/>
            <w:r>
              <w:rPr>
                <w:b/>
                <w:color w:val="FFFFFF"/>
                <w:sz w:val="18"/>
              </w:rPr>
              <w:t>P/E</w:t>
            </w:r>
          </w:p>
        </w:tc>
        <w:tc>
          <w:tcPr>
            <w:tcW w:type="dxa" w:w="1337"/>
            <w:tblHeader w:val="true"/>
            <w:shd w:val="clear" w:color="auto" w:fill="2C3E50"/>
          </w:tcPr>
          <w:p>
            <w:pPr>
              <w:jc w:val="center"/>
            </w:pPr>
            <w:r/>
            <w:r>
              <w:rPr>
                <w:b/>
                <w:color w:val="FFFFFF"/>
                <w:sz w:val="18"/>
              </w:rPr>
              <w:t>EV/Revenue</w:t>
            </w:r>
          </w:p>
        </w:tc>
        <w:tc>
          <w:tcPr>
            <w:tcW w:type="dxa" w:w="1337"/>
            <w:tblHeader w:val="true"/>
            <w:shd w:val="clear" w:color="auto" w:fill="2C3E50"/>
          </w:tcPr>
          <w:p>
            <w:pPr>
              <w:jc w:val="center"/>
            </w:pPr>
            <w:r/>
            <w:r>
              <w:rPr>
                <w:b/>
                <w:color w:val="FFFFFF"/>
                <w:sz w:val="18"/>
              </w:rPr>
              <w:t>Circular risk</w:t>
            </w:r>
          </w:p>
        </w:tc>
        <w:tc>
          <w:tcPr>
            <w:tcW w:type="dxa" w:w="1337"/>
            <w:tblHeader w:val="true"/>
            <w:shd w:val="clear" w:color="auto" w:fill="2C3E50"/>
          </w:tcPr>
          <w:p>
            <w:pPr>
              <w:jc w:val="center"/>
            </w:pPr>
            <w:r/>
            <w:r>
              <w:rPr>
                <w:b/>
                <w:color w:val="FFFFFF"/>
                <w:sz w:val="18"/>
              </w:rPr>
              <w:t>Circ.-adj. value ($B)</w:t>
            </w:r>
          </w:p>
        </w:tc>
      </w:tr>
      <w:tr>
        <w:tc>
          <w:tcPr>
            <w:tcW w:type="dxa" w:w="1337"/>
          </w:tcPr>
          <w:p>
            <w:pPr>
              <w:spacing w:after="0"/>
            </w:pPr>
            <w:r/>
            <w:r>
              <w:rPr>
                <w:sz w:val="17"/>
              </w:rPr>
              <w:t>NVIDIA</w:t>
            </w:r>
          </w:p>
        </w:tc>
        <w:tc>
          <w:tcPr>
            <w:tcW w:type="dxa" w:w="1337"/>
          </w:tcPr>
          <w:p>
            <w:pPr>
              <w:spacing w:after="0"/>
            </w:pPr>
            <w:r/>
            <w:r>
              <w:rPr>
                <w:sz w:val="17"/>
              </w:rPr>
              <w:t>Hardware</w:t>
            </w:r>
          </w:p>
        </w:tc>
        <w:tc>
          <w:tcPr>
            <w:tcW w:type="dxa" w:w="1337"/>
          </w:tcPr>
          <w:p>
            <w:pPr>
              <w:spacing w:after="0"/>
            </w:pPr>
            <w:r/>
            <w:r>
              <w:rPr>
                <w:sz w:val="17"/>
              </w:rPr>
              <w:t>5,280.0</w:t>
            </w:r>
          </w:p>
        </w:tc>
        <w:tc>
          <w:tcPr>
            <w:tcW w:type="dxa" w:w="1337"/>
          </w:tcPr>
          <w:p>
            <w:pPr>
              <w:spacing w:after="0"/>
            </w:pPr>
            <w:r/>
            <w:r>
              <w:rPr>
                <w:sz w:val="17"/>
              </w:rPr>
              <w:t>31.7</w:t>
            </w:r>
          </w:p>
        </w:tc>
        <w:tc>
          <w:tcPr>
            <w:tcW w:type="dxa" w:w="1337"/>
          </w:tcPr>
          <w:p>
            <w:pPr>
              <w:spacing w:after="0"/>
            </w:pPr>
            <w:r/>
            <w:r>
              <w:rPr>
                <w:sz w:val="17"/>
              </w:rPr>
              <w:t>17.4</w:t>
            </w:r>
          </w:p>
        </w:tc>
        <w:tc>
          <w:tcPr>
            <w:tcW w:type="dxa" w:w="1337"/>
          </w:tcPr>
          <w:p>
            <w:pPr>
              <w:spacing w:after="0"/>
            </w:pPr>
            <w:r/>
            <w:r>
              <w:rPr>
                <w:sz w:val="17"/>
              </w:rPr>
              <w:t>High</w:t>
            </w:r>
          </w:p>
        </w:tc>
        <w:tc>
          <w:tcPr>
            <w:tcW w:type="dxa" w:w="1337"/>
          </w:tcPr>
          <w:p>
            <w:pPr>
              <w:spacing w:after="0"/>
            </w:pPr>
            <w:r/>
            <w:r>
              <w:rPr>
                <w:sz w:val="17"/>
              </w:rPr>
              <w:t>4,224.0</w:t>
            </w:r>
          </w:p>
        </w:tc>
      </w:tr>
      <w:tr>
        <w:tc>
          <w:tcPr>
            <w:tcW w:type="dxa" w:w="1337"/>
            <w:shd w:val="clear" w:color="auto" w:fill="EDF1F5"/>
          </w:tcPr>
          <w:p>
            <w:pPr>
              <w:spacing w:after="0"/>
            </w:pPr>
            <w:r/>
            <w:r>
              <w:rPr>
                <w:sz w:val="17"/>
              </w:rPr>
              <w:t>Google Cloud</w:t>
            </w:r>
          </w:p>
        </w:tc>
        <w:tc>
          <w:tcPr>
            <w:tcW w:type="dxa" w:w="1337"/>
            <w:shd w:val="clear" w:color="auto" w:fill="EDF1F5"/>
          </w:tcPr>
          <w:p>
            <w:pPr>
              <w:spacing w:after="0"/>
            </w:pPr>
            <w:r/>
            <w:r>
              <w:rPr>
                <w:sz w:val="17"/>
              </w:rPr>
              <w:t>Cloud Providers</w:t>
            </w:r>
          </w:p>
        </w:tc>
        <w:tc>
          <w:tcPr>
            <w:tcW w:type="dxa" w:w="1337"/>
            <w:shd w:val="clear" w:color="auto" w:fill="EDF1F5"/>
          </w:tcPr>
          <w:p>
            <w:pPr>
              <w:spacing w:after="0"/>
            </w:pPr>
            <w:r/>
            <w:r>
              <w:rPr>
                <w:sz w:val="17"/>
              </w:rPr>
              <w:t>4,600.0</w:t>
            </w:r>
          </w:p>
        </w:tc>
        <w:tc>
          <w:tcPr>
            <w:tcW w:type="dxa" w:w="1337"/>
            <w:shd w:val="clear" w:color="auto" w:fill="EDF1F5"/>
          </w:tcPr>
          <w:p>
            <w:pPr>
              <w:spacing w:after="0"/>
            </w:pPr>
            <w:r/>
            <w:r>
              <w:rPr>
                <w:sz w:val="17"/>
              </w:rPr>
              <w:t>34.4</w:t>
            </w:r>
          </w:p>
        </w:tc>
        <w:tc>
          <w:tcPr>
            <w:tcW w:type="dxa" w:w="1337"/>
            <w:shd w:val="clear" w:color="auto" w:fill="EDF1F5"/>
          </w:tcPr>
          <w:p>
            <w:pPr>
              <w:spacing w:after="0"/>
            </w:pPr>
            <w:r/>
            <w:r>
              <w:rPr>
                <w:sz w:val="17"/>
              </w:rPr>
              <w:t>10.3</w:t>
            </w:r>
          </w:p>
        </w:tc>
        <w:tc>
          <w:tcPr>
            <w:tcW w:type="dxa" w:w="1337"/>
            <w:shd w:val="clear" w:color="auto" w:fill="EDF1F5"/>
          </w:tcPr>
          <w:p>
            <w:pPr>
              <w:spacing w:after="0"/>
            </w:pPr>
            <w:r/>
            <w:r>
              <w:rPr>
                <w:sz w:val="17"/>
              </w:rPr>
              <w:t>Moderate</w:t>
            </w:r>
          </w:p>
        </w:tc>
        <w:tc>
          <w:tcPr>
            <w:tcW w:type="dxa" w:w="1337"/>
            <w:shd w:val="clear" w:color="auto" w:fill="EDF1F5"/>
          </w:tcPr>
          <w:p>
            <w:pPr>
              <w:spacing w:after="0"/>
            </w:pPr>
            <w:r/>
            <w:r>
              <w:rPr>
                <w:sz w:val="17"/>
              </w:rPr>
              <w:t>4,065.4</w:t>
            </w:r>
          </w:p>
        </w:tc>
      </w:tr>
      <w:tr>
        <w:tc>
          <w:tcPr>
            <w:tcW w:type="dxa" w:w="1337"/>
          </w:tcPr>
          <w:p>
            <w:pPr>
              <w:spacing w:after="0"/>
            </w:pPr>
            <w:r/>
            <w:r>
              <w:rPr>
                <w:sz w:val="17"/>
              </w:rPr>
              <w:t>Microsoft Azure</w:t>
            </w:r>
          </w:p>
        </w:tc>
        <w:tc>
          <w:tcPr>
            <w:tcW w:type="dxa" w:w="1337"/>
          </w:tcPr>
          <w:p>
            <w:pPr>
              <w:spacing w:after="0"/>
            </w:pPr>
            <w:r/>
            <w:r>
              <w:rPr>
                <w:sz w:val="17"/>
              </w:rPr>
              <w:t>Cloud Providers</w:t>
            </w:r>
          </w:p>
        </w:tc>
        <w:tc>
          <w:tcPr>
            <w:tcW w:type="dxa" w:w="1337"/>
          </w:tcPr>
          <w:p>
            <w:pPr>
              <w:spacing w:after="0"/>
            </w:pPr>
            <w:r/>
            <w:r>
              <w:rPr>
                <w:sz w:val="17"/>
              </w:rPr>
              <w:t>3,600.0</w:t>
            </w:r>
          </w:p>
        </w:tc>
        <w:tc>
          <w:tcPr>
            <w:tcW w:type="dxa" w:w="1337"/>
          </w:tcPr>
          <w:p>
            <w:pPr>
              <w:spacing w:after="0"/>
            </w:pPr>
            <w:r/>
            <w:r>
              <w:rPr>
                <w:sz w:val="17"/>
              </w:rPr>
              <w:t>27.1</w:t>
            </w:r>
          </w:p>
        </w:tc>
        <w:tc>
          <w:tcPr>
            <w:tcW w:type="dxa" w:w="1337"/>
          </w:tcPr>
          <w:p>
            <w:pPr>
              <w:spacing w:after="0"/>
            </w:pPr>
            <w:r/>
            <w:r>
              <w:rPr>
                <w:sz w:val="17"/>
              </w:rPr>
              <w:t>10.8</w:t>
            </w:r>
          </w:p>
        </w:tc>
        <w:tc>
          <w:tcPr>
            <w:tcW w:type="dxa" w:w="1337"/>
          </w:tcPr>
          <w:p>
            <w:pPr>
              <w:spacing w:after="0"/>
            </w:pPr>
            <w:r/>
            <w:r>
              <w:rPr>
                <w:sz w:val="17"/>
              </w:rPr>
              <w:t>Moderate</w:t>
            </w:r>
          </w:p>
        </w:tc>
        <w:tc>
          <w:tcPr>
            <w:tcW w:type="dxa" w:w="1337"/>
          </w:tcPr>
          <w:p>
            <w:pPr>
              <w:spacing w:after="0"/>
            </w:pPr>
            <w:r/>
            <w:r>
              <w:rPr>
                <w:sz w:val="17"/>
              </w:rPr>
              <w:t>3,181.6</w:t>
            </w:r>
          </w:p>
        </w:tc>
      </w:tr>
      <w:tr>
        <w:tc>
          <w:tcPr>
            <w:tcW w:type="dxa" w:w="1337"/>
            <w:shd w:val="clear" w:color="auto" w:fill="EDF1F5"/>
          </w:tcPr>
          <w:p>
            <w:pPr>
              <w:spacing w:after="0"/>
            </w:pPr>
            <w:r/>
            <w:r>
              <w:rPr>
                <w:sz w:val="17"/>
              </w:rPr>
              <w:t>AWS</w:t>
            </w:r>
          </w:p>
        </w:tc>
        <w:tc>
          <w:tcPr>
            <w:tcW w:type="dxa" w:w="1337"/>
            <w:shd w:val="clear" w:color="auto" w:fill="EDF1F5"/>
          </w:tcPr>
          <w:p>
            <w:pPr>
              <w:spacing w:after="0"/>
            </w:pPr>
            <w:r/>
            <w:r>
              <w:rPr>
                <w:sz w:val="17"/>
              </w:rPr>
              <w:t>Cloud Providers</w:t>
            </w:r>
          </w:p>
        </w:tc>
        <w:tc>
          <w:tcPr>
            <w:tcW w:type="dxa" w:w="1337"/>
            <w:shd w:val="clear" w:color="auto" w:fill="EDF1F5"/>
          </w:tcPr>
          <w:p>
            <w:pPr>
              <w:spacing w:after="0"/>
            </w:pPr>
            <w:r/>
            <w:r>
              <w:rPr>
                <w:sz w:val="17"/>
              </w:rPr>
              <w:t>3,100.0</w:t>
            </w:r>
          </w:p>
        </w:tc>
        <w:tc>
          <w:tcPr>
            <w:tcW w:type="dxa" w:w="1337"/>
            <w:shd w:val="clear" w:color="auto" w:fill="EDF1F5"/>
          </w:tcPr>
          <w:p>
            <w:pPr>
              <w:spacing w:after="0"/>
            </w:pPr>
            <w:r/>
            <w:r>
              <w:rPr>
                <w:sz w:val="17"/>
              </w:rPr>
              <w:t>34.9</w:t>
            </w:r>
          </w:p>
        </w:tc>
        <w:tc>
          <w:tcPr>
            <w:tcW w:type="dxa" w:w="1337"/>
            <w:shd w:val="clear" w:color="auto" w:fill="EDF1F5"/>
          </w:tcPr>
          <w:p>
            <w:pPr>
              <w:spacing w:after="0"/>
            </w:pPr>
            <w:r/>
            <w:r>
              <w:rPr>
                <w:sz w:val="17"/>
              </w:rPr>
              <w:t>4.2</w:t>
            </w:r>
          </w:p>
        </w:tc>
        <w:tc>
          <w:tcPr>
            <w:tcW w:type="dxa" w:w="1337"/>
            <w:shd w:val="clear" w:color="auto" w:fill="EDF1F5"/>
          </w:tcPr>
          <w:p>
            <w:pPr>
              <w:spacing w:after="0"/>
            </w:pPr>
            <w:r/>
            <w:r>
              <w:rPr>
                <w:sz w:val="17"/>
              </w:rPr>
              <w:t>Moderate</w:t>
            </w:r>
          </w:p>
        </w:tc>
        <w:tc>
          <w:tcPr>
            <w:tcW w:type="dxa" w:w="1337"/>
            <w:shd w:val="clear" w:color="auto" w:fill="EDF1F5"/>
          </w:tcPr>
          <w:p>
            <w:pPr>
              <w:spacing w:after="0"/>
            </w:pPr>
            <w:r/>
            <w:r>
              <w:rPr>
                <w:sz w:val="17"/>
              </w:rPr>
              <w:t>2,739.7</w:t>
            </w:r>
          </w:p>
        </w:tc>
      </w:tr>
      <w:tr>
        <w:tc>
          <w:tcPr>
            <w:tcW w:type="dxa" w:w="1337"/>
          </w:tcPr>
          <w:p>
            <w:pPr>
              <w:spacing w:after="0"/>
            </w:pPr>
            <w:r/>
            <w:r>
              <w:rPr>
                <w:sz w:val="17"/>
              </w:rPr>
              <w:t>Broadcom</w:t>
            </w:r>
          </w:p>
        </w:tc>
        <w:tc>
          <w:tcPr>
            <w:tcW w:type="dxa" w:w="1337"/>
          </w:tcPr>
          <w:p>
            <w:pPr>
              <w:spacing w:after="0"/>
            </w:pPr>
            <w:r/>
            <w:r>
              <w:rPr>
                <w:sz w:val="17"/>
              </w:rPr>
              <w:t>Hardware</w:t>
            </w:r>
          </w:p>
        </w:tc>
        <w:tc>
          <w:tcPr>
            <w:tcW w:type="dxa" w:w="1337"/>
          </w:tcPr>
          <w:p>
            <w:pPr>
              <w:spacing w:after="0"/>
            </w:pPr>
            <w:r/>
            <w:r>
              <w:rPr>
                <w:sz w:val="17"/>
              </w:rPr>
              <w:t>1,500.0</w:t>
            </w:r>
          </w:p>
        </w:tc>
        <w:tc>
          <w:tcPr>
            <w:tcW w:type="dxa" w:w="1337"/>
          </w:tcPr>
          <w:p>
            <w:pPr>
              <w:spacing w:after="0"/>
            </w:pPr>
            <w:r/>
            <w:r>
              <w:rPr>
                <w:sz w:val="17"/>
              </w:rPr>
              <w:t>35.7</w:t>
            </w:r>
          </w:p>
        </w:tc>
        <w:tc>
          <w:tcPr>
            <w:tcW w:type="dxa" w:w="1337"/>
          </w:tcPr>
          <w:p>
            <w:pPr>
              <w:spacing w:after="0"/>
            </w:pPr>
            <w:r/>
            <w:r>
              <w:rPr>
                <w:sz w:val="17"/>
              </w:rPr>
              <w:t>15.0</w:t>
            </w:r>
          </w:p>
        </w:tc>
        <w:tc>
          <w:tcPr>
            <w:tcW w:type="dxa" w:w="1337"/>
          </w:tcPr>
          <w:p>
            <w:pPr>
              <w:spacing w:after="0"/>
            </w:pPr>
            <w:r/>
            <w:r>
              <w:rPr>
                <w:sz w:val="17"/>
              </w:rPr>
              <w:t>High</w:t>
            </w:r>
          </w:p>
        </w:tc>
        <w:tc>
          <w:tcPr>
            <w:tcW w:type="dxa" w:w="1337"/>
          </w:tcPr>
          <w:p>
            <w:pPr>
              <w:spacing w:after="0"/>
            </w:pPr>
            <w:r/>
            <w:r>
              <w:rPr>
                <w:sz w:val="17"/>
              </w:rPr>
              <w:t>1,200.0</w:t>
            </w:r>
          </w:p>
        </w:tc>
      </w:tr>
      <w:tr>
        <w:tc>
          <w:tcPr>
            <w:tcW w:type="dxa" w:w="1337"/>
            <w:shd w:val="clear" w:color="auto" w:fill="EDF1F5"/>
          </w:tcPr>
          <w:p>
            <w:pPr>
              <w:spacing w:after="0"/>
            </w:pPr>
            <w:r/>
            <w:r>
              <w:rPr>
                <w:sz w:val="17"/>
              </w:rPr>
              <w:t>Anthropic</w:t>
            </w:r>
          </w:p>
        </w:tc>
        <w:tc>
          <w:tcPr>
            <w:tcW w:type="dxa" w:w="1337"/>
            <w:shd w:val="clear" w:color="auto" w:fill="EDF1F5"/>
          </w:tcPr>
          <w:p>
            <w:pPr>
              <w:spacing w:after="0"/>
            </w:pPr>
            <w:r/>
            <w:r>
              <w:rPr>
                <w:sz w:val="17"/>
              </w:rPr>
              <w:t>Foundation Models</w:t>
            </w:r>
          </w:p>
        </w:tc>
        <w:tc>
          <w:tcPr>
            <w:tcW w:type="dxa" w:w="1337"/>
            <w:shd w:val="clear" w:color="auto" w:fill="EDF1F5"/>
          </w:tcPr>
          <w:p>
            <w:pPr>
              <w:spacing w:after="0"/>
            </w:pPr>
            <w:r/>
            <w:r>
              <w:rPr>
                <w:sz w:val="17"/>
              </w:rPr>
              <w:t>965.0</w:t>
            </w:r>
          </w:p>
        </w:tc>
        <w:tc>
          <w:tcPr>
            <w:tcW w:type="dxa" w:w="1337"/>
            <w:shd w:val="clear" w:color="auto" w:fill="EDF1F5"/>
          </w:tcPr>
          <w:p>
            <w:pPr>
              <w:spacing w:after="0"/>
            </w:pPr>
            <w:r/>
            <w:r>
              <w:rPr>
                <w:sz w:val="17"/>
              </w:rPr>
              <w:t>—</w:t>
            </w:r>
          </w:p>
        </w:tc>
        <w:tc>
          <w:tcPr>
            <w:tcW w:type="dxa" w:w="1337"/>
            <w:shd w:val="clear" w:color="auto" w:fill="EDF1F5"/>
          </w:tcPr>
          <w:p>
            <w:pPr>
              <w:spacing w:after="0"/>
            </w:pPr>
            <w:r/>
            <w:r>
              <w:rPr>
                <w:sz w:val="17"/>
              </w:rPr>
              <w:t>14.8</w:t>
            </w:r>
          </w:p>
        </w:tc>
        <w:tc>
          <w:tcPr>
            <w:tcW w:type="dxa" w:w="1337"/>
            <w:shd w:val="clear" w:color="auto" w:fill="EDF1F5"/>
          </w:tcPr>
          <w:p>
            <w:pPr>
              <w:spacing w:after="0"/>
            </w:pPr>
            <w:r/>
            <w:r>
              <w:rPr>
                <w:sz w:val="17"/>
              </w:rPr>
              <w:t>High</w:t>
            </w:r>
          </w:p>
        </w:tc>
        <w:tc>
          <w:tcPr>
            <w:tcW w:type="dxa" w:w="1337"/>
            <w:shd w:val="clear" w:color="auto" w:fill="EDF1F5"/>
          </w:tcPr>
          <w:p>
            <w:pPr>
              <w:spacing w:after="0"/>
            </w:pPr>
            <w:r/>
            <w:r>
              <w:rPr>
                <w:sz w:val="17"/>
              </w:rPr>
              <w:t>675.5</w:t>
            </w:r>
          </w:p>
        </w:tc>
      </w:tr>
      <w:tr>
        <w:tc>
          <w:tcPr>
            <w:tcW w:type="dxa" w:w="1337"/>
          </w:tcPr>
          <w:p>
            <w:pPr>
              <w:spacing w:after="0"/>
            </w:pPr>
            <w:r/>
            <w:r>
              <w:rPr>
                <w:sz w:val="17"/>
              </w:rPr>
              <w:t>OpenAI</w:t>
            </w:r>
          </w:p>
        </w:tc>
        <w:tc>
          <w:tcPr>
            <w:tcW w:type="dxa" w:w="1337"/>
          </w:tcPr>
          <w:p>
            <w:pPr>
              <w:spacing w:after="0"/>
            </w:pPr>
            <w:r/>
            <w:r>
              <w:rPr>
                <w:sz w:val="17"/>
              </w:rPr>
              <w:t>Foundation Models</w:t>
            </w:r>
          </w:p>
        </w:tc>
        <w:tc>
          <w:tcPr>
            <w:tcW w:type="dxa" w:w="1337"/>
          </w:tcPr>
          <w:p>
            <w:pPr>
              <w:spacing w:after="0"/>
            </w:pPr>
            <w:r/>
            <w:r>
              <w:rPr>
                <w:sz w:val="17"/>
              </w:rPr>
              <w:t>852.0</w:t>
            </w:r>
          </w:p>
        </w:tc>
        <w:tc>
          <w:tcPr>
            <w:tcW w:type="dxa" w:w="1337"/>
          </w:tcPr>
          <w:p>
            <w:pPr>
              <w:spacing w:after="0"/>
            </w:pPr>
            <w:r/>
            <w:r>
              <w:rPr>
                <w:sz w:val="17"/>
              </w:rPr>
              <w:t>—</w:t>
            </w:r>
          </w:p>
        </w:tc>
        <w:tc>
          <w:tcPr>
            <w:tcW w:type="dxa" w:w="1337"/>
          </w:tcPr>
          <w:p>
            <w:pPr>
              <w:spacing w:after="0"/>
            </w:pPr>
            <w:r/>
            <w:r>
              <w:rPr>
                <w:sz w:val="17"/>
              </w:rPr>
              <w:t>21.3</w:t>
            </w:r>
          </w:p>
        </w:tc>
        <w:tc>
          <w:tcPr>
            <w:tcW w:type="dxa" w:w="1337"/>
          </w:tcPr>
          <w:p>
            <w:pPr>
              <w:spacing w:after="0"/>
            </w:pPr>
            <w:r/>
            <w:r>
              <w:rPr>
                <w:sz w:val="17"/>
              </w:rPr>
              <w:t>High</w:t>
            </w:r>
          </w:p>
        </w:tc>
        <w:tc>
          <w:tcPr>
            <w:tcW w:type="dxa" w:w="1337"/>
          </w:tcPr>
          <w:p>
            <w:pPr>
              <w:spacing w:after="0"/>
            </w:pPr>
            <w:r/>
            <w:r>
              <w:rPr>
                <w:sz w:val="17"/>
              </w:rPr>
              <w:t>596.4</w:t>
            </w:r>
          </w:p>
        </w:tc>
      </w:tr>
      <w:tr>
        <w:tc>
          <w:tcPr>
            <w:tcW w:type="dxa" w:w="1337"/>
            <w:shd w:val="clear" w:color="auto" w:fill="EDF1F5"/>
          </w:tcPr>
          <w:p>
            <w:pPr>
              <w:spacing w:after="0"/>
            </w:pPr>
            <w:r/>
            <w:r>
              <w:rPr>
                <w:sz w:val="17"/>
              </w:rPr>
              <w:t>AMD</w:t>
            </w:r>
          </w:p>
        </w:tc>
        <w:tc>
          <w:tcPr>
            <w:tcW w:type="dxa" w:w="1337"/>
            <w:shd w:val="clear" w:color="auto" w:fill="EDF1F5"/>
          </w:tcPr>
          <w:p>
            <w:pPr>
              <w:spacing w:after="0"/>
            </w:pPr>
            <w:r/>
            <w:r>
              <w:rPr>
                <w:sz w:val="17"/>
              </w:rPr>
              <w:t>Hardware</w:t>
            </w:r>
          </w:p>
        </w:tc>
        <w:tc>
          <w:tcPr>
            <w:tcW w:type="dxa" w:w="1337"/>
            <w:shd w:val="clear" w:color="auto" w:fill="EDF1F5"/>
          </w:tcPr>
          <w:p>
            <w:pPr>
              <w:spacing w:after="0"/>
            </w:pPr>
            <w:r/>
            <w:r>
              <w:rPr>
                <w:sz w:val="17"/>
              </w:rPr>
              <w:t>746.0</w:t>
            </w:r>
          </w:p>
        </w:tc>
        <w:tc>
          <w:tcPr>
            <w:tcW w:type="dxa" w:w="1337"/>
            <w:shd w:val="clear" w:color="auto" w:fill="EDF1F5"/>
          </w:tcPr>
          <w:p>
            <w:pPr>
              <w:spacing w:after="0"/>
            </w:pPr>
            <w:r/>
            <w:r>
              <w:rPr>
                <w:sz w:val="17"/>
              </w:rPr>
              <w:t>89.2</w:t>
            </w:r>
          </w:p>
        </w:tc>
        <w:tc>
          <w:tcPr>
            <w:tcW w:type="dxa" w:w="1337"/>
            <w:shd w:val="clear" w:color="auto" w:fill="EDF1F5"/>
          </w:tcPr>
          <w:p>
            <w:pPr>
              <w:spacing w:after="0"/>
            </w:pPr>
            <w:r/>
            <w:r>
              <w:rPr>
                <w:sz w:val="17"/>
              </w:rPr>
              <w:t>17.0</w:t>
            </w:r>
          </w:p>
        </w:tc>
        <w:tc>
          <w:tcPr>
            <w:tcW w:type="dxa" w:w="1337"/>
            <w:shd w:val="clear" w:color="auto" w:fill="EDF1F5"/>
          </w:tcPr>
          <w:p>
            <w:pPr>
              <w:spacing w:after="0"/>
            </w:pPr>
            <w:r/>
            <w:r>
              <w:rPr>
                <w:sz w:val="17"/>
              </w:rPr>
              <w:t>High</w:t>
            </w:r>
          </w:p>
        </w:tc>
        <w:tc>
          <w:tcPr>
            <w:tcW w:type="dxa" w:w="1337"/>
            <w:shd w:val="clear" w:color="auto" w:fill="EDF1F5"/>
          </w:tcPr>
          <w:p>
            <w:pPr>
              <w:spacing w:after="0"/>
            </w:pPr>
            <w:r/>
            <w:r>
              <w:rPr>
                <w:sz w:val="17"/>
              </w:rPr>
              <w:t>596.8</w:t>
            </w:r>
          </w:p>
        </w:tc>
      </w:tr>
      <w:tr>
        <w:tc>
          <w:tcPr>
            <w:tcW w:type="dxa" w:w="1337"/>
          </w:tcPr>
          <w:p>
            <w:pPr>
              <w:spacing w:after="0"/>
            </w:pPr>
            <w:r/>
            <w:r>
              <w:rPr>
                <w:sz w:val="17"/>
              </w:rPr>
              <w:t>Oracle</w:t>
            </w:r>
          </w:p>
        </w:tc>
        <w:tc>
          <w:tcPr>
            <w:tcW w:type="dxa" w:w="1337"/>
          </w:tcPr>
          <w:p>
            <w:pPr>
              <w:spacing w:after="0"/>
            </w:pPr>
            <w:r/>
            <w:r>
              <w:rPr>
                <w:sz w:val="17"/>
              </w:rPr>
              <w:t>Cloud Providers</w:t>
            </w:r>
          </w:p>
        </w:tc>
        <w:tc>
          <w:tcPr>
            <w:tcW w:type="dxa" w:w="1337"/>
          </w:tcPr>
          <w:p>
            <w:pPr>
              <w:spacing w:after="0"/>
            </w:pPr>
            <w:r/>
            <w:r>
              <w:rPr>
                <w:sz w:val="17"/>
              </w:rPr>
              <w:t>480.0</w:t>
            </w:r>
          </w:p>
        </w:tc>
        <w:tc>
          <w:tcPr>
            <w:tcW w:type="dxa" w:w="1337"/>
          </w:tcPr>
          <w:p>
            <w:pPr>
              <w:spacing w:after="0"/>
            </w:pPr>
            <w:r/>
            <w:r>
              <w:rPr>
                <w:sz w:val="17"/>
              </w:rPr>
              <w:t>28.5</w:t>
            </w:r>
          </w:p>
        </w:tc>
        <w:tc>
          <w:tcPr>
            <w:tcW w:type="dxa" w:w="1337"/>
          </w:tcPr>
          <w:p>
            <w:pPr>
              <w:spacing w:after="0"/>
            </w:pPr>
            <w:r/>
            <w:r>
              <w:rPr>
                <w:sz w:val="17"/>
              </w:rPr>
              <w:t>7.1</w:t>
            </w:r>
          </w:p>
        </w:tc>
        <w:tc>
          <w:tcPr>
            <w:tcW w:type="dxa" w:w="1337"/>
          </w:tcPr>
          <w:p>
            <w:pPr>
              <w:spacing w:after="0"/>
            </w:pPr>
            <w:r/>
            <w:r>
              <w:rPr>
                <w:sz w:val="17"/>
              </w:rPr>
              <w:t>Moderate</w:t>
            </w:r>
          </w:p>
        </w:tc>
        <w:tc>
          <w:tcPr>
            <w:tcW w:type="dxa" w:w="1337"/>
          </w:tcPr>
          <w:p>
            <w:pPr>
              <w:spacing w:after="0"/>
            </w:pPr>
            <w:r/>
            <w:r>
              <w:rPr>
                <w:sz w:val="17"/>
              </w:rPr>
              <w:t>424.2</w:t>
            </w:r>
          </w:p>
        </w:tc>
      </w:tr>
      <w:tr>
        <w:tc>
          <w:tcPr>
            <w:tcW w:type="dxa" w:w="1337"/>
            <w:shd w:val="clear" w:color="auto" w:fill="EDF1F5"/>
          </w:tcPr>
          <w:p>
            <w:pPr>
              <w:spacing w:after="0"/>
            </w:pPr>
            <w:r/>
            <w:r>
              <w:rPr>
                <w:sz w:val="17"/>
              </w:rPr>
              <w:t>Palantir</w:t>
            </w:r>
          </w:p>
        </w:tc>
        <w:tc>
          <w:tcPr>
            <w:tcW w:type="dxa" w:w="1337"/>
            <w:shd w:val="clear" w:color="auto" w:fill="EDF1F5"/>
          </w:tcPr>
          <w:p>
            <w:pPr>
              <w:spacing w:after="0"/>
            </w:pPr>
            <w:r/>
            <w:r>
              <w:rPr>
                <w:sz w:val="17"/>
              </w:rPr>
              <w:t>LLM Wrappers</w:t>
            </w:r>
          </w:p>
        </w:tc>
        <w:tc>
          <w:tcPr>
            <w:tcW w:type="dxa" w:w="1337"/>
            <w:shd w:val="clear" w:color="auto" w:fill="EDF1F5"/>
          </w:tcPr>
          <w:p>
            <w:pPr>
              <w:spacing w:after="0"/>
            </w:pPr>
            <w:r/>
            <w:r>
              <w:rPr>
                <w:sz w:val="17"/>
              </w:rPr>
              <w:t>432.0</w:t>
            </w:r>
          </w:p>
        </w:tc>
        <w:tc>
          <w:tcPr>
            <w:tcW w:type="dxa" w:w="1337"/>
            <w:shd w:val="clear" w:color="auto" w:fill="EDF1F5"/>
          </w:tcPr>
          <w:p>
            <w:pPr>
              <w:spacing w:after="0"/>
            </w:pPr>
            <w:r/>
            <w:r>
              <w:rPr>
                <w:sz w:val="17"/>
              </w:rPr>
              <w:t>133.6</w:t>
            </w:r>
          </w:p>
        </w:tc>
        <w:tc>
          <w:tcPr>
            <w:tcW w:type="dxa" w:w="1337"/>
            <w:shd w:val="clear" w:color="auto" w:fill="EDF1F5"/>
          </w:tcPr>
          <w:p>
            <w:pPr>
              <w:spacing w:after="0"/>
            </w:pPr>
            <w:r/>
            <w:r>
              <w:rPr>
                <w:sz w:val="17"/>
              </w:rPr>
              <w:t>56.1</w:t>
            </w:r>
          </w:p>
        </w:tc>
        <w:tc>
          <w:tcPr>
            <w:tcW w:type="dxa" w:w="1337"/>
            <w:shd w:val="clear" w:color="auto" w:fill="EDF1F5"/>
          </w:tcPr>
          <w:p>
            <w:pPr>
              <w:spacing w:after="0"/>
            </w:pPr>
            <w:r/>
            <w:r>
              <w:rPr>
                <w:sz w:val="17"/>
              </w:rPr>
              <w:t>Low</w:t>
            </w:r>
          </w:p>
        </w:tc>
        <w:tc>
          <w:tcPr>
            <w:tcW w:type="dxa" w:w="1337"/>
            <w:shd w:val="clear" w:color="auto" w:fill="EDF1F5"/>
          </w:tcPr>
          <w:p>
            <w:pPr>
              <w:spacing w:after="0"/>
            </w:pPr>
            <w:r/>
            <w:r>
              <w:rPr>
                <w:sz w:val="17"/>
              </w:rPr>
              <w:t>426.2</w:t>
            </w:r>
          </w:p>
        </w:tc>
      </w:tr>
      <w:tr>
        <w:tc>
          <w:tcPr>
            <w:tcW w:type="dxa" w:w="1337"/>
          </w:tcPr>
          <w:p>
            <w:pPr>
              <w:spacing w:after="0"/>
            </w:pPr>
            <w:r/>
            <w:r>
              <w:rPr>
                <w:sz w:val="17"/>
              </w:rPr>
              <w:t>Meta (Llama)</w:t>
            </w:r>
          </w:p>
        </w:tc>
        <w:tc>
          <w:tcPr>
            <w:tcW w:type="dxa" w:w="1337"/>
          </w:tcPr>
          <w:p>
            <w:pPr>
              <w:spacing w:after="0"/>
            </w:pPr>
            <w:r/>
            <w:r>
              <w:rPr>
                <w:sz w:val="17"/>
              </w:rPr>
              <w:t>Foundation Models</w:t>
            </w:r>
          </w:p>
        </w:tc>
        <w:tc>
          <w:tcPr>
            <w:tcW w:type="dxa" w:w="1337"/>
          </w:tcPr>
          <w:p>
            <w:pPr>
              <w:spacing w:after="0"/>
            </w:pPr>
            <w:r/>
            <w:r>
              <w:rPr>
                <w:sz w:val="17"/>
              </w:rPr>
              <w:t>400.0</w:t>
            </w:r>
          </w:p>
        </w:tc>
        <w:tc>
          <w:tcPr>
            <w:tcW w:type="dxa" w:w="1337"/>
          </w:tcPr>
          <w:p>
            <w:pPr>
              <w:spacing w:after="0"/>
            </w:pPr>
            <w:r/>
            <w:r>
              <w:rPr>
                <w:sz w:val="17"/>
              </w:rPr>
              <w:t>95.2</w:t>
            </w:r>
          </w:p>
        </w:tc>
        <w:tc>
          <w:tcPr>
            <w:tcW w:type="dxa" w:w="1337"/>
          </w:tcPr>
          <w:p>
            <w:pPr>
              <w:spacing w:after="0"/>
            </w:pPr>
            <w:r/>
            <w:r>
              <w:rPr>
                <w:sz w:val="17"/>
              </w:rPr>
              <w:t>26.7</w:t>
            </w:r>
          </w:p>
        </w:tc>
        <w:tc>
          <w:tcPr>
            <w:tcW w:type="dxa" w:w="1337"/>
          </w:tcPr>
          <w:p>
            <w:pPr>
              <w:spacing w:after="0"/>
            </w:pPr>
            <w:r/>
            <w:r>
              <w:rPr>
                <w:sz w:val="17"/>
              </w:rPr>
              <w:t>High</w:t>
            </w:r>
          </w:p>
        </w:tc>
        <w:tc>
          <w:tcPr>
            <w:tcW w:type="dxa" w:w="1337"/>
          </w:tcPr>
          <w:p>
            <w:pPr>
              <w:spacing w:after="0"/>
            </w:pPr>
            <w:r/>
            <w:r>
              <w:rPr>
                <w:sz w:val="17"/>
              </w:rPr>
              <w:t>280.0</w:t>
            </w:r>
          </w:p>
        </w:tc>
      </w:tr>
      <w:tr>
        <w:tc>
          <w:tcPr>
            <w:tcW w:type="dxa" w:w="1337"/>
            <w:shd w:val="clear" w:color="auto" w:fill="EDF1F5"/>
          </w:tcPr>
          <w:p>
            <w:pPr>
              <w:spacing w:after="0"/>
            </w:pPr>
            <w:r/>
            <w:r>
              <w:rPr>
                <w:sz w:val="17"/>
              </w:rPr>
              <w:t>Google (TPU)</w:t>
            </w:r>
          </w:p>
        </w:tc>
        <w:tc>
          <w:tcPr>
            <w:tcW w:type="dxa" w:w="1337"/>
            <w:shd w:val="clear" w:color="auto" w:fill="EDF1F5"/>
          </w:tcPr>
          <w:p>
            <w:pPr>
              <w:spacing w:after="0"/>
            </w:pPr>
            <w:r/>
            <w:r>
              <w:rPr>
                <w:sz w:val="17"/>
              </w:rPr>
              <w:t>Hardware</w:t>
            </w:r>
          </w:p>
        </w:tc>
        <w:tc>
          <w:tcPr>
            <w:tcW w:type="dxa" w:w="1337"/>
            <w:shd w:val="clear" w:color="auto" w:fill="EDF1F5"/>
          </w:tcPr>
          <w:p>
            <w:pPr>
              <w:spacing w:after="0"/>
            </w:pPr>
            <w:r/>
            <w:r>
              <w:rPr>
                <w:sz w:val="17"/>
              </w:rPr>
              <w:t>200.0</w:t>
            </w:r>
          </w:p>
        </w:tc>
        <w:tc>
          <w:tcPr>
            <w:tcW w:type="dxa" w:w="1337"/>
            <w:shd w:val="clear" w:color="auto" w:fill="EDF1F5"/>
          </w:tcPr>
          <w:p>
            <w:pPr>
              <w:spacing w:after="0"/>
            </w:pPr>
            <w:r/>
            <w:r>
              <w:rPr>
                <w:sz w:val="17"/>
              </w:rPr>
              <w:t>66.7</w:t>
            </w:r>
          </w:p>
        </w:tc>
        <w:tc>
          <w:tcPr>
            <w:tcW w:type="dxa" w:w="1337"/>
            <w:shd w:val="clear" w:color="auto" w:fill="EDF1F5"/>
          </w:tcPr>
          <w:p>
            <w:pPr>
              <w:spacing w:after="0"/>
            </w:pPr>
            <w:r/>
            <w:r>
              <w:rPr>
                <w:sz w:val="17"/>
              </w:rPr>
              <w:t>20.0</w:t>
            </w:r>
          </w:p>
        </w:tc>
        <w:tc>
          <w:tcPr>
            <w:tcW w:type="dxa" w:w="1337"/>
            <w:shd w:val="clear" w:color="auto" w:fill="EDF1F5"/>
          </w:tcPr>
          <w:p>
            <w:pPr>
              <w:spacing w:after="0"/>
            </w:pPr>
            <w:r/>
            <w:r>
              <w:rPr>
                <w:sz w:val="17"/>
              </w:rPr>
              <w:t>High</w:t>
            </w:r>
          </w:p>
        </w:tc>
        <w:tc>
          <w:tcPr>
            <w:tcW w:type="dxa" w:w="1337"/>
            <w:shd w:val="clear" w:color="auto" w:fill="EDF1F5"/>
          </w:tcPr>
          <w:p>
            <w:pPr>
              <w:spacing w:after="0"/>
            </w:pPr>
            <w:r/>
            <w:r>
              <w:rPr>
                <w:sz w:val="17"/>
              </w:rPr>
              <w:t>160.0</w:t>
            </w:r>
          </w:p>
        </w:tc>
      </w:tr>
    </w:tbl>
    <w:p>
      <w:pPr>
        <w:spacing w:after="80"/>
      </w:pPr>
      <w:r>
        <w:rPr>
          <w:sz w:val="4"/>
        </w:rPr>
      </w:r>
    </w:p>
    <w:p>
      <w:pPr>
        <w:spacing w:after="120"/>
      </w:pPr>
      <w:r>
        <w:rPr>
          <w:b w:val="0"/>
          <w:i/>
          <w:color w:val="606060"/>
          <w:sz w:val="18"/>
        </w:rPr>
        <w:t>Full company-level file: enhanced_valuation_metrics.csv (23 companies, summing to $23,111B). The balance to the archetype total is the judgment-valued long tail carried in the category rows, not in any filed company.</w:t>
      </w:r>
    </w:p>
    <w:p>
      <w:pPr>
        <w:keepNext/>
        <w:spacing w:before="200" w:after="40"/>
      </w:pPr>
      <w:r>
        <w:rPr>
          <w:b/>
          <w:color w:val="184A71"/>
          <w:sz w:val="21"/>
        </w:rPr>
        <w:t>Analytical insights — valuation and circular-risk adjustment</w:t>
      </w:r>
    </w:p>
    <w:p>
      <w:pPr>
        <w:spacing w:before="40" w:after="140"/>
        <w:ind w:left="173"/>
        <w:shd w:val="clear" w:color="auto" w:fill="EAF1F8"/>
        <w:pBdr>
          <w:left w:val="single" w:sz="18" w:space="4" w:color="1F4E79"/>
        </w:pBdr>
      </w:pPr>
      <w:r>
        <w:rPr>
          <w:b/>
          <w:color w:val="184A71"/>
          <w:sz w:val="20"/>
        </w:rPr>
        <w:t xml:space="preserve">Valuations are not yet circularity-adjusted.  </w:t>
      </w:r>
      <w:r>
        <w:rPr>
          <w:color w:val="1A2B3C"/>
          <w:sz w:val="20"/>
        </w:rPr>
        <w:t>Market values sum to $23,181B across the four archetypes, of which $1,188B (5.1%) is circular exposure — revenue that is effectively vendor-financed rather than end-customer demand. Standard DCF and multiples do not penalise future cash flows for interlocking dependency, so headline valuations overstate pure equity value; the circular-risk adjustments in this section restate them on a de-levered, stress-tested basis.</w:t>
      </w:r>
    </w:p>
    <w:tbl>
      <w:tblPr>
        <w:tblStyle w:val="TableGrid"/>
        <w:tblW w:type="auto" w:w="0"/>
        <w:tblLayout w:type="autofit"/>
        <w:tblLook w:firstColumn="1" w:firstRow="1" w:lastColumn="0" w:lastRow="0" w:noHBand="0" w:noVBand="1" w:val="04A0"/>
      </w:tblPr>
      <w:tblGrid>
        <w:gridCol w:w="4680"/>
        <w:gridCol w:w="4680"/>
      </w:tblGrid>
      <w:tr>
        <w:tc>
          <w:tcPr>
            <w:tcW w:type="dxa" w:w="1800"/>
            <w:shd w:val="clear" w:color="auto" w:fill="EDF1F5"/>
          </w:tcPr>
          <w:p>
            <w:r/>
            <w:r>
              <w:rPr>
                <w:b/>
                <w:color w:val="2C3E50"/>
                <w:sz w:val="20"/>
              </w:rPr>
              <w:t>Module</w:t>
            </w:r>
          </w:p>
        </w:tc>
        <w:tc>
          <w:tcPr>
            <w:tcW w:type="dxa" w:w="7560"/>
          </w:tcPr>
          <w:p>
            <w:r/>
            <w:r>
              <w:rPr>
                <w:sz w:val="20"/>
              </w:rPr>
              <w:t>EnhancedValuationAnalyzer, ValuationMetricsCalculator</w:t>
            </w:r>
          </w:p>
        </w:tc>
      </w:tr>
      <w:tr>
        <w:tc>
          <w:tcPr>
            <w:tcW w:type="dxa" w:w="1800"/>
            <w:shd w:val="clear" w:color="auto" w:fill="EDF1F5"/>
          </w:tcPr>
          <w:p>
            <w:r/>
            <w:r>
              <w:rPr>
                <w:b/>
                <w:color w:val="2C3E50"/>
                <w:sz w:val="20"/>
              </w:rPr>
              <w:t>Outputs</w:t>
            </w:r>
          </w:p>
        </w:tc>
        <w:tc>
          <w:tcPr>
            <w:tcW w:type="dxa" w:w="7560"/>
          </w:tcPr>
          <w:p>
            <w:r/>
            <w:r>
              <w:rPr>
                <w:sz w:val="20"/>
              </w:rPr>
              <w:t>enhanced_valuation_metrics.csv; valuation dashboard and table figures.</w:t>
            </w:r>
          </w:p>
        </w:tc>
      </w:tr>
      <w:tr>
        <w:tc>
          <w:tcPr>
            <w:tcW w:type="dxa" w:w="1800"/>
            <w:shd w:val="clear" w:color="auto" w:fill="EDF1F5"/>
          </w:tcPr>
          <w:p>
            <w:r/>
            <w:r>
              <w:rPr>
                <w:b/>
                <w:color w:val="2C3E50"/>
                <w:sz w:val="20"/>
              </w:rPr>
              <w:t>Inference</w:t>
            </w:r>
          </w:p>
        </w:tc>
        <w:tc>
          <w:tcPr>
            <w:tcW w:type="dxa" w:w="7560"/>
          </w:tcPr>
          <w:p>
            <w:r/>
            <w:r>
              <w:rPr>
                <w:sz w:val="20"/>
              </w:rPr>
              <w:t>23 companies screen 4 Positive / 2 Negative / 17 Neutral; NVIDIA 5,280B at 31.7x; loss-makers screen N/A rather than a fabricated multiple.</w:t>
            </w:r>
          </w:p>
        </w:tc>
      </w:tr>
      <w:tr>
        <w:tc>
          <w:tcPr>
            <w:tcW w:type="dxa" w:w="1800"/>
            <w:shd w:val="clear" w:color="auto" w:fill="EDF1F5"/>
          </w:tcPr>
          <w:p>
            <w:r/>
            <w:r>
              <w:rPr>
                <w:b/>
                <w:color w:val="2C3E50"/>
                <w:sz w:val="20"/>
              </w:rPr>
              <w:t>Implication</w:t>
            </w:r>
          </w:p>
        </w:tc>
        <w:tc>
          <w:tcPr>
            <w:tcW w:type="dxa" w:w="7560"/>
          </w:tcPr>
          <w:p>
            <w:r/>
            <w:r>
              <w:rPr>
                <w:sz w:val="20"/>
              </w:rPr>
              <w:t>Multiples discipline the story: infrastructure cash flows justify large caps while private-round pricing (Anthropic, Databricks, xAI) flags where repricing risk lives.</w:t>
            </w:r>
          </w:p>
        </w:tc>
      </w:tr>
    </w:tbl>
    <w:p>
      <w:pPr>
        <w:spacing w:after="80"/>
      </w:pPr>
    </w:p>
    <w:p>
      <w:pPr>
        <w:keepNext/>
        <w:spacing w:before="160"/>
        <w:jc w:val="center"/>
      </w:pPr>
      <w:r>
        <w:drawing>
          <wp:inline xmlns:a="http://schemas.openxmlformats.org/drawingml/2006/main" xmlns:pic="http://schemas.openxmlformats.org/drawingml/2006/picture">
            <wp:extent cx="5760720" cy="3097987"/>
            <wp:docPr id="22" name="Picture 22" descr="Figure 17: Company Valuation Dashboard (schematic)"/>
            <wp:cNvGraphicFramePr>
              <a:graphicFrameLocks noChangeAspect="1"/>
            </wp:cNvGraphicFramePr>
            <a:graphic>
              <a:graphicData uri="http://schemas.openxmlformats.org/drawingml/2006/picture">
                <pic:pic>
                  <pic:nvPicPr>
                    <pic:cNvPr id="0" name="figure_17.jpg"/>
                    <pic:cNvPicPr/>
                  </pic:nvPicPr>
                  <pic:blipFill>
                    <a:blip r:embed="rId32"/>
                    <a:stretch>
                      <a:fillRect/>
                    </a:stretch>
                  </pic:blipFill>
                  <pic:spPr>
                    <a:xfrm>
                      <a:off x="0" y="0"/>
                      <a:ext cx="5760720" cy="3097987"/>
                    </a:xfrm>
                    <a:prstGeom prst="rect"/>
                  </pic:spPr>
                </pic:pic>
              </a:graphicData>
            </a:graphic>
          </wp:inline>
        </w:drawing>
      </w:r>
    </w:p>
    <w:p>
      <w:pPr>
        <w:spacing w:after="200"/>
        <w:jc w:val="center"/>
      </w:pPr>
      <w:r>
        <w:rPr>
          <w:i/>
          <w:color w:val="404040"/>
          <w:sz w:val="18"/>
        </w:rPr>
        <w:t>Figure 17: Company Valuation Dashboard (schematic)</w:t>
      </w:r>
    </w:p>
    <w:p>
      <w:pPr>
        <w:keepNext/>
        <w:spacing w:before="160"/>
        <w:jc w:val="center"/>
      </w:pPr>
      <w:r>
        <w:drawing>
          <wp:inline xmlns:a="http://schemas.openxmlformats.org/drawingml/2006/main" xmlns:pic="http://schemas.openxmlformats.org/drawingml/2006/picture">
            <wp:extent cx="5303520" cy="3721303"/>
            <wp:docPr id="23" name="Picture 23" descr="Figure 18: Company Valuation Metrics Table (schematic)"/>
            <wp:cNvGraphicFramePr>
              <a:graphicFrameLocks noChangeAspect="1"/>
            </wp:cNvGraphicFramePr>
            <a:graphic>
              <a:graphicData uri="http://schemas.openxmlformats.org/drawingml/2006/picture">
                <pic:pic>
                  <pic:nvPicPr>
                    <pic:cNvPr id="0" name="figure_18.jpg"/>
                    <pic:cNvPicPr/>
                  </pic:nvPicPr>
                  <pic:blipFill>
                    <a:blip r:embed="rId33"/>
                    <a:stretch>
                      <a:fillRect/>
                    </a:stretch>
                  </pic:blipFill>
                  <pic:spPr>
                    <a:xfrm>
                      <a:off x="0" y="0"/>
                      <a:ext cx="5303520" cy="3721303"/>
                    </a:xfrm>
                    <a:prstGeom prst="rect"/>
                  </pic:spPr>
                </pic:pic>
              </a:graphicData>
            </a:graphic>
          </wp:inline>
        </w:drawing>
      </w:r>
    </w:p>
    <w:p>
      <w:pPr>
        <w:spacing w:after="200"/>
        <w:jc w:val="center"/>
      </w:pPr>
      <w:r>
        <w:rPr>
          <w:i/>
          <w:color w:val="404040"/>
          <w:sz w:val="18"/>
        </w:rPr>
        <w:t>Figure 18: Company Valuation Metrics Table (schematic)</w:t>
      </w:r>
    </w:p>
    <w:p>
      <w:r>
        <w:br w:type="page"/>
      </w:r>
    </w:p>
    <w:p>
      <w:pPr>
        <w:pStyle w:val="Heading1"/>
      </w:pPr>
      <w:r>
        <w:t>9.  Conclusion</w:t>
      </w:r>
    </w:p>
    <w:p>
      <w:pPr>
        <w:pStyle w:val="Heading2"/>
      </w:pPr>
      <w:r>
        <w:t>9.1  What the analysis establishes</w:t>
      </w:r>
    </w:p>
    <w:p>
      <w:pPr>
        <w:pStyle w:val="ListBullet"/>
        <w:spacing w:after="40"/>
      </w:pPr>
      <w:r>
        <w:rPr>
          <w:sz w:val="21"/>
        </w:rPr>
        <w:t>The AI ecosystem is a concentrated oligopoly (HHI 3,851; CR4 100.0%) whose infrastructure layer plays a mutual-defection game: the Hardware–Cloud Providers Nash equilibrium (Open Access / Proprietary Stack) destroys $58.6B relative to the joint-surplus maximum (a Kaldor–Hicks benchmark).</w:t>
      </w:r>
    </w:p>
    <w:p>
      <w:pPr>
        <w:pStyle w:val="ListBullet"/>
        <w:spacing w:after="40"/>
      </w:pPr>
      <w:r>
        <w:rPr>
          <w:sz w:val="21"/>
        </w:rPr>
        <w:t>In aggregate the system attains 71.3% of its $1,451.3B potential, leaving $416.8B of deadweight loss dominated by switching costs. Coordination failures total $867.8B gross across games (shared players counted repeatedly, hence above the top-down total) — an equilibrium outcome recoverable in principle, priced by the cooperative surplus at $310B.</w:t>
      </w:r>
    </w:p>
    <w:p>
      <w:pPr>
        <w:pStyle w:val="ListBullet"/>
        <w:spacing w:after="40"/>
      </w:pPr>
      <w:r>
        <w:rPr>
          <w:sz w:val="21"/>
        </w:rPr>
        <w:t>The costed remedy is Combined Intervention (net benefit $214.2B). Circularity tempers the optimism: a bubble score of 0.632 means part of the measured market is self-referential demand that cooperation alone cannot make real.</w:t>
      </w:r>
    </w:p>
    <w:p>
      <w:pPr>
        <w:pStyle w:val="ListBullet"/>
        <w:spacing w:after="40"/>
      </w:pPr>
      <w:r>
        <w:rPr>
          <w:sz w:val="21"/>
        </w:rPr>
        <w:t>These magnitudes are orders-of-magnitude robust (equilibrium stability 65%, DWL elasticity 1.41): the location of the failure (the infrastructure bottleneck) is stable even where the dollar point-estimates carry wide uncertainty.</w:t>
      </w:r>
    </w:p>
    <w:p>
      <w:pPr>
        <w:pStyle w:val="Heading2"/>
      </w:pPr>
      <w:r>
        <w:t>9.2  Limitations</w:t>
      </w:r>
    </w:p>
    <w:p>
      <w:pPr>
        <w:pStyle w:val="ListBullet"/>
        <w:spacing w:after="40"/>
      </w:pPr>
      <w:r>
        <w:rPr>
          <w:sz w:val="21"/>
        </w:rPr>
        <w:t>Four archetypes aggregate away intra-category concentration (notably among hyperscalers and GPU suppliers), so the HHI understates firm-level market power; firm-level games would sharpen but also complicate the diagnosis.</w:t>
      </w:r>
    </w:p>
    <w:p>
      <w:pPr>
        <w:pStyle w:val="ListBullet"/>
        <w:spacing w:after="40"/>
      </w:pPr>
      <w:r>
        <w:rPr>
          <w:sz w:val="21"/>
        </w:rPr>
        <w:t>The core model is one-shot bilateral 2×2 games. Repeated interaction, reputation, and endogenous investment (fabs, interconnect, model R&amp;D) are outside the frame, so the analysis cannot speak to dynamic deterrence or the timing of defection.</w:t>
      </w:r>
    </w:p>
    <w:p>
      <w:pPr>
        <w:pStyle w:val="ListBullet"/>
        <w:spacing w:after="40"/>
      </w:pPr>
      <w:r>
        <w:rPr>
          <w:sz w:val="21"/>
        </w:rPr>
        <w:t>The top-down DWL assumption carries leverage (elasticity 1.41): the dollar totals should be read as magnitudes with uncertainty bands, not decimals — only the ranking of games, sources, and policies is asserted firmly.</w:t>
      </w:r>
    </w:p>
    <w:p>
      <w:pPr>
        <w:pStyle w:val="ListBullet"/>
        <w:spacing w:after="40"/>
      </w:pPr>
      <w:r>
        <w:rPr>
          <w:sz w:val="21"/>
        </w:rPr>
        <w:t>Embedded data are vintage Q2/Q3 2026 and static; Monte-Carlo stability and figures are run_pipeline artifacts reused from disk rather than recomputed here, so this report inherits the provenance of the latest ai_ecosystem_model.py run.</w:t>
      </w:r>
    </w:p>
    <w:p>
      <w:pPr>
        <w:pStyle w:val="ListBullet"/>
        <w:spacing w:after="40"/>
      </w:pPr>
      <w:r>
        <w:rPr>
          <w:sz w:val="21"/>
        </w:rPr>
        <w:t>Per-game Nash–joint-surplus gaps sum to a gross $867.77B across the six games — shared players are counted repeatedly — against the $416.8B top-down aggregate the policy and welfare conclusions rest on. The two are different accountings, not rival estimates; the top-down figure is defended by the R2–R4 battery, but a reader demanding a reconciled bottom-up aggregate will not find it here.</w:t>
      </w:r>
    </w:p>
    <w:p>
      <w:pPr>
        <w:pStyle w:val="ListBullet"/>
        <w:spacing w:after="40"/>
      </w:pPr>
      <w:r>
        <w:rPr>
          <w:sz w:val="21"/>
        </w:rPr>
        <w:t>Temptation and sucker adjustments are pair-level absolutes rather than share-scaled, which amplifies relative swings for small players, and the Saltelli decomposition shows DWL variance dominated by equilibrium-regime interactions rather than any single input. Both points argue for reading dollar levels as magnitudes and rankings as the firm claims.</w:t>
      </w:r>
    </w:p>
    <w:p>
      <w:pPr>
        <w:pStyle w:val="Heading2"/>
      </w:pPr>
      <w:r>
        <w:t>9.3  Future work</w:t>
      </w:r>
    </w:p>
    <w:p>
      <w:pPr>
        <w:pStyle w:val="ListBullet"/>
        <w:spacing w:after="40"/>
      </w:pPr>
      <w:r>
        <w:rPr>
          <w:sz w:val="21"/>
        </w:rPr>
        <w:t>Repeated-game extensions with calibrated discount factors to test whether the Walled-Garden lock-in survives punishment strategies or unravels into openness.</w:t>
      </w:r>
    </w:p>
    <w:p>
      <w:pPr>
        <w:pStyle w:val="ListBullet"/>
        <w:spacing w:after="40"/>
      </w:pPr>
      <w:r>
        <w:rPr>
          <w:sz w:val="21"/>
        </w:rPr>
        <w:t>Firm-level bilateral games (e.g., NVIDIA–Microsoft, OpenAI–AWS) to locate the bottleneck precisely and price remedies per relationship rather than per archetype.</w:t>
      </w:r>
    </w:p>
    <w:p>
      <w:pPr>
        <w:pStyle w:val="ListBullet"/>
        <w:spacing w:after="40"/>
      </w:pPr>
      <w:r>
        <w:rPr>
          <w:sz w:val="21"/>
        </w:rPr>
        <w:t>Endogenous policy response: modelling how the ranked interventions change payoffs and re-solve the games, instead of scoring them against fixed welfare.</w:t>
      </w:r>
    </w:p>
    <w:p>
      <w:pPr>
        <w:pStyle w:val="ListBullet"/>
        <w:spacing w:after="40"/>
      </w:pPr>
      <w:r>
        <w:rPr>
          <w:sz w:val="21"/>
        </w:rPr>
        <w:t>Live data feeds replacing the embedded vintage, with the integrity-audit battery in Section 10 as the regression gate for each refresh.</w:t>
      </w:r>
    </w:p>
    <w:p>
      <w:r>
        <w:br w:type="page"/>
      </w:r>
    </w:p>
    <w:p>
      <w:pPr>
        <w:pStyle w:val="Heading1"/>
      </w:pPr>
      <w:r>
        <w:t>10.  Source &amp; Output Integrity Audit</w:t>
      </w:r>
    </w:p>
    <w:p>
      <w:pPr>
        <w:spacing w:after="120"/>
      </w:pPr>
      <w:r>
        <w:rPr>
          <w:b w:val="0"/>
          <w:i w:val="0"/>
          <w:sz w:val="22"/>
        </w:rPr>
        <w:t>Automated checks run by this report generator against ai_ecosystem_model.py, its embedded data, and the latest on-disk artifacts.</w:t>
      </w:r>
    </w:p>
    <w:p>
      <w:pPr>
        <w:keepNext/>
        <w:spacing w:before="200" w:after="40"/>
      </w:pPr>
      <w:r>
        <w:rPr>
          <w:b/>
          <w:color w:val="2C3E50"/>
          <w:sz w:val="20"/>
        </w:rPr>
        <w:t>Exhibit 10.1  Automated integrity checks (computed by build_technical_report.py)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ID</w:t>
            </w:r>
          </w:p>
        </w:tc>
        <w:tc>
          <w:tcPr>
            <w:tcW w:type="dxa" w:w="2340"/>
            <w:tblHeader w:val="true"/>
            <w:shd w:val="clear" w:color="auto" w:fill="2C3E50"/>
          </w:tcPr>
          <w:p>
            <w:pPr>
              <w:jc w:val="center"/>
            </w:pPr>
            <w:r/>
            <w:r>
              <w:rPr>
                <w:b/>
                <w:color w:val="FFFFFF"/>
                <w:sz w:val="20"/>
              </w:rPr>
              <w:t>Check</w:t>
            </w:r>
          </w:p>
        </w:tc>
        <w:tc>
          <w:tcPr>
            <w:tcW w:type="dxa" w:w="2340"/>
            <w:tblHeader w:val="true"/>
            <w:shd w:val="clear" w:color="auto" w:fill="2C3E50"/>
          </w:tcPr>
          <w:p>
            <w:pPr>
              <w:jc w:val="center"/>
            </w:pPr>
            <w:r/>
            <w:r>
              <w:rPr>
                <w:b/>
                <w:color w:val="FFFFFF"/>
                <w:sz w:val="20"/>
              </w:rPr>
              <w:t>Status</w:t>
            </w:r>
          </w:p>
        </w:tc>
        <w:tc>
          <w:tcPr>
            <w:tcW w:type="dxa" w:w="2340"/>
            <w:tblHeader w:val="true"/>
            <w:shd w:val="clear" w:color="auto" w:fill="2C3E50"/>
          </w:tcPr>
          <w:p>
            <w:pPr>
              <w:jc w:val="center"/>
            </w:pPr>
            <w:r/>
            <w:r>
              <w:rPr>
                <w:b/>
                <w:color w:val="FFFFFF"/>
                <w:sz w:val="20"/>
              </w:rPr>
              <w:t>Detail</w:t>
            </w:r>
          </w:p>
        </w:tc>
      </w:tr>
      <w:tr>
        <w:tc>
          <w:tcPr>
            <w:tcW w:type="dxa" w:w="2340"/>
          </w:tcPr>
          <w:p>
            <w:pPr>
              <w:spacing w:after="0"/>
            </w:pPr>
            <w:r/>
            <w:r>
              <w:rPr>
                <w:sz w:val="19"/>
              </w:rPr>
              <w:t>D1</w:t>
            </w:r>
          </w:p>
        </w:tc>
        <w:tc>
          <w:tcPr>
            <w:tcW w:type="dxa" w:w="2340"/>
          </w:tcPr>
          <w:p>
            <w:pPr>
              <w:spacing w:after="0"/>
            </w:pPr>
            <w:r/>
            <w:r>
              <w:rPr>
                <w:sz w:val="19"/>
              </w:rPr>
              <w:t>Players revenue total is positive and plausible (&lt; $5T)</w:t>
            </w:r>
          </w:p>
        </w:tc>
        <w:tc>
          <w:tcPr>
            <w:tcW w:type="dxa" w:w="2340"/>
          </w:tcPr>
          <w:p>
            <w:pPr>
              <w:spacing w:after="0"/>
            </w:pPr>
            <w:r>
              <w:rPr>
                <w:b/>
                <w:color w:val="1E7B34"/>
              </w:rPr>
            </w:r>
            <w:r>
              <w:rPr>
                <w:b/>
                <w:color w:val="1E7B34"/>
                <w:sz w:val="19"/>
              </w:rPr>
              <w:t>PASS</w:t>
            </w:r>
          </w:p>
        </w:tc>
        <w:tc>
          <w:tcPr>
            <w:tcW w:type="dxa" w:w="2340"/>
          </w:tcPr>
          <w:p>
            <w:pPr>
              <w:spacing w:after="0"/>
            </w:pPr>
            <w:r/>
            <w:r>
              <w:rPr>
                <w:sz w:val="19"/>
              </w:rPr>
              <w:t>$1,034.50B across 4 categories</w:t>
            </w:r>
          </w:p>
        </w:tc>
      </w:tr>
      <w:tr>
        <w:tc>
          <w:tcPr>
            <w:tcW w:type="dxa" w:w="2340"/>
            <w:shd w:val="clear" w:color="auto" w:fill="EDF1F5"/>
          </w:tcPr>
          <w:p>
            <w:pPr>
              <w:spacing w:after="0"/>
            </w:pPr>
            <w:r/>
            <w:r>
              <w:rPr>
                <w:sz w:val="19"/>
              </w:rPr>
              <w:t>D2</w:t>
            </w:r>
          </w:p>
        </w:tc>
        <w:tc>
          <w:tcPr>
            <w:tcW w:type="dxa" w:w="2340"/>
            <w:shd w:val="clear" w:color="auto" w:fill="EDF1F5"/>
          </w:tcPr>
          <w:p>
            <w:pPr>
              <w:spacing w:after="0"/>
            </w:pPr>
            <w:r/>
            <w:r>
              <w:rPr>
                <w:sz w:val="19"/>
              </w:rPr>
              <w:t>Sum of committed dependency deals matches metadata circular exposure</w:t>
            </w:r>
          </w:p>
        </w:tc>
        <w:tc>
          <w:tcPr>
            <w:tcW w:type="dxa" w:w="2340"/>
            <w:shd w:val="clear" w:color="auto" w:fill="EDF1F5"/>
          </w:tcPr>
          <w:p>
            <w:pPr>
              <w:spacing w:after="0"/>
            </w:pPr>
            <w:r>
              <w:rPr>
                <w:b/>
                <w:color w:val="1E7B34"/>
              </w:rPr>
            </w:r>
            <w:r>
              <w:rPr>
                <w:b/>
                <w:color w:val="1E7B34"/>
                <w:sz w:val="19"/>
              </w:rPr>
              <w:t>PASS</w:t>
            </w:r>
          </w:p>
        </w:tc>
        <w:tc>
          <w:tcPr>
            <w:tcW w:type="dxa" w:w="2340"/>
            <w:shd w:val="clear" w:color="auto" w:fill="EDF1F5"/>
          </w:tcPr>
          <w:p>
            <w:pPr>
              <w:spacing w:after="0"/>
            </w:pPr>
            <w:r/>
            <w:r>
              <w:rPr>
                <w:sz w:val="19"/>
              </w:rPr>
              <w:t>committed deals $675.40B vs metadata $675.40B</w:t>
            </w:r>
          </w:p>
        </w:tc>
      </w:tr>
      <w:tr>
        <w:tc>
          <w:tcPr>
            <w:tcW w:type="dxa" w:w="2340"/>
          </w:tcPr>
          <w:p>
            <w:pPr>
              <w:spacing w:after="0"/>
            </w:pPr>
            <w:r/>
            <w:r>
              <w:rPr>
                <w:sz w:val="19"/>
              </w:rPr>
              <w:t>D3</w:t>
            </w:r>
          </w:p>
        </w:tc>
        <w:tc>
          <w:tcPr>
            <w:tcW w:type="dxa" w:w="2340"/>
          </w:tcPr>
          <w:p>
            <w:pPr>
              <w:spacing w:after="0"/>
            </w:pPr>
            <w:r/>
            <w:r>
              <w:rPr>
                <w:sz w:val="19"/>
              </w:rPr>
              <w:t>Sum of category valuations matches metadata total market cap</w:t>
            </w:r>
          </w:p>
        </w:tc>
        <w:tc>
          <w:tcPr>
            <w:tcW w:type="dxa" w:w="2340"/>
          </w:tcPr>
          <w:p>
            <w:pPr>
              <w:spacing w:after="0"/>
            </w:pPr>
            <w:r>
              <w:rPr>
                <w:b/>
                <w:color w:val="1E7B34"/>
              </w:rPr>
            </w:r>
            <w:r>
              <w:rPr>
                <w:b/>
                <w:color w:val="1E7B34"/>
                <w:sz w:val="19"/>
              </w:rPr>
              <w:t>PASS</w:t>
            </w:r>
          </w:p>
        </w:tc>
        <w:tc>
          <w:tcPr>
            <w:tcW w:type="dxa" w:w="2340"/>
          </w:tcPr>
          <w:p>
            <w:pPr>
              <w:spacing w:after="0"/>
            </w:pPr>
            <w:r/>
            <w:r>
              <w:rPr>
                <w:sz w:val="19"/>
              </w:rPr>
              <w:t>valuations $23,181.00B vs metadata $23,181.00B</w:t>
            </w:r>
          </w:p>
        </w:tc>
      </w:tr>
      <w:tr>
        <w:tc>
          <w:tcPr>
            <w:tcW w:type="dxa" w:w="2340"/>
            <w:shd w:val="clear" w:color="auto" w:fill="EDF1F5"/>
          </w:tcPr>
          <w:p>
            <w:pPr>
              <w:spacing w:after="0"/>
            </w:pPr>
            <w:r/>
            <w:r>
              <w:rPr>
                <w:sz w:val="19"/>
              </w:rPr>
              <w:t>D4</w:t>
            </w:r>
          </w:p>
        </w:tc>
        <w:tc>
          <w:tcPr>
            <w:tcW w:type="dxa" w:w="2340"/>
            <w:shd w:val="clear" w:color="auto" w:fill="EDF1F5"/>
          </w:tcPr>
          <w:p>
            <w:pPr>
              <w:spacing w:after="0"/>
            </w:pPr>
            <w:r/>
            <w:r>
              <w:rPr>
                <w:sz w:val="19"/>
              </w:rPr>
              <w:t>Payoff-matrix players match player categories (naming invariant)</w:t>
            </w:r>
          </w:p>
        </w:tc>
        <w:tc>
          <w:tcPr>
            <w:tcW w:type="dxa" w:w="2340"/>
            <w:shd w:val="clear" w:color="auto" w:fill="EDF1F5"/>
          </w:tcPr>
          <w:p>
            <w:pPr>
              <w:spacing w:after="0"/>
            </w:pPr>
            <w:r>
              <w:rPr>
                <w:b/>
                <w:color w:val="1E7B34"/>
              </w:rPr>
            </w:r>
            <w:r>
              <w:rPr>
                <w:b/>
                <w:color w:val="1E7B34"/>
                <w:sz w:val="19"/>
              </w:rPr>
              <w:t>PASS</w:t>
            </w:r>
          </w:p>
        </w:tc>
        <w:tc>
          <w:tcPr>
            <w:tcW w:type="dxa" w:w="2340"/>
            <w:shd w:val="clear" w:color="auto" w:fill="EDF1F5"/>
          </w:tcPr>
          <w:p>
            <w:pPr>
              <w:spacing w:after="0"/>
            </w:pPr>
            <w:r/>
            <w:r>
              <w:rPr>
                <w:sz w:val="19"/>
              </w:rPr>
              <w:t>payoffs ['Cloud Providers', 'Foundation Models', 'Hardware', 'LLM Wrappers'] vs categories ['Cloud Providers', 'Foundation Models', 'Hardware', 'LLM Wrappers']</w:t>
            </w:r>
          </w:p>
        </w:tc>
      </w:tr>
      <w:tr>
        <w:tc>
          <w:tcPr>
            <w:tcW w:type="dxa" w:w="2340"/>
          </w:tcPr>
          <w:p>
            <w:pPr>
              <w:spacing w:after="0"/>
            </w:pPr>
            <w:r/>
            <w:r>
              <w:rPr>
                <w:sz w:val="19"/>
              </w:rPr>
              <w:t>D5</w:t>
            </w:r>
          </w:p>
        </w:tc>
        <w:tc>
          <w:tcPr>
            <w:tcW w:type="dxa" w:w="2340"/>
          </w:tcPr>
          <w:p>
            <w:pPr>
              <w:spacing w:after="0"/>
            </w:pPr>
            <w:r/>
            <w:r>
              <w:rPr>
                <w:sz w:val="19"/>
              </w:rPr>
              <w:t>Players DataFrame has all required analysis columns</w:t>
            </w:r>
          </w:p>
        </w:tc>
        <w:tc>
          <w:tcPr>
            <w:tcW w:type="dxa" w:w="2340"/>
          </w:tcPr>
          <w:p>
            <w:pPr>
              <w:spacing w:after="0"/>
            </w:pPr>
            <w:r>
              <w:rPr>
                <w:b/>
                <w:color w:val="1E7B34"/>
              </w:rPr>
            </w:r>
            <w:r>
              <w:rPr>
                <w:b/>
                <w:color w:val="1E7B34"/>
                <w:sz w:val="19"/>
              </w:rPr>
              <w:t>PASS</w:t>
            </w:r>
          </w:p>
        </w:tc>
        <w:tc>
          <w:tcPr>
            <w:tcW w:type="dxa" w:w="2340"/>
          </w:tcPr>
          <w:p>
            <w:pPr>
              <w:spacing w:after="0"/>
            </w:pPr>
            <w:r/>
            <w:r>
              <w:rPr>
                <w:sz w:val="19"/>
              </w:rPr>
              <w:t>missing: none</w:t>
            </w:r>
          </w:p>
        </w:tc>
      </w:tr>
      <w:tr>
        <w:tc>
          <w:tcPr>
            <w:tcW w:type="dxa" w:w="2340"/>
            <w:shd w:val="clear" w:color="auto" w:fill="EDF1F5"/>
          </w:tcPr>
          <w:p>
            <w:pPr>
              <w:spacing w:after="0"/>
            </w:pPr>
            <w:r/>
            <w:r>
              <w:rPr>
                <w:sz w:val="19"/>
              </w:rPr>
              <w:t>D6</w:t>
            </w:r>
          </w:p>
        </w:tc>
        <w:tc>
          <w:tcPr>
            <w:tcW w:type="dxa" w:w="2340"/>
            <w:shd w:val="clear" w:color="auto" w:fill="EDF1F5"/>
          </w:tcPr>
          <w:p>
            <w:pPr>
              <w:spacing w:after="0"/>
            </w:pPr>
            <w:r/>
            <w:r>
              <w:rPr>
                <w:sz w:val="19"/>
              </w:rPr>
              <w:t>Current_Profitability values are within the defined taxonomy</w:t>
            </w:r>
          </w:p>
        </w:tc>
        <w:tc>
          <w:tcPr>
            <w:tcW w:type="dxa" w:w="2340"/>
            <w:shd w:val="clear" w:color="auto" w:fill="EDF1F5"/>
          </w:tcPr>
          <w:p>
            <w:pPr>
              <w:spacing w:after="0"/>
            </w:pPr>
            <w:r>
              <w:rPr>
                <w:b/>
                <w:color w:val="1E7B34"/>
              </w:rPr>
            </w:r>
            <w:r>
              <w:rPr>
                <w:b/>
                <w:color w:val="1E7B34"/>
                <w:sz w:val="19"/>
              </w:rPr>
              <w:t>PASS</w:t>
            </w:r>
          </w:p>
        </w:tc>
        <w:tc>
          <w:tcPr>
            <w:tcW w:type="dxa" w:w="2340"/>
            <w:shd w:val="clear" w:color="auto" w:fill="EDF1F5"/>
          </w:tcPr>
          <w:p>
            <w:pPr>
              <w:spacing w:after="0"/>
            </w:pPr>
            <w:r/>
            <w:r>
              <w:rPr>
                <w:sz w:val="19"/>
              </w:rPr>
              <w:t>unexpected values: none</w:t>
            </w:r>
          </w:p>
        </w:tc>
      </w:tr>
      <w:tr>
        <w:tc>
          <w:tcPr>
            <w:tcW w:type="dxa" w:w="2340"/>
          </w:tcPr>
          <w:p>
            <w:pPr>
              <w:spacing w:after="0"/>
            </w:pPr>
            <w:r/>
            <w:r>
              <w:rPr>
                <w:sz w:val="19"/>
              </w:rPr>
              <w:t>G1</w:t>
            </w:r>
          </w:p>
        </w:tc>
        <w:tc>
          <w:tcPr>
            <w:tcW w:type="dxa" w:w="2340"/>
          </w:tcPr>
          <w:p>
            <w:pPr>
              <w:spacing w:after="0"/>
            </w:pPr>
            <w:r/>
            <w:r>
              <w:rPr>
                <w:sz w:val="19"/>
              </w:rPr>
              <w:t>Payoff invariant: Defect-Defect cell equals observed revenue for all games</w:t>
            </w:r>
          </w:p>
        </w:tc>
        <w:tc>
          <w:tcPr>
            <w:tcW w:type="dxa" w:w="2340"/>
          </w:tcPr>
          <w:p>
            <w:pPr>
              <w:spacing w:after="0"/>
            </w:pPr>
            <w:r>
              <w:rPr>
                <w:b/>
                <w:color w:val="1E7B34"/>
              </w:rPr>
            </w:r>
            <w:r>
              <w:rPr>
                <w:b/>
                <w:color w:val="1E7B34"/>
                <w:sz w:val="19"/>
              </w:rPr>
              <w:t>PASS</w:t>
            </w:r>
          </w:p>
        </w:tc>
        <w:tc>
          <w:tcPr>
            <w:tcW w:type="dxa" w:w="2340"/>
          </w:tcPr>
          <w:p>
            <w:pPr>
              <w:spacing w:after="0"/>
            </w:pPr>
            <w:r/>
            <w:r>
              <w:rPr>
                <w:sz w:val="19"/>
              </w:rPr>
              <w:t>6 matrices checked; no mismatch</w:t>
            </w:r>
          </w:p>
        </w:tc>
      </w:tr>
      <w:tr>
        <w:tc>
          <w:tcPr>
            <w:tcW w:type="dxa" w:w="2340"/>
            <w:shd w:val="clear" w:color="auto" w:fill="EDF1F5"/>
          </w:tcPr>
          <w:p>
            <w:pPr>
              <w:spacing w:after="0"/>
            </w:pPr>
            <w:r/>
            <w:r>
              <w:rPr>
                <w:sz w:val="19"/>
              </w:rPr>
              <w:t>D7</w:t>
            </w:r>
          </w:p>
        </w:tc>
        <w:tc>
          <w:tcPr>
            <w:tcW w:type="dxa" w:w="2340"/>
            <w:shd w:val="clear" w:color="auto" w:fill="EDF1F5"/>
          </w:tcPr>
          <w:p>
            <w:pPr>
              <w:spacing w:after="0"/>
            </w:pPr>
            <w:r/>
            <w:r>
              <w:rPr>
                <w:sz w:val="19"/>
              </w:rPr>
              <w:t>Dependency risk levels parse (Critical deals identified)</w:t>
            </w:r>
          </w:p>
        </w:tc>
        <w:tc>
          <w:tcPr>
            <w:tcW w:type="dxa" w:w="2340"/>
            <w:shd w:val="clear" w:color="auto" w:fill="EDF1F5"/>
          </w:tcPr>
          <w:p>
            <w:pPr>
              <w:spacing w:after="0"/>
            </w:pPr>
            <w:r>
              <w:rPr>
                <w:b/>
                <w:color w:val="1E7B34"/>
              </w:rPr>
            </w:r>
            <w:r>
              <w:rPr>
                <w:b/>
                <w:color w:val="1E7B34"/>
                <w:sz w:val="19"/>
              </w:rPr>
              <w:t>PASS</w:t>
            </w:r>
          </w:p>
        </w:tc>
        <w:tc>
          <w:tcPr>
            <w:tcW w:type="dxa" w:w="2340"/>
            <w:shd w:val="clear" w:color="auto" w:fill="EDF1F5"/>
          </w:tcPr>
          <w:p>
            <w:pPr>
              <w:spacing w:after="0"/>
            </w:pPr>
            <w:r/>
            <w:r>
              <w:rPr>
                <w:sz w:val="19"/>
              </w:rPr>
              <w:t>5 Critical deal(s) of 19 total</w:t>
            </w:r>
          </w:p>
        </w:tc>
      </w:tr>
      <w:tr>
        <w:tc>
          <w:tcPr>
            <w:tcW w:type="dxa" w:w="2340"/>
          </w:tcPr>
          <w:p>
            <w:pPr>
              <w:spacing w:after="0"/>
            </w:pPr>
            <w:r/>
            <w:r>
              <w:rPr>
                <w:sz w:val="19"/>
              </w:rPr>
              <w:t>A1</w:t>
            </w:r>
          </w:p>
        </w:tc>
        <w:tc>
          <w:tcPr>
            <w:tcW w:type="dxa" w:w="2340"/>
          </w:tcPr>
          <w:p>
            <w:pPr>
              <w:spacing w:after="0"/>
            </w:pPr>
            <w:r/>
            <w:r>
              <w:rPr>
                <w:sz w:val="19"/>
              </w:rPr>
              <w:t>Table artifacts present (CSV / Excel / LaTeX)</w:t>
            </w:r>
          </w:p>
        </w:tc>
        <w:tc>
          <w:tcPr>
            <w:tcW w:type="dxa" w:w="2340"/>
          </w:tcPr>
          <w:p>
            <w:pPr>
              <w:spacing w:after="0"/>
            </w:pPr>
            <w:r>
              <w:rPr>
                <w:b/>
                <w:color w:val="1E7B34"/>
              </w:rPr>
            </w:r>
            <w:r>
              <w:rPr>
                <w:b/>
                <w:color w:val="1E7B34"/>
                <w:sz w:val="19"/>
              </w:rPr>
              <w:t>PASS</w:t>
            </w:r>
          </w:p>
        </w:tc>
        <w:tc>
          <w:tcPr>
            <w:tcW w:type="dxa" w:w="2340"/>
          </w:tcPr>
          <w:p>
            <w:pPr>
              <w:spacing w:after="0"/>
            </w:pPr>
            <w:r/>
            <w:r>
              <w:rPr>
                <w:sz w:val="19"/>
              </w:rPr>
              <w:t>47 CSV, 47 XLSX, 47 TEX in tables/</w:t>
            </w:r>
          </w:p>
        </w:tc>
      </w:tr>
      <w:tr>
        <w:tc>
          <w:tcPr>
            <w:tcW w:type="dxa" w:w="2340"/>
            <w:shd w:val="clear" w:color="auto" w:fill="EDF1F5"/>
          </w:tcPr>
          <w:p>
            <w:pPr>
              <w:spacing w:after="0"/>
            </w:pPr>
            <w:r/>
            <w:r>
              <w:rPr>
                <w:sz w:val="19"/>
              </w:rPr>
              <w:t>A2</w:t>
            </w:r>
          </w:p>
        </w:tc>
        <w:tc>
          <w:tcPr>
            <w:tcW w:type="dxa" w:w="2340"/>
            <w:shd w:val="clear" w:color="auto" w:fill="EDF1F5"/>
          </w:tcPr>
          <w:p>
            <w:pPr>
              <w:spacing w:after="0"/>
            </w:pPr>
            <w:r/>
            <w:r>
              <w:rPr>
                <w:sz w:val="19"/>
              </w:rPr>
              <w:t>All report-placed figures exist on disk</w:t>
            </w:r>
          </w:p>
        </w:tc>
        <w:tc>
          <w:tcPr>
            <w:tcW w:type="dxa" w:w="2340"/>
            <w:shd w:val="clear" w:color="auto" w:fill="EDF1F5"/>
          </w:tcPr>
          <w:p>
            <w:pPr>
              <w:spacing w:after="0"/>
            </w:pPr>
            <w:r>
              <w:rPr>
                <w:b/>
                <w:color w:val="1E7B34"/>
              </w:rPr>
            </w:r>
            <w:r>
              <w:rPr>
                <w:b/>
                <w:color w:val="1E7B34"/>
                <w:sz w:val="19"/>
              </w:rPr>
              <w:t>PASS</w:t>
            </w:r>
          </w:p>
        </w:tc>
        <w:tc>
          <w:tcPr>
            <w:tcW w:type="dxa" w:w="2340"/>
            <w:shd w:val="clear" w:color="auto" w:fill="EDF1F5"/>
          </w:tcPr>
          <w:p>
            <w:pPr>
              <w:spacing w:after="0"/>
            </w:pPr>
            <w:r/>
            <w:r>
              <w:rPr>
                <w:sz w:val="19"/>
              </w:rPr>
              <w:t>61 PNG on disk; 18 placed, missing: none</w:t>
            </w:r>
          </w:p>
        </w:tc>
      </w:tr>
      <w:tr>
        <w:tc>
          <w:tcPr>
            <w:tcW w:type="dxa" w:w="2340"/>
          </w:tcPr>
          <w:p>
            <w:pPr>
              <w:spacing w:after="0"/>
            </w:pPr>
            <w:r/>
            <w:r>
              <w:rPr>
                <w:sz w:val="19"/>
              </w:rPr>
              <w:t>C1</w:t>
            </w:r>
          </w:p>
        </w:tc>
        <w:tc>
          <w:tcPr>
            <w:tcW w:type="dxa" w:w="2340"/>
          </w:tcPr>
          <w:p>
            <w:pPr>
              <w:spacing w:after="0"/>
            </w:pPr>
            <w:r/>
            <w:r>
              <w:rPr>
                <w:sz w:val="19"/>
              </w:rPr>
              <w:t>ai_ecosystem_model.py parses as importable module</w:t>
            </w:r>
          </w:p>
        </w:tc>
        <w:tc>
          <w:tcPr>
            <w:tcW w:type="dxa" w:w="2340"/>
          </w:tcPr>
          <w:p>
            <w:pPr>
              <w:spacing w:after="0"/>
            </w:pPr>
            <w:r>
              <w:rPr>
                <w:b/>
                <w:color w:val="1E7B34"/>
              </w:rPr>
            </w:r>
            <w:r>
              <w:rPr>
                <w:b/>
                <w:color w:val="1E7B34"/>
                <w:sz w:val="19"/>
              </w:rPr>
              <w:t>PASS</w:t>
            </w:r>
          </w:p>
        </w:tc>
        <w:tc>
          <w:tcPr>
            <w:tcW w:type="dxa" w:w="2340"/>
          </w:tcPr>
          <w:p>
            <w:pPr>
              <w:spacing w:after="0"/>
            </w:pPr>
            <w:r/>
            <w:r>
              <w:rPr>
                <w:sz w:val="19"/>
              </w:rPr>
              <w:t>11,507 lines, 35 classes, 27 top-level functions, 191 methods, V8.0</w:t>
            </w:r>
          </w:p>
        </w:tc>
      </w:tr>
      <w:tr>
        <w:tc>
          <w:tcPr>
            <w:tcW w:type="dxa" w:w="2340"/>
            <w:shd w:val="clear" w:color="auto" w:fill="EDF1F5"/>
          </w:tcPr>
          <w:p>
            <w:pPr>
              <w:spacing w:after="0"/>
            </w:pPr>
            <w:r/>
            <w:r>
              <w:rPr>
                <w:sz w:val="19"/>
              </w:rPr>
              <w:t>T7</w:t>
            </w:r>
          </w:p>
        </w:tc>
        <w:tc>
          <w:tcPr>
            <w:tcW w:type="dxa" w:w="2340"/>
            <w:shd w:val="clear" w:color="auto" w:fill="EDF1F5"/>
          </w:tcPr>
          <w:p>
            <w:pPr>
              <w:spacing w:after="0"/>
            </w:pPr>
            <w:r/>
            <w:r>
              <w:rPr>
                <w:sz w:val="19"/>
              </w:rPr>
              <w:t>Literature-diagnostics tables present (7.1–7.9)</w:t>
            </w:r>
          </w:p>
        </w:tc>
        <w:tc>
          <w:tcPr>
            <w:tcW w:type="dxa" w:w="2340"/>
            <w:shd w:val="clear" w:color="auto" w:fill="EDF1F5"/>
          </w:tcPr>
          <w:p>
            <w:pPr>
              <w:spacing w:after="0"/>
            </w:pPr>
            <w:r>
              <w:rPr>
                <w:b/>
                <w:color w:val="1E7B34"/>
              </w:rPr>
            </w:r>
            <w:r>
              <w:rPr>
                <w:b/>
                <w:color w:val="1E7B34"/>
                <w:sz w:val="19"/>
              </w:rPr>
              <w:t>PASS</w:t>
            </w:r>
          </w:p>
        </w:tc>
        <w:tc>
          <w:tcPr>
            <w:tcW w:type="dxa" w:w="2340"/>
            <w:shd w:val="clear" w:color="auto" w:fill="EDF1F5"/>
          </w:tcPr>
          <w:p>
            <w:pPr>
              <w:spacing w:after="0"/>
            </w:pPr>
            <w:r/>
            <w:r>
              <w:rPr>
                <w:sz w:val="19"/>
              </w:rPr>
              <w:t>20 table_7.*.csv file(s)</w:t>
            </w:r>
          </w:p>
        </w:tc>
      </w:tr>
      <w:tr>
        <w:tc>
          <w:tcPr>
            <w:tcW w:type="dxa" w:w="2340"/>
          </w:tcPr>
          <w:p>
            <w:pPr>
              <w:spacing w:after="0"/>
            </w:pPr>
            <w:r/>
            <w:r>
              <w:rPr>
                <w:sz w:val="19"/>
              </w:rPr>
              <w:t>G4</w:t>
            </w:r>
          </w:p>
        </w:tc>
        <w:tc>
          <w:tcPr>
            <w:tcW w:type="dxa" w:w="2340"/>
          </w:tcPr>
          <w:p>
            <w:pPr>
              <w:spacing w:after="0"/>
            </w:pPr>
            <w:r/>
            <w:r>
              <w:rPr>
                <w:sz w:val="19"/>
              </w:rPr>
              <w:t>Gatekeeper shares sum to 100%</w:t>
            </w:r>
          </w:p>
        </w:tc>
        <w:tc>
          <w:tcPr>
            <w:tcW w:type="dxa" w:w="2340"/>
          </w:tcPr>
          <w:p>
            <w:pPr>
              <w:spacing w:after="0"/>
            </w:pPr>
            <w:r>
              <w:rPr>
                <w:b/>
                <w:color w:val="1E7B34"/>
              </w:rPr>
            </w:r>
            <w:r>
              <w:rPr>
                <w:b/>
                <w:color w:val="1E7B34"/>
                <w:sz w:val="19"/>
              </w:rPr>
              <w:t>PASS</w:t>
            </w:r>
          </w:p>
        </w:tc>
        <w:tc>
          <w:tcPr>
            <w:tcW w:type="dxa" w:w="2340"/>
          </w:tcPr>
          <w:p>
            <w:pPr>
              <w:spacing w:after="0"/>
            </w:pPr>
            <w:r/>
            <w:r>
              <w:rPr>
                <w:sz w:val="19"/>
              </w:rPr>
              <w:t>sum=100.1%</w:t>
            </w:r>
          </w:p>
        </w:tc>
      </w:tr>
      <w:tr>
        <w:tc>
          <w:tcPr>
            <w:tcW w:type="dxa" w:w="2340"/>
            <w:shd w:val="clear" w:color="auto" w:fill="EDF1F5"/>
          </w:tcPr>
          <w:p>
            <w:pPr>
              <w:spacing w:after="0"/>
            </w:pPr>
            <w:r/>
            <w:r>
              <w:rPr>
                <w:sz w:val="19"/>
              </w:rPr>
              <w:t>G5</w:t>
            </w:r>
          </w:p>
        </w:tc>
        <w:tc>
          <w:tcPr>
            <w:tcW w:type="dxa" w:w="2340"/>
            <w:shd w:val="clear" w:color="auto" w:fill="EDF1F5"/>
          </w:tcPr>
          <w:p>
            <w:pPr>
              <w:spacing w:after="0"/>
            </w:pPr>
            <w:r/>
            <w:r>
              <w:rPr>
                <w:sz w:val="19"/>
              </w:rPr>
              <w:t>Policy synergy ratio finite</w:t>
            </w:r>
          </w:p>
        </w:tc>
        <w:tc>
          <w:tcPr>
            <w:tcW w:type="dxa" w:w="2340"/>
            <w:shd w:val="clear" w:color="auto" w:fill="EDF1F5"/>
          </w:tcPr>
          <w:p>
            <w:pPr>
              <w:spacing w:after="0"/>
            </w:pPr>
            <w:r>
              <w:rPr>
                <w:b/>
                <w:color w:val="1E7B34"/>
              </w:rPr>
            </w:r>
            <w:r>
              <w:rPr>
                <w:b/>
                <w:color w:val="1E7B34"/>
                <w:sz w:val="19"/>
              </w:rPr>
              <w:t>PASS</w:t>
            </w:r>
          </w:p>
        </w:tc>
        <w:tc>
          <w:tcPr>
            <w:tcW w:type="dxa" w:w="2340"/>
            <w:shd w:val="clear" w:color="auto" w:fill="EDF1F5"/>
          </w:tcPr>
          <w:p>
            <w:pPr>
              <w:spacing w:after="0"/>
            </w:pPr>
            <w:r/>
            <w:r>
              <w:rPr>
                <w:sz w:val="19"/>
              </w:rPr>
              <w:t>ratio=0.547</w:t>
            </w:r>
          </w:p>
        </w:tc>
      </w:tr>
      <w:tr>
        <w:tc>
          <w:tcPr>
            <w:tcW w:type="dxa" w:w="2340"/>
          </w:tcPr>
          <w:p>
            <w:pPr>
              <w:spacing w:after="0"/>
            </w:pPr>
            <w:r/>
            <w:r>
              <w:rPr>
                <w:sz w:val="19"/>
              </w:rPr>
              <w:t>G2</w:t>
            </w:r>
          </w:p>
        </w:tc>
        <w:tc>
          <w:tcPr>
            <w:tcW w:type="dxa" w:w="2340"/>
          </w:tcPr>
          <w:p>
            <w:pPr>
              <w:spacing w:after="0"/>
            </w:pPr>
            <w:r/>
            <w:r>
              <w:rPr>
                <w:sz w:val="19"/>
              </w:rPr>
              <w:t>Independent Nash audit matches on all games</w:t>
            </w:r>
          </w:p>
        </w:tc>
        <w:tc>
          <w:tcPr>
            <w:tcW w:type="dxa" w:w="2340"/>
          </w:tcPr>
          <w:p>
            <w:pPr>
              <w:spacing w:after="0"/>
            </w:pPr>
            <w:r>
              <w:rPr>
                <w:b/>
                <w:color w:val="1E7B34"/>
              </w:rPr>
            </w:r>
            <w:r>
              <w:rPr>
                <w:b/>
                <w:color w:val="1E7B34"/>
                <w:sz w:val="19"/>
              </w:rPr>
              <w:t>PASS</w:t>
            </w:r>
          </w:p>
        </w:tc>
        <w:tc>
          <w:tcPr>
            <w:tcW w:type="dxa" w:w="2340"/>
          </w:tcPr>
          <w:p>
            <w:pPr>
              <w:spacing w:after="0"/>
            </w:pPr>
            <w:r/>
            <w:r>
              <w:rPr>
                <w:sz w:val="19"/>
              </w:rPr>
              <w:t>6 games audited</w:t>
            </w:r>
          </w:p>
        </w:tc>
      </w:tr>
      <w:tr>
        <w:tc>
          <w:tcPr>
            <w:tcW w:type="dxa" w:w="2340"/>
            <w:shd w:val="clear" w:color="auto" w:fill="EDF1F5"/>
          </w:tcPr>
          <w:p>
            <w:pPr>
              <w:spacing w:after="0"/>
            </w:pPr>
            <w:r/>
            <w:r>
              <w:rPr>
                <w:sz w:val="19"/>
              </w:rPr>
              <w:t>G3</w:t>
            </w:r>
          </w:p>
        </w:tc>
        <w:tc>
          <w:tcPr>
            <w:tcW w:type="dxa" w:w="2340"/>
            <w:shd w:val="clear" w:color="auto" w:fill="EDF1F5"/>
          </w:tcPr>
          <w:p>
            <w:pPr>
              <w:spacing w:after="0"/>
            </w:pPr>
            <w:r/>
            <w:r>
              <w:rPr>
                <w:sz w:val="19"/>
              </w:rPr>
              <w:t>MC convergence adequate/check on all games</w:t>
            </w:r>
          </w:p>
        </w:tc>
        <w:tc>
          <w:tcPr>
            <w:tcW w:type="dxa" w:w="2340"/>
            <w:shd w:val="clear" w:color="auto" w:fill="EDF1F5"/>
          </w:tcPr>
          <w:p>
            <w:pPr>
              <w:spacing w:after="0"/>
            </w:pPr>
            <w:r>
              <w:rPr>
                <w:b/>
                <w:color w:val="1E7B34"/>
              </w:rPr>
            </w:r>
            <w:r>
              <w:rPr>
                <w:b/>
                <w:color w:val="1E7B34"/>
                <w:sz w:val="19"/>
              </w:rPr>
              <w:t>PASS</w:t>
            </w:r>
          </w:p>
        </w:tc>
        <w:tc>
          <w:tcPr>
            <w:tcW w:type="dxa" w:w="2340"/>
            <w:shd w:val="clear" w:color="auto" w:fill="EDF1F5"/>
          </w:tcPr>
          <w:p>
            <w:pPr>
              <w:spacing w:after="0"/>
            </w:pPr>
            <w:r/>
            <w:r>
              <w:rPr>
                <w:sz w:val="19"/>
              </w:rPr>
              <w:t>all adequate-or-better</w:t>
            </w:r>
          </w:p>
        </w:tc>
      </w:tr>
    </w:tbl>
    <w:p>
      <w:pPr>
        <w:spacing w:after="80"/>
      </w:pPr>
      <w:r>
        <w:rPr>
          <w:sz w:val="4"/>
        </w:rPr>
      </w:r>
    </w:p>
    <w:p>
      <w:pPr>
        <w:pStyle w:val="Heading2"/>
      </w:pPr>
      <w:r>
        <w:t>10.4  Artifact inventory</w:t>
      </w:r>
    </w:p>
    <w:p>
      <w:pPr>
        <w:keepNext/>
        <w:spacing w:before="200" w:after="40"/>
      </w:pPr>
      <w:r>
        <w:rPr>
          <w:b/>
          <w:color w:val="2C3E50"/>
          <w:sz w:val="20"/>
        </w:rPr>
        <w:t>Exhibit 10.2  Output inventory (computed by build_technical_report.py)</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Artifact</w:t>
            </w:r>
          </w:p>
        </w:tc>
        <w:tc>
          <w:tcPr>
            <w:tcW w:type="dxa" w:w="3120"/>
            <w:tblHeader w:val="true"/>
            <w:shd w:val="clear" w:color="auto" w:fill="2C3E50"/>
          </w:tcPr>
          <w:p>
            <w:pPr>
              <w:jc w:val="center"/>
            </w:pPr>
            <w:r/>
            <w:r>
              <w:rPr>
                <w:b/>
                <w:color w:val="FFFFFF"/>
                <w:sz w:val="20"/>
              </w:rPr>
              <w:t>Type</w:t>
            </w:r>
          </w:p>
        </w:tc>
        <w:tc>
          <w:tcPr>
            <w:tcW w:type="dxa" w:w="3120"/>
            <w:tblHeader w:val="true"/>
            <w:shd w:val="clear" w:color="auto" w:fill="2C3E50"/>
          </w:tcPr>
          <w:p>
            <w:pPr>
              <w:jc w:val="center"/>
            </w:pPr>
            <w:r/>
            <w:r>
              <w:rPr>
                <w:b/>
                <w:color w:val="FFFFFF"/>
                <w:sz w:val="20"/>
              </w:rPr>
              <w:t>Size</w:t>
            </w:r>
          </w:p>
        </w:tc>
      </w:tr>
      <w:tr>
        <w:tc>
          <w:tcPr>
            <w:tcW w:type="dxa" w:w="3120"/>
          </w:tcPr>
          <w:p>
            <w:pPr>
              <w:spacing w:after="0"/>
            </w:pPr>
            <w:r/>
            <w:r>
              <w:rPr>
                <w:sz w:val="19"/>
              </w:rPr>
              <w:t>ENHANCED_VALUATION_REPORT.txt</w:t>
            </w:r>
          </w:p>
        </w:tc>
        <w:tc>
          <w:tcPr>
            <w:tcW w:type="dxa" w:w="3120"/>
          </w:tcPr>
          <w:p>
            <w:pPr>
              <w:spacing w:after="0"/>
            </w:pPr>
            <w:r/>
            <w:r>
              <w:rPr>
                <w:sz w:val="19"/>
              </w:rPr>
              <w:t>table</w:t>
            </w:r>
          </w:p>
        </w:tc>
        <w:tc>
          <w:tcPr>
            <w:tcW w:type="dxa" w:w="3120"/>
          </w:tcPr>
          <w:p>
            <w:pPr>
              <w:spacing w:after="0"/>
            </w:pPr>
            <w:r/>
            <w:r>
              <w:rPr>
                <w:sz w:val="19"/>
              </w:rPr>
              <w:t>4,890 B</w:t>
            </w:r>
          </w:p>
        </w:tc>
      </w:tr>
      <w:tr>
        <w:tc>
          <w:tcPr>
            <w:tcW w:type="dxa" w:w="3120"/>
            <w:shd w:val="clear" w:color="auto" w:fill="EDF1F5"/>
          </w:tcPr>
          <w:p>
            <w:pPr>
              <w:spacing w:after="0"/>
            </w:pPr>
            <w:r/>
            <w:r>
              <w:rPr>
                <w:sz w:val="19"/>
              </w:rPr>
              <w:t>backtest</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2,912 B</w:t>
            </w:r>
          </w:p>
        </w:tc>
      </w:tr>
      <w:tr>
        <w:tc>
          <w:tcPr>
            <w:tcW w:type="dxa" w:w="3120"/>
          </w:tcPr>
          <w:p>
            <w:pPr>
              <w:spacing w:after="0"/>
            </w:pPr>
            <w:r/>
            <w:r>
              <w:rPr>
                <w:sz w:val="19"/>
              </w:rPr>
              <w:t>category_level_dependencies.csv</w:t>
            </w:r>
          </w:p>
        </w:tc>
        <w:tc>
          <w:tcPr>
            <w:tcW w:type="dxa" w:w="3120"/>
          </w:tcPr>
          <w:p>
            <w:pPr>
              <w:spacing w:after="0"/>
            </w:pPr>
            <w:r/>
            <w:r>
              <w:rPr>
                <w:sz w:val="19"/>
              </w:rPr>
              <w:t>table</w:t>
            </w:r>
          </w:p>
        </w:tc>
        <w:tc>
          <w:tcPr>
            <w:tcW w:type="dxa" w:w="3120"/>
          </w:tcPr>
          <w:p>
            <w:pPr>
              <w:spacing w:after="0"/>
            </w:pPr>
            <w:r/>
            <w:r>
              <w:rPr>
                <w:sz w:val="19"/>
              </w:rPr>
              <w:t>534 B</w:t>
            </w:r>
          </w:p>
        </w:tc>
      </w:tr>
      <w:tr>
        <w:tc>
          <w:tcPr>
            <w:tcW w:type="dxa" w:w="3120"/>
            <w:shd w:val="clear" w:color="auto" w:fill="EDF1F5"/>
          </w:tcPr>
          <w:p>
            <w:pPr>
              <w:spacing w:after="0"/>
            </w:pPr>
            <w:r/>
            <w:r>
              <w:rPr>
                <w:sz w:val="19"/>
              </w:rPr>
              <w:t>circular_metrics.csv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136 B</w:t>
            </w:r>
          </w:p>
        </w:tc>
      </w:tr>
      <w:tr>
        <w:tc>
          <w:tcPr>
            <w:tcW w:type="dxa" w:w="3120"/>
          </w:tcPr>
          <w:p>
            <w:pPr>
              <w:spacing w:after="0"/>
            </w:pPr>
            <w:r/>
            <w:r>
              <w:rPr>
                <w:sz w:val="19"/>
              </w:rPr>
              <w:t>compare_summary.csv</w:t>
            </w:r>
          </w:p>
        </w:tc>
        <w:tc>
          <w:tcPr>
            <w:tcW w:type="dxa" w:w="3120"/>
          </w:tcPr>
          <w:p>
            <w:pPr>
              <w:spacing w:after="0"/>
            </w:pPr>
            <w:r/>
            <w:r>
              <w:rPr>
                <w:sz w:val="19"/>
              </w:rPr>
              <w:t>table</w:t>
            </w:r>
          </w:p>
        </w:tc>
        <w:tc>
          <w:tcPr>
            <w:tcW w:type="dxa" w:w="3120"/>
          </w:tcPr>
          <w:p>
            <w:pPr>
              <w:spacing w:after="0"/>
            </w:pPr>
            <w:r/>
            <w:r>
              <w:rPr>
                <w:sz w:val="19"/>
              </w:rPr>
              <w:t>707 B</w:t>
            </w:r>
          </w:p>
        </w:tc>
      </w:tr>
      <w:tr>
        <w:tc>
          <w:tcPr>
            <w:tcW w:type="dxa" w:w="3120"/>
            <w:shd w:val="clear" w:color="auto" w:fill="EDF1F5"/>
          </w:tcPr>
          <w:p>
            <w:pPr>
              <w:spacing w:after="0"/>
            </w:pPr>
            <w:r/>
            <w:r>
              <w:rPr>
                <w:sz w:val="19"/>
              </w:rPr>
              <w:t>compare_summary.tex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859 B</w:t>
            </w:r>
          </w:p>
        </w:tc>
      </w:tr>
      <w:tr>
        <w:tc>
          <w:tcPr>
            <w:tcW w:type="dxa" w:w="3120"/>
          </w:tcPr>
          <w:p>
            <w:pPr>
              <w:spacing w:after="0"/>
            </w:pPr>
            <w:r/>
            <w:r>
              <w:rPr>
                <w:sz w:val="19"/>
              </w:rPr>
              <w:t>compare_summary.xlsx</w:t>
            </w:r>
          </w:p>
        </w:tc>
        <w:tc>
          <w:tcPr>
            <w:tcW w:type="dxa" w:w="3120"/>
          </w:tcPr>
          <w:p>
            <w:pPr>
              <w:spacing w:after="0"/>
            </w:pPr>
            <w:r/>
            <w:r>
              <w:rPr>
                <w:sz w:val="19"/>
              </w:rPr>
              <w:t>table</w:t>
            </w:r>
          </w:p>
        </w:tc>
        <w:tc>
          <w:tcPr>
            <w:tcW w:type="dxa" w:w="3120"/>
          </w:tcPr>
          <w:p>
            <w:pPr>
              <w:spacing w:after="0"/>
            </w:pPr>
            <w:r/>
            <w:r>
              <w:rPr>
                <w:sz w:val="19"/>
              </w:rPr>
              <w:t>6,081 B</w:t>
            </w:r>
          </w:p>
        </w:tc>
      </w:tr>
      <w:tr>
        <w:tc>
          <w:tcPr>
            <w:tcW w:type="dxa" w:w="3120"/>
            <w:shd w:val="clear" w:color="auto" w:fill="EDF1F5"/>
          </w:tcPr>
          <w:p>
            <w:pPr>
              <w:spacing w:after="0"/>
            </w:pPr>
            <w:r/>
            <w:r>
              <w:rPr>
                <w:sz w:val="19"/>
              </w:rPr>
              <w:t>elasticity_sensitivity_analysis.csv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784 B</w:t>
            </w:r>
          </w:p>
        </w:tc>
      </w:tr>
      <w:tr>
        <w:tc>
          <w:tcPr>
            <w:tcW w:type="dxa" w:w="3120"/>
          </w:tcPr>
          <w:p>
            <w:pPr>
              <w:spacing w:after="0"/>
            </w:pPr>
            <w:r/>
            <w:r>
              <w:rPr>
                <w:sz w:val="19"/>
              </w:rPr>
              <w:t>enhanced_valuation_metrics.csv</w:t>
            </w:r>
          </w:p>
        </w:tc>
        <w:tc>
          <w:tcPr>
            <w:tcW w:type="dxa" w:w="3120"/>
          </w:tcPr>
          <w:p>
            <w:pPr>
              <w:spacing w:after="0"/>
            </w:pPr>
            <w:r/>
            <w:r>
              <w:rPr>
                <w:sz w:val="19"/>
              </w:rPr>
              <w:t>table</w:t>
            </w:r>
          </w:p>
        </w:tc>
        <w:tc>
          <w:tcPr>
            <w:tcW w:type="dxa" w:w="3120"/>
          </w:tcPr>
          <w:p>
            <w:pPr>
              <w:spacing w:after="0"/>
            </w:pPr>
            <w:r/>
            <w:r>
              <w:rPr>
                <w:sz w:val="19"/>
              </w:rPr>
              <w:t>3,718 B</w:t>
            </w:r>
          </w:p>
        </w:tc>
      </w:tr>
      <w:tr>
        <w:tc>
          <w:tcPr>
            <w:tcW w:type="dxa" w:w="3120"/>
            <w:shd w:val="clear" w:color="auto" w:fill="EDF1F5"/>
          </w:tcPr>
          <w:p>
            <w:pPr>
              <w:spacing w:after="0"/>
            </w:pPr>
            <w:r/>
            <w:r>
              <w:rPr>
                <w:sz w:val="19"/>
              </w:rPr>
              <w:t>industry_dependencies_enhanced.csv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4,649 B</w:t>
            </w:r>
          </w:p>
        </w:tc>
      </w:tr>
      <w:tr>
        <w:tc>
          <w:tcPr>
            <w:tcW w:type="dxa" w:w="3120"/>
          </w:tcPr>
          <w:p>
            <w:pPr>
              <w:spacing w:after="0"/>
            </w:pPr>
            <w:r/>
            <w:r>
              <w:rPr>
                <w:sz w:val="19"/>
              </w:rPr>
              <w:t>policy_interventions_enhanced.csv</w:t>
            </w:r>
          </w:p>
        </w:tc>
        <w:tc>
          <w:tcPr>
            <w:tcW w:type="dxa" w:w="3120"/>
          </w:tcPr>
          <w:p>
            <w:pPr>
              <w:spacing w:after="0"/>
            </w:pPr>
            <w:r/>
            <w:r>
              <w:rPr>
                <w:sz w:val="19"/>
              </w:rPr>
              <w:t>table</w:t>
            </w:r>
          </w:p>
        </w:tc>
        <w:tc>
          <w:tcPr>
            <w:tcW w:type="dxa" w:w="3120"/>
          </w:tcPr>
          <w:p>
            <w:pPr>
              <w:spacing w:after="0"/>
            </w:pPr>
            <w:r/>
            <w:r>
              <w:rPr>
                <w:sz w:val="19"/>
              </w:rPr>
              <w:t>1,737 B</w:t>
            </w:r>
          </w:p>
        </w:tc>
      </w:tr>
      <w:tr>
        <w:tc>
          <w:tcPr>
            <w:tcW w:type="dxa" w:w="3120"/>
            <w:shd w:val="clear" w:color="auto" w:fill="EDF1F5"/>
          </w:tcPr>
          <w:p>
            <w:pPr>
              <w:spacing w:after="0"/>
            </w:pPr>
            <w:r/>
            <w:r>
              <w:rPr>
                <w:sz w:val="19"/>
              </w:rPr>
              <w:t>pred_A_scenario_ledger.csv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406 B</w:t>
            </w:r>
          </w:p>
        </w:tc>
      </w:tr>
      <w:tr>
        <w:tc>
          <w:tcPr>
            <w:tcW w:type="dxa" w:w="3120"/>
          </w:tcPr>
          <w:p>
            <w:pPr>
              <w:spacing w:after="0"/>
            </w:pPr>
            <w:r/>
            <w:r>
              <w:rPr>
                <w:sz w:val="19"/>
              </w:rPr>
              <w:t>pred_A_scenario_ledger.tex</w:t>
            </w:r>
          </w:p>
        </w:tc>
        <w:tc>
          <w:tcPr>
            <w:tcW w:type="dxa" w:w="3120"/>
          </w:tcPr>
          <w:p>
            <w:pPr>
              <w:spacing w:after="0"/>
            </w:pPr>
            <w:r/>
            <w:r>
              <w:rPr>
                <w:sz w:val="19"/>
              </w:rPr>
              <w:t>table</w:t>
            </w:r>
          </w:p>
        </w:tc>
        <w:tc>
          <w:tcPr>
            <w:tcW w:type="dxa" w:w="3120"/>
          </w:tcPr>
          <w:p>
            <w:pPr>
              <w:spacing w:after="0"/>
            </w:pPr>
            <w:r/>
            <w:r>
              <w:rPr>
                <w:sz w:val="19"/>
              </w:rPr>
              <w:t>563 B</w:t>
            </w:r>
          </w:p>
        </w:tc>
      </w:tr>
      <w:tr>
        <w:tc>
          <w:tcPr>
            <w:tcW w:type="dxa" w:w="3120"/>
            <w:shd w:val="clear" w:color="auto" w:fill="EDF1F5"/>
          </w:tcPr>
          <w:p>
            <w:pPr>
              <w:spacing w:after="0"/>
            </w:pPr>
            <w:r/>
            <w:r>
              <w:rPr>
                <w:sz w:val="19"/>
              </w:rPr>
              <w:t>pred_A_scenario_ledger.xlsx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5,799 B</w:t>
            </w:r>
          </w:p>
        </w:tc>
      </w:tr>
      <w:tr>
        <w:tc>
          <w:tcPr>
            <w:tcW w:type="dxa" w:w="3120"/>
          </w:tcPr>
          <w:p>
            <w:pPr>
              <w:spacing w:after="0"/>
            </w:pPr>
            <w:r/>
            <w:r>
              <w:rPr>
                <w:sz w:val="19"/>
              </w:rPr>
              <w:t>pred_B_trigger_watchlist.csv</w:t>
            </w:r>
          </w:p>
        </w:tc>
        <w:tc>
          <w:tcPr>
            <w:tcW w:type="dxa" w:w="3120"/>
          </w:tcPr>
          <w:p>
            <w:pPr>
              <w:spacing w:after="0"/>
            </w:pPr>
            <w:r/>
            <w:r>
              <w:rPr>
                <w:sz w:val="19"/>
              </w:rPr>
              <w:t>table</w:t>
            </w:r>
          </w:p>
        </w:tc>
        <w:tc>
          <w:tcPr>
            <w:tcW w:type="dxa" w:w="3120"/>
          </w:tcPr>
          <w:p>
            <w:pPr>
              <w:spacing w:after="0"/>
            </w:pPr>
            <w:r/>
            <w:r>
              <w:rPr>
                <w:sz w:val="19"/>
              </w:rPr>
              <w:t>904 B</w:t>
            </w:r>
          </w:p>
        </w:tc>
      </w:tr>
      <w:tr>
        <w:tc>
          <w:tcPr>
            <w:tcW w:type="dxa" w:w="3120"/>
            <w:shd w:val="clear" w:color="auto" w:fill="EDF1F5"/>
          </w:tcPr>
          <w:p>
            <w:pPr>
              <w:spacing w:after="0"/>
            </w:pPr>
            <w:r/>
            <w:r>
              <w:rPr>
                <w:sz w:val="19"/>
              </w:rPr>
              <w:t>pred_B_trigger_watchlist.tex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1,031 B</w:t>
            </w:r>
          </w:p>
        </w:tc>
      </w:tr>
      <w:tr>
        <w:tc>
          <w:tcPr>
            <w:tcW w:type="dxa" w:w="3120"/>
          </w:tcPr>
          <w:p>
            <w:pPr>
              <w:spacing w:after="0"/>
            </w:pPr>
            <w:r/>
            <w:r>
              <w:rPr>
                <w:sz w:val="19"/>
              </w:rPr>
              <w:t>pred_B_trigger_watchlist.xlsx</w:t>
            </w:r>
          </w:p>
        </w:tc>
        <w:tc>
          <w:tcPr>
            <w:tcW w:type="dxa" w:w="3120"/>
          </w:tcPr>
          <w:p>
            <w:pPr>
              <w:spacing w:after="0"/>
            </w:pPr>
            <w:r/>
            <w:r>
              <w:rPr>
                <w:sz w:val="19"/>
              </w:rPr>
              <w:t>table</w:t>
            </w:r>
          </w:p>
        </w:tc>
        <w:tc>
          <w:tcPr>
            <w:tcW w:type="dxa" w:w="3120"/>
          </w:tcPr>
          <w:p>
            <w:pPr>
              <w:spacing w:after="0"/>
            </w:pPr>
            <w:r/>
            <w:r>
              <w:rPr>
                <w:sz w:val="19"/>
              </w:rPr>
              <w:t>6,126 B</w:t>
            </w:r>
          </w:p>
        </w:tc>
      </w:tr>
      <w:tr>
        <w:tc>
          <w:tcPr>
            <w:tcW w:type="dxa" w:w="3120"/>
            <w:shd w:val="clear" w:color="auto" w:fill="EDF1F5"/>
          </w:tcPr>
          <w:p>
            <w:pPr>
              <w:spacing w:after="0"/>
            </w:pPr>
            <w:r/>
            <w:r>
              <w:rPr>
                <w:sz w:val="19"/>
              </w:rPr>
              <w:t>pred_C_valuation_watchlist.csv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1,880 B</w:t>
            </w:r>
          </w:p>
        </w:tc>
      </w:tr>
      <w:tr>
        <w:tc>
          <w:tcPr>
            <w:tcW w:type="dxa" w:w="3120"/>
          </w:tcPr>
          <w:p>
            <w:pPr>
              <w:spacing w:after="0"/>
            </w:pPr>
            <w:r/>
            <w:r>
              <w:rPr>
                <w:sz w:val="19"/>
              </w:rPr>
              <w:t>pred_C_valuation_watchlist.tex</w:t>
            </w:r>
          </w:p>
        </w:tc>
        <w:tc>
          <w:tcPr>
            <w:tcW w:type="dxa" w:w="3120"/>
          </w:tcPr>
          <w:p>
            <w:pPr>
              <w:spacing w:after="0"/>
            </w:pPr>
            <w:r/>
            <w:r>
              <w:rPr>
                <w:sz w:val="19"/>
              </w:rPr>
              <w:t>table</w:t>
            </w:r>
          </w:p>
        </w:tc>
        <w:tc>
          <w:tcPr>
            <w:tcW w:type="dxa" w:w="3120"/>
          </w:tcPr>
          <w:p>
            <w:pPr>
              <w:spacing w:after="0"/>
            </w:pPr>
            <w:r/>
            <w:r>
              <w:rPr>
                <w:sz w:val="19"/>
              </w:rPr>
              <w:t>1,921 B</w:t>
            </w:r>
          </w:p>
        </w:tc>
      </w:tr>
      <w:tr>
        <w:tc>
          <w:tcPr>
            <w:tcW w:type="dxa" w:w="3120"/>
            <w:shd w:val="clear" w:color="auto" w:fill="EDF1F5"/>
          </w:tcPr>
          <w:p>
            <w:pPr>
              <w:spacing w:after="0"/>
            </w:pPr>
            <w:r/>
            <w:r>
              <w:rPr>
                <w:sz w:val="19"/>
              </w:rPr>
              <w:t>pred_C_valuation_watchlist.xlsx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6,791 B</w:t>
            </w:r>
          </w:p>
        </w:tc>
      </w:tr>
      <w:tr>
        <w:tc>
          <w:tcPr>
            <w:tcW w:type="dxa" w:w="3120"/>
          </w:tcPr>
          <w:p>
            <w:pPr>
              <w:spacing w:after="0"/>
            </w:pPr>
            <w:r/>
            <w:r>
              <w:rPr>
                <w:sz w:val="19"/>
              </w:rPr>
              <w:t>pred_D_robustness_ledger.csv</w:t>
            </w:r>
          </w:p>
        </w:tc>
        <w:tc>
          <w:tcPr>
            <w:tcW w:type="dxa" w:w="3120"/>
          </w:tcPr>
          <w:p>
            <w:pPr>
              <w:spacing w:after="0"/>
            </w:pPr>
            <w:r/>
            <w:r>
              <w:rPr>
                <w:sz w:val="19"/>
              </w:rPr>
              <w:t>table</w:t>
            </w:r>
          </w:p>
        </w:tc>
        <w:tc>
          <w:tcPr>
            <w:tcW w:type="dxa" w:w="3120"/>
          </w:tcPr>
          <w:p>
            <w:pPr>
              <w:spacing w:after="0"/>
            </w:pPr>
            <w:r/>
            <w:r>
              <w:rPr>
                <w:sz w:val="19"/>
              </w:rPr>
              <w:t>541 B</w:t>
            </w:r>
          </w:p>
        </w:tc>
      </w:tr>
      <w:tr>
        <w:tc>
          <w:tcPr>
            <w:tcW w:type="dxa" w:w="3120"/>
            <w:shd w:val="clear" w:color="auto" w:fill="EDF1F5"/>
          </w:tcPr>
          <w:p>
            <w:pPr>
              <w:spacing w:after="0"/>
            </w:pPr>
            <w:r/>
            <w:r>
              <w:rPr>
                <w:sz w:val="19"/>
              </w:rPr>
              <w:t>pred_D_robustness_ledger.tex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657 B</w:t>
            </w:r>
          </w:p>
        </w:tc>
      </w:tr>
      <w:tr>
        <w:tc>
          <w:tcPr>
            <w:tcW w:type="dxa" w:w="3120"/>
          </w:tcPr>
          <w:p>
            <w:pPr>
              <w:spacing w:after="0"/>
            </w:pPr>
            <w:r/>
            <w:r>
              <w:rPr>
                <w:sz w:val="19"/>
              </w:rPr>
              <w:t>pred_D_robustness_ledger.xlsx</w:t>
            </w:r>
          </w:p>
        </w:tc>
        <w:tc>
          <w:tcPr>
            <w:tcW w:type="dxa" w:w="3120"/>
          </w:tcPr>
          <w:p>
            <w:pPr>
              <w:spacing w:after="0"/>
            </w:pPr>
            <w:r/>
            <w:r>
              <w:rPr>
                <w:sz w:val="19"/>
              </w:rPr>
              <w:t>table</w:t>
            </w:r>
          </w:p>
        </w:tc>
        <w:tc>
          <w:tcPr>
            <w:tcW w:type="dxa" w:w="3120"/>
          </w:tcPr>
          <w:p>
            <w:pPr>
              <w:spacing w:after="0"/>
            </w:pPr>
            <w:r/>
            <w:r>
              <w:rPr>
                <w:sz w:val="19"/>
              </w:rPr>
              <w:t>5,863 B</w:t>
            </w:r>
          </w:p>
        </w:tc>
      </w:tr>
      <w:tr>
        <w:tc>
          <w:tcPr>
            <w:tcW w:type="dxa" w:w="3120"/>
            <w:shd w:val="clear" w:color="auto" w:fill="EDF1F5"/>
          </w:tcPr>
          <w:p>
            <w:pPr>
              <w:spacing w:after="0"/>
            </w:pPr>
            <w:r/>
            <w:r>
              <w:rPr>
                <w:sz w:val="19"/>
              </w:rPr>
              <w:t>pred_E_formation_drivers.csv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300 B</w:t>
            </w:r>
          </w:p>
        </w:tc>
      </w:tr>
      <w:tr>
        <w:tc>
          <w:tcPr>
            <w:tcW w:type="dxa" w:w="3120"/>
          </w:tcPr>
          <w:p>
            <w:pPr>
              <w:spacing w:after="0"/>
            </w:pPr>
            <w:r/>
            <w:r>
              <w:rPr>
                <w:sz w:val="19"/>
              </w:rPr>
              <w:t>pred_E_formation_drivers.tex</w:t>
            </w:r>
          </w:p>
        </w:tc>
        <w:tc>
          <w:tcPr>
            <w:tcW w:type="dxa" w:w="3120"/>
          </w:tcPr>
          <w:p>
            <w:pPr>
              <w:spacing w:after="0"/>
            </w:pPr>
            <w:r/>
            <w:r>
              <w:rPr>
                <w:sz w:val="19"/>
              </w:rPr>
              <w:t>table</w:t>
            </w:r>
          </w:p>
        </w:tc>
        <w:tc>
          <w:tcPr>
            <w:tcW w:type="dxa" w:w="3120"/>
          </w:tcPr>
          <w:p>
            <w:pPr>
              <w:spacing w:after="0"/>
            </w:pPr>
            <w:r/>
            <w:r>
              <w:rPr>
                <w:sz w:val="19"/>
              </w:rPr>
              <w:t>474 B</w:t>
            </w:r>
          </w:p>
        </w:tc>
      </w:tr>
      <w:tr>
        <w:tc>
          <w:tcPr>
            <w:tcW w:type="dxa" w:w="3120"/>
            <w:shd w:val="clear" w:color="auto" w:fill="EDF1F5"/>
          </w:tcPr>
          <w:p>
            <w:pPr>
              <w:spacing w:after="0"/>
            </w:pPr>
            <w:r/>
            <w:r>
              <w:rPr>
                <w:sz w:val="19"/>
              </w:rPr>
              <w:t>pred_E_formation_drivers.xlsx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5,760 B</w:t>
            </w:r>
          </w:p>
        </w:tc>
      </w:tr>
      <w:tr>
        <w:tc>
          <w:tcPr>
            <w:tcW w:type="dxa" w:w="3120"/>
          </w:tcPr>
          <w:p>
            <w:pPr>
              <w:spacing w:after="0"/>
            </w:pPr>
            <w:r/>
            <w:r>
              <w:rPr>
                <w:sz w:val="19"/>
              </w:rPr>
              <w:t>pred_F_early_warning.csv</w:t>
            </w:r>
          </w:p>
        </w:tc>
        <w:tc>
          <w:tcPr>
            <w:tcW w:type="dxa" w:w="3120"/>
          </w:tcPr>
          <w:p>
            <w:pPr>
              <w:spacing w:after="0"/>
            </w:pPr>
            <w:r/>
            <w:r>
              <w:rPr>
                <w:sz w:val="19"/>
              </w:rPr>
              <w:t>table</w:t>
            </w:r>
          </w:p>
        </w:tc>
        <w:tc>
          <w:tcPr>
            <w:tcW w:type="dxa" w:w="3120"/>
          </w:tcPr>
          <w:p>
            <w:pPr>
              <w:spacing w:after="0"/>
            </w:pPr>
            <w:r/>
            <w:r>
              <w:rPr>
                <w:sz w:val="19"/>
              </w:rPr>
              <w:t>317 B</w:t>
            </w:r>
          </w:p>
        </w:tc>
      </w:tr>
      <w:tr>
        <w:tc>
          <w:tcPr>
            <w:tcW w:type="dxa" w:w="3120"/>
            <w:shd w:val="clear" w:color="auto" w:fill="EDF1F5"/>
          </w:tcPr>
          <w:p>
            <w:pPr>
              <w:spacing w:after="0"/>
            </w:pPr>
            <w:r/>
            <w:r>
              <w:rPr>
                <w:sz w:val="19"/>
              </w:rPr>
              <w:t>pred_F_early_warning.tex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469 B</w:t>
            </w:r>
          </w:p>
        </w:tc>
      </w:tr>
      <w:tr>
        <w:tc>
          <w:tcPr>
            <w:tcW w:type="dxa" w:w="3120"/>
          </w:tcPr>
          <w:p>
            <w:pPr>
              <w:spacing w:after="0"/>
            </w:pPr>
            <w:r/>
            <w:r>
              <w:rPr>
                <w:sz w:val="19"/>
              </w:rPr>
              <w:t>pred_F_early_warning.xlsx</w:t>
            </w:r>
          </w:p>
        </w:tc>
        <w:tc>
          <w:tcPr>
            <w:tcW w:type="dxa" w:w="3120"/>
          </w:tcPr>
          <w:p>
            <w:pPr>
              <w:spacing w:after="0"/>
            </w:pPr>
            <w:r/>
            <w:r>
              <w:rPr>
                <w:sz w:val="19"/>
              </w:rPr>
              <w:t>table</w:t>
            </w:r>
          </w:p>
        </w:tc>
        <w:tc>
          <w:tcPr>
            <w:tcW w:type="dxa" w:w="3120"/>
          </w:tcPr>
          <w:p>
            <w:pPr>
              <w:spacing w:after="0"/>
            </w:pPr>
            <w:r/>
            <w:r>
              <w:rPr>
                <w:sz w:val="19"/>
              </w:rPr>
              <w:t>5,747 B</w:t>
            </w:r>
          </w:p>
        </w:tc>
      </w:tr>
      <w:tr>
        <w:tc>
          <w:tcPr>
            <w:tcW w:type="dxa" w:w="3120"/>
            <w:shd w:val="clear" w:color="auto" w:fill="EDF1F5"/>
          </w:tcPr>
          <w:p>
            <w:pPr>
              <w:spacing w:after="0"/>
            </w:pPr>
            <w:r/>
            <w:r>
              <w:rPr>
                <w:sz w:val="19"/>
              </w:rPr>
              <w:t>pred_G_burst_timing.csv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651 B</w:t>
            </w:r>
          </w:p>
        </w:tc>
      </w:tr>
      <w:tr>
        <w:tc>
          <w:tcPr>
            <w:tcW w:type="dxa" w:w="3120"/>
          </w:tcPr>
          <w:p>
            <w:pPr>
              <w:spacing w:after="0"/>
            </w:pPr>
            <w:r/>
            <w:r>
              <w:rPr>
                <w:sz w:val="19"/>
              </w:rPr>
              <w:t>pred_G_burst_timing.tex</w:t>
            </w:r>
          </w:p>
        </w:tc>
        <w:tc>
          <w:tcPr>
            <w:tcW w:type="dxa" w:w="3120"/>
          </w:tcPr>
          <w:p>
            <w:pPr>
              <w:spacing w:after="0"/>
            </w:pPr>
            <w:r/>
            <w:r>
              <w:rPr>
                <w:sz w:val="19"/>
              </w:rPr>
              <w:t>table</w:t>
            </w:r>
          </w:p>
        </w:tc>
        <w:tc>
          <w:tcPr>
            <w:tcW w:type="dxa" w:w="3120"/>
          </w:tcPr>
          <w:p>
            <w:pPr>
              <w:spacing w:after="0"/>
            </w:pPr>
            <w:r/>
            <w:r>
              <w:rPr>
                <w:sz w:val="19"/>
              </w:rPr>
              <w:t>881 B</w:t>
            </w:r>
          </w:p>
        </w:tc>
      </w:tr>
      <w:tr>
        <w:tc>
          <w:tcPr>
            <w:tcW w:type="dxa" w:w="3120"/>
            <w:shd w:val="clear" w:color="auto" w:fill="EDF1F5"/>
          </w:tcPr>
          <w:p>
            <w:pPr>
              <w:spacing w:after="0"/>
            </w:pPr>
            <w:r/>
            <w:r>
              <w:rPr>
                <w:sz w:val="19"/>
              </w:rPr>
              <w:t>pred_G_burst_timing.xlsx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5,967 B</w:t>
            </w:r>
          </w:p>
        </w:tc>
      </w:tr>
      <w:tr>
        <w:tc>
          <w:tcPr>
            <w:tcW w:type="dxa" w:w="3120"/>
          </w:tcPr>
          <w:p>
            <w:pPr>
              <w:spacing w:after="0"/>
            </w:pPr>
            <w:r/>
            <w:r>
              <w:rPr>
                <w:sz w:val="19"/>
              </w:rPr>
              <w:t>pred_H_company_losses.csv</w:t>
            </w:r>
          </w:p>
        </w:tc>
        <w:tc>
          <w:tcPr>
            <w:tcW w:type="dxa" w:w="3120"/>
          </w:tcPr>
          <w:p>
            <w:pPr>
              <w:spacing w:after="0"/>
            </w:pPr>
            <w:r/>
            <w:r>
              <w:rPr>
                <w:sz w:val="19"/>
              </w:rPr>
              <w:t>table</w:t>
            </w:r>
          </w:p>
        </w:tc>
        <w:tc>
          <w:tcPr>
            <w:tcW w:type="dxa" w:w="3120"/>
          </w:tcPr>
          <w:p>
            <w:pPr>
              <w:spacing w:after="0"/>
            </w:pPr>
            <w:r/>
            <w:r>
              <w:rPr>
                <w:sz w:val="19"/>
              </w:rPr>
              <w:t>1,720 B</w:t>
            </w:r>
          </w:p>
        </w:tc>
      </w:tr>
      <w:tr>
        <w:tc>
          <w:tcPr>
            <w:tcW w:type="dxa" w:w="3120"/>
            <w:shd w:val="clear" w:color="auto" w:fill="EDF1F5"/>
          </w:tcPr>
          <w:p>
            <w:pPr>
              <w:spacing w:after="0"/>
            </w:pPr>
            <w:r/>
            <w:r>
              <w:rPr>
                <w:sz w:val="19"/>
              </w:rPr>
              <w:t>pred_H_company_losses.tex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2,433 B</w:t>
            </w:r>
          </w:p>
        </w:tc>
      </w:tr>
      <w:tr>
        <w:tc>
          <w:tcPr>
            <w:tcW w:type="dxa" w:w="3120"/>
          </w:tcPr>
          <w:p>
            <w:pPr>
              <w:spacing w:after="0"/>
            </w:pPr>
            <w:r/>
            <w:r>
              <w:rPr>
                <w:sz w:val="19"/>
              </w:rPr>
              <w:t>pred_H_company_losses.xlsx</w:t>
            </w:r>
          </w:p>
        </w:tc>
        <w:tc>
          <w:tcPr>
            <w:tcW w:type="dxa" w:w="3120"/>
          </w:tcPr>
          <w:p>
            <w:pPr>
              <w:spacing w:after="0"/>
            </w:pPr>
            <w:r/>
            <w:r>
              <w:rPr>
                <w:sz w:val="19"/>
              </w:rPr>
              <w:t>table</w:t>
            </w:r>
          </w:p>
        </w:tc>
        <w:tc>
          <w:tcPr>
            <w:tcW w:type="dxa" w:w="3120"/>
          </w:tcPr>
          <w:p>
            <w:pPr>
              <w:spacing w:after="0"/>
            </w:pPr>
            <w:r/>
            <w:r>
              <w:rPr>
                <w:sz w:val="19"/>
              </w:rPr>
              <w:t>7,107 B</w:t>
            </w:r>
          </w:p>
        </w:tc>
      </w:tr>
      <w:tr>
        <w:tc>
          <w:tcPr>
            <w:tcW w:type="dxa" w:w="3120"/>
            <w:shd w:val="clear" w:color="auto" w:fill="EDF1F5"/>
          </w:tcPr>
          <w:p>
            <w:pPr>
              <w:spacing w:after="0"/>
            </w:pPr>
            <w:r/>
            <w:r>
              <w:rPr>
                <w:sz w:val="19"/>
              </w:rPr>
              <w:t>pred_I_price_gauges.csv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1,030 B</w:t>
            </w:r>
          </w:p>
        </w:tc>
      </w:tr>
      <w:tr>
        <w:tc>
          <w:tcPr>
            <w:tcW w:type="dxa" w:w="3120"/>
          </w:tcPr>
          <w:p>
            <w:pPr>
              <w:spacing w:after="0"/>
            </w:pPr>
            <w:r/>
            <w:r>
              <w:rPr>
                <w:sz w:val="19"/>
              </w:rPr>
              <w:t>pred_I_price_gauges.tex</w:t>
            </w:r>
          </w:p>
        </w:tc>
        <w:tc>
          <w:tcPr>
            <w:tcW w:type="dxa" w:w="3120"/>
          </w:tcPr>
          <w:p>
            <w:pPr>
              <w:spacing w:after="0"/>
            </w:pPr>
            <w:r/>
            <w:r>
              <w:rPr>
                <w:sz w:val="19"/>
              </w:rPr>
              <w:t>table</w:t>
            </w:r>
          </w:p>
        </w:tc>
        <w:tc>
          <w:tcPr>
            <w:tcW w:type="dxa" w:w="3120"/>
          </w:tcPr>
          <w:p>
            <w:pPr>
              <w:spacing w:after="0"/>
            </w:pPr>
            <w:r/>
            <w:r>
              <w:rPr>
                <w:sz w:val="19"/>
              </w:rPr>
              <w:t>1,274 B</w:t>
            </w:r>
          </w:p>
        </w:tc>
      </w:tr>
      <w:tr>
        <w:tc>
          <w:tcPr>
            <w:tcW w:type="dxa" w:w="3120"/>
            <w:shd w:val="clear" w:color="auto" w:fill="EDF1F5"/>
          </w:tcPr>
          <w:p>
            <w:pPr>
              <w:spacing w:after="0"/>
            </w:pPr>
            <w:r/>
            <w:r>
              <w:rPr>
                <w:sz w:val="19"/>
              </w:rPr>
              <w:t>pred_I_price_gauges.xlsx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6,028 B</w:t>
            </w:r>
          </w:p>
        </w:tc>
      </w:tr>
      <w:tr>
        <w:tc>
          <w:tcPr>
            <w:tcW w:type="dxa" w:w="3120"/>
          </w:tcPr>
          <w:p>
            <w:pPr>
              <w:spacing w:after="0"/>
            </w:pPr>
            <w:r/>
            <w:r>
              <w:rPr>
                <w:sz w:val="19"/>
              </w:rPr>
              <w:t>pred_J_gauge_backtest.csv</w:t>
            </w:r>
          </w:p>
        </w:tc>
        <w:tc>
          <w:tcPr>
            <w:tcW w:type="dxa" w:w="3120"/>
          </w:tcPr>
          <w:p>
            <w:pPr>
              <w:spacing w:after="0"/>
            </w:pPr>
            <w:r/>
            <w:r>
              <w:rPr>
                <w:sz w:val="19"/>
              </w:rPr>
              <w:t>table</w:t>
            </w:r>
          </w:p>
        </w:tc>
        <w:tc>
          <w:tcPr>
            <w:tcW w:type="dxa" w:w="3120"/>
          </w:tcPr>
          <w:p>
            <w:pPr>
              <w:spacing w:after="0"/>
            </w:pPr>
            <w:r/>
            <w:r>
              <w:rPr>
                <w:sz w:val="19"/>
              </w:rPr>
              <w:t>188 B</w:t>
            </w:r>
          </w:p>
        </w:tc>
      </w:tr>
      <w:tr>
        <w:tc>
          <w:tcPr>
            <w:tcW w:type="dxa" w:w="3120"/>
            <w:shd w:val="clear" w:color="auto" w:fill="EDF1F5"/>
          </w:tcPr>
          <w:p>
            <w:pPr>
              <w:spacing w:after="0"/>
            </w:pPr>
            <w:r/>
            <w:r>
              <w:rPr>
                <w:sz w:val="19"/>
              </w:rPr>
              <w:t>pred_J_gauge_backtest.tex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288 B</w:t>
            </w:r>
          </w:p>
        </w:tc>
      </w:tr>
      <w:tr>
        <w:tc>
          <w:tcPr>
            <w:tcW w:type="dxa" w:w="3120"/>
          </w:tcPr>
          <w:p>
            <w:pPr>
              <w:spacing w:after="0"/>
            </w:pPr>
            <w:r/>
            <w:r>
              <w:rPr>
                <w:sz w:val="19"/>
              </w:rPr>
              <w:t>pred_J_gauge_backtest.xlsx</w:t>
            </w:r>
          </w:p>
        </w:tc>
        <w:tc>
          <w:tcPr>
            <w:tcW w:type="dxa" w:w="3120"/>
          </w:tcPr>
          <w:p>
            <w:pPr>
              <w:spacing w:after="0"/>
            </w:pPr>
            <w:r/>
            <w:r>
              <w:rPr>
                <w:sz w:val="19"/>
              </w:rPr>
              <w:t>table</w:t>
            </w:r>
          </w:p>
        </w:tc>
        <w:tc>
          <w:tcPr>
            <w:tcW w:type="dxa" w:w="3120"/>
          </w:tcPr>
          <w:p>
            <w:pPr>
              <w:spacing w:after="0"/>
            </w:pPr>
            <w:r/>
            <w:r>
              <w:rPr>
                <w:sz w:val="19"/>
              </w:rPr>
              <w:t>5,574 B</w:t>
            </w:r>
          </w:p>
        </w:tc>
      </w:tr>
      <w:tr>
        <w:tc>
          <w:tcPr>
            <w:tcW w:type="dxa" w:w="3120"/>
            <w:shd w:val="clear" w:color="auto" w:fill="EDF1F5"/>
          </w:tcPr>
          <w:p>
            <w:pPr>
              <w:spacing w:after="0"/>
            </w:pPr>
            <w:r/>
            <w:r>
              <w:rPr>
                <w:sz w:val="19"/>
              </w:rPr>
              <w:t>pred_K_expected_losses.csv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3,532 B</w:t>
            </w:r>
          </w:p>
        </w:tc>
      </w:tr>
      <w:tr>
        <w:tc>
          <w:tcPr>
            <w:tcW w:type="dxa" w:w="3120"/>
          </w:tcPr>
          <w:p>
            <w:pPr>
              <w:spacing w:after="0"/>
            </w:pPr>
            <w:r/>
            <w:r>
              <w:rPr>
                <w:sz w:val="19"/>
              </w:rPr>
              <w:t>pred_K_expected_losses.tex</w:t>
            </w:r>
          </w:p>
        </w:tc>
        <w:tc>
          <w:tcPr>
            <w:tcW w:type="dxa" w:w="3120"/>
          </w:tcPr>
          <w:p>
            <w:pPr>
              <w:spacing w:after="0"/>
            </w:pPr>
            <w:r/>
            <w:r>
              <w:rPr>
                <w:sz w:val="19"/>
              </w:rPr>
              <w:t>table</w:t>
            </w:r>
          </w:p>
        </w:tc>
        <w:tc>
          <w:tcPr>
            <w:tcW w:type="dxa" w:w="3120"/>
          </w:tcPr>
          <w:p>
            <w:pPr>
              <w:spacing w:after="0"/>
            </w:pPr>
            <w:r/>
            <w:r>
              <w:rPr>
                <w:sz w:val="19"/>
              </w:rPr>
              <w:t>4,114 B</w:t>
            </w:r>
          </w:p>
        </w:tc>
      </w:tr>
      <w:tr>
        <w:tc>
          <w:tcPr>
            <w:tcW w:type="dxa" w:w="3120"/>
            <w:shd w:val="clear" w:color="auto" w:fill="EDF1F5"/>
          </w:tcPr>
          <w:p>
            <w:pPr>
              <w:spacing w:after="0"/>
            </w:pPr>
            <w:r/>
            <w:r>
              <w:rPr>
                <w:sz w:val="19"/>
              </w:rPr>
              <w:t>pred_K_expected_losses.xlsx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6,904 B</w:t>
            </w:r>
          </w:p>
        </w:tc>
      </w:tr>
      <w:tr>
        <w:tc>
          <w:tcPr>
            <w:tcW w:type="dxa" w:w="3120"/>
          </w:tcPr>
          <w:p>
            <w:pPr>
              <w:spacing w:after="0"/>
            </w:pPr>
            <w:r/>
            <w:r>
              <w:rPr>
                <w:sz w:val="19"/>
              </w:rPr>
              <w:t>pred_L_timing_rationale.csv</w:t>
            </w:r>
          </w:p>
        </w:tc>
        <w:tc>
          <w:tcPr>
            <w:tcW w:type="dxa" w:w="3120"/>
          </w:tcPr>
          <w:p>
            <w:pPr>
              <w:spacing w:after="0"/>
            </w:pPr>
            <w:r/>
            <w:r>
              <w:rPr>
                <w:sz w:val="19"/>
              </w:rPr>
              <w:t>table</w:t>
            </w:r>
          </w:p>
        </w:tc>
        <w:tc>
          <w:tcPr>
            <w:tcW w:type="dxa" w:w="3120"/>
          </w:tcPr>
          <w:p>
            <w:pPr>
              <w:spacing w:after="0"/>
            </w:pPr>
            <w:r/>
            <w:r>
              <w:rPr>
                <w:sz w:val="19"/>
              </w:rPr>
              <w:t>977 B</w:t>
            </w:r>
          </w:p>
        </w:tc>
      </w:tr>
      <w:tr>
        <w:tc>
          <w:tcPr>
            <w:tcW w:type="dxa" w:w="3120"/>
            <w:shd w:val="clear" w:color="auto" w:fill="EDF1F5"/>
          </w:tcPr>
          <w:p>
            <w:pPr>
              <w:spacing w:after="0"/>
            </w:pPr>
            <w:r/>
            <w:r>
              <w:rPr>
                <w:sz w:val="19"/>
              </w:rPr>
              <w:t>pred_L_timing_rationale.tex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1,118 B</w:t>
            </w:r>
          </w:p>
        </w:tc>
      </w:tr>
      <w:tr>
        <w:tc>
          <w:tcPr>
            <w:tcW w:type="dxa" w:w="3120"/>
          </w:tcPr>
          <w:p>
            <w:pPr>
              <w:spacing w:after="0"/>
            </w:pPr>
            <w:r/>
            <w:r>
              <w:rPr>
                <w:sz w:val="19"/>
              </w:rPr>
              <w:t>pred_L_timing_rationale.xlsx</w:t>
            </w:r>
          </w:p>
        </w:tc>
        <w:tc>
          <w:tcPr>
            <w:tcW w:type="dxa" w:w="3120"/>
          </w:tcPr>
          <w:p>
            <w:pPr>
              <w:spacing w:after="0"/>
            </w:pPr>
            <w:r/>
            <w:r>
              <w:rPr>
                <w:sz w:val="19"/>
              </w:rPr>
              <w:t>table</w:t>
            </w:r>
          </w:p>
        </w:tc>
        <w:tc>
          <w:tcPr>
            <w:tcW w:type="dxa" w:w="3120"/>
          </w:tcPr>
          <w:p>
            <w:pPr>
              <w:spacing w:after="0"/>
            </w:pPr>
            <w:r/>
            <w:r>
              <w:rPr>
                <w:sz w:val="19"/>
              </w:rPr>
              <w:t>6,117 B</w:t>
            </w:r>
          </w:p>
        </w:tc>
      </w:tr>
      <w:tr>
        <w:tc>
          <w:tcPr>
            <w:tcW w:type="dxa" w:w="3120"/>
            <w:shd w:val="clear" w:color="auto" w:fill="EDF1F5"/>
          </w:tcPr>
          <w:p>
            <w:pPr>
              <w:spacing w:after="0"/>
            </w:pPr>
            <w:r/>
            <w:r>
              <w:rPr>
                <w:sz w:val="19"/>
              </w:rPr>
              <w:t>pred_M_ml_horserace.csv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620 B</w:t>
            </w:r>
          </w:p>
        </w:tc>
      </w:tr>
      <w:tr>
        <w:tc>
          <w:tcPr>
            <w:tcW w:type="dxa" w:w="3120"/>
          </w:tcPr>
          <w:p>
            <w:pPr>
              <w:spacing w:after="0"/>
            </w:pPr>
            <w:r/>
            <w:r>
              <w:rPr>
                <w:sz w:val="19"/>
              </w:rPr>
              <w:t>pred_M_ml_horserace.tex</w:t>
            </w:r>
          </w:p>
        </w:tc>
        <w:tc>
          <w:tcPr>
            <w:tcW w:type="dxa" w:w="3120"/>
          </w:tcPr>
          <w:p>
            <w:pPr>
              <w:spacing w:after="0"/>
            </w:pPr>
            <w:r/>
            <w:r>
              <w:rPr>
                <w:sz w:val="19"/>
              </w:rPr>
              <w:t>table</w:t>
            </w:r>
          </w:p>
        </w:tc>
        <w:tc>
          <w:tcPr>
            <w:tcW w:type="dxa" w:w="3120"/>
          </w:tcPr>
          <w:p>
            <w:pPr>
              <w:spacing w:after="0"/>
            </w:pPr>
            <w:r/>
            <w:r>
              <w:rPr>
                <w:sz w:val="19"/>
              </w:rPr>
              <w:t>836 B</w:t>
            </w:r>
          </w:p>
        </w:tc>
      </w:tr>
      <w:tr>
        <w:tc>
          <w:tcPr>
            <w:tcW w:type="dxa" w:w="3120"/>
            <w:shd w:val="clear" w:color="auto" w:fill="EDF1F5"/>
          </w:tcPr>
          <w:p>
            <w:pPr>
              <w:spacing w:after="0"/>
            </w:pPr>
            <w:r/>
            <w:r>
              <w:rPr>
                <w:sz w:val="19"/>
              </w:rPr>
              <w:t>pred_M_ml_horserace.xlsx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5,963 B</w:t>
            </w:r>
          </w:p>
        </w:tc>
      </w:tr>
      <w:tr>
        <w:tc>
          <w:tcPr>
            <w:tcW w:type="dxa" w:w="3120"/>
          </w:tcPr>
          <w:p>
            <w:pPr>
              <w:spacing w:after="0"/>
            </w:pPr>
            <w:r/>
            <w:r>
              <w:rPr>
                <w:sz w:val="19"/>
              </w:rPr>
              <w:t>pred_tables_index.csv</w:t>
            </w:r>
          </w:p>
        </w:tc>
        <w:tc>
          <w:tcPr>
            <w:tcW w:type="dxa" w:w="3120"/>
          </w:tcPr>
          <w:p>
            <w:pPr>
              <w:spacing w:after="0"/>
            </w:pPr>
            <w:r/>
            <w:r>
              <w:rPr>
                <w:sz w:val="19"/>
              </w:rPr>
              <w:t>table</w:t>
            </w:r>
          </w:p>
        </w:tc>
        <w:tc>
          <w:tcPr>
            <w:tcW w:type="dxa" w:w="3120"/>
          </w:tcPr>
          <w:p>
            <w:pPr>
              <w:spacing w:after="0"/>
            </w:pPr>
            <w:r/>
            <w:r>
              <w:rPr>
                <w:sz w:val="19"/>
              </w:rPr>
              <w:t>1,484 B</w:t>
            </w:r>
          </w:p>
        </w:tc>
      </w:tr>
      <w:tr>
        <w:tc>
          <w:tcPr>
            <w:tcW w:type="dxa" w:w="3120"/>
            <w:shd w:val="clear" w:color="auto" w:fill="EDF1F5"/>
          </w:tcPr>
          <w:p>
            <w:pPr>
              <w:spacing w:after="0"/>
            </w:pPr>
            <w:r/>
            <w:r>
              <w:rPr>
                <w:sz w:val="19"/>
              </w:rPr>
              <w:t>price_history_weekly.csv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102,171 B</w:t>
            </w:r>
          </w:p>
        </w:tc>
      </w:tr>
      <w:tr>
        <w:tc>
          <w:tcPr>
            <w:tcW w:type="dxa" w:w="3120"/>
          </w:tcPr>
          <w:p>
            <w:pPr>
              <w:spacing w:after="0"/>
            </w:pPr>
            <w:r/>
            <w:r>
              <w:rPr>
                <w:sz w:val="19"/>
              </w:rPr>
              <w:t>table_1.1.csv</w:t>
            </w:r>
          </w:p>
        </w:tc>
        <w:tc>
          <w:tcPr>
            <w:tcW w:type="dxa" w:w="3120"/>
          </w:tcPr>
          <w:p>
            <w:pPr>
              <w:spacing w:after="0"/>
            </w:pPr>
            <w:r/>
            <w:r>
              <w:rPr>
                <w:sz w:val="19"/>
              </w:rPr>
              <w:t>table</w:t>
            </w:r>
          </w:p>
        </w:tc>
        <w:tc>
          <w:tcPr>
            <w:tcW w:type="dxa" w:w="3120"/>
          </w:tcPr>
          <w:p>
            <w:pPr>
              <w:spacing w:after="0"/>
            </w:pPr>
            <w:r/>
            <w:r>
              <w:rPr>
                <w:sz w:val="19"/>
              </w:rPr>
              <w:t>158 B</w:t>
            </w:r>
          </w:p>
        </w:tc>
      </w:tr>
      <w:tr>
        <w:tc>
          <w:tcPr>
            <w:tcW w:type="dxa" w:w="3120"/>
            <w:shd w:val="clear" w:color="auto" w:fill="EDF1F5"/>
          </w:tcPr>
          <w:p>
            <w:pPr>
              <w:spacing w:after="0"/>
            </w:pPr>
            <w:r/>
            <w:r>
              <w:rPr>
                <w:sz w:val="19"/>
              </w:rPr>
              <w:t>table_1.1.tex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577 B</w:t>
            </w:r>
          </w:p>
        </w:tc>
      </w:tr>
      <w:tr>
        <w:tc>
          <w:tcPr>
            <w:tcW w:type="dxa" w:w="3120"/>
          </w:tcPr>
          <w:p>
            <w:pPr>
              <w:spacing w:after="0"/>
            </w:pPr>
            <w:r/>
            <w:r>
              <w:rPr>
                <w:sz w:val="19"/>
              </w:rPr>
              <w:t>table_1.1.xlsx</w:t>
            </w:r>
          </w:p>
        </w:tc>
        <w:tc>
          <w:tcPr>
            <w:tcW w:type="dxa" w:w="3120"/>
          </w:tcPr>
          <w:p>
            <w:pPr>
              <w:spacing w:after="0"/>
            </w:pPr>
            <w:r/>
            <w:r>
              <w:rPr>
                <w:sz w:val="19"/>
              </w:rPr>
              <w:t>table</w:t>
            </w:r>
          </w:p>
        </w:tc>
        <w:tc>
          <w:tcPr>
            <w:tcW w:type="dxa" w:w="3120"/>
          </w:tcPr>
          <w:p>
            <w:pPr>
              <w:spacing w:after="0"/>
            </w:pPr>
            <w:r/>
            <w:r>
              <w:rPr>
                <w:sz w:val="19"/>
              </w:rPr>
              <w:t>5,319 B</w:t>
            </w:r>
          </w:p>
        </w:tc>
      </w:tr>
      <w:tr>
        <w:tc>
          <w:tcPr>
            <w:tcW w:type="dxa" w:w="3120"/>
            <w:shd w:val="clear" w:color="auto" w:fill="EDF1F5"/>
          </w:tcPr>
          <w:p>
            <w:pPr>
              <w:spacing w:after="0"/>
            </w:pPr>
            <w:r/>
            <w:r>
              <w:rPr>
                <w:sz w:val="19"/>
              </w:rPr>
              <w:t>table_1.3.proj.csv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152 B</w:t>
            </w:r>
          </w:p>
        </w:tc>
      </w:tr>
      <w:tr>
        <w:tc>
          <w:tcPr>
            <w:tcW w:type="dxa" w:w="3120"/>
          </w:tcPr>
          <w:p>
            <w:pPr>
              <w:spacing w:after="0"/>
            </w:pPr>
            <w:r/>
            <w:r>
              <w:rPr>
                <w:sz w:val="19"/>
              </w:rPr>
              <w:t>table_1.3.proj.tex</w:t>
            </w:r>
          </w:p>
        </w:tc>
        <w:tc>
          <w:tcPr>
            <w:tcW w:type="dxa" w:w="3120"/>
          </w:tcPr>
          <w:p>
            <w:pPr>
              <w:spacing w:after="0"/>
            </w:pPr>
            <w:r/>
            <w:r>
              <w:rPr>
                <w:sz w:val="19"/>
              </w:rPr>
              <w:t>table</w:t>
            </w:r>
          </w:p>
        </w:tc>
        <w:tc>
          <w:tcPr>
            <w:tcW w:type="dxa" w:w="3120"/>
          </w:tcPr>
          <w:p>
            <w:pPr>
              <w:spacing w:after="0"/>
            </w:pPr>
            <w:r/>
            <w:r>
              <w:rPr>
                <w:sz w:val="19"/>
              </w:rPr>
              <w:t>537 B</w:t>
            </w:r>
          </w:p>
        </w:tc>
      </w:tr>
      <w:tr>
        <w:tc>
          <w:tcPr>
            <w:tcW w:type="dxa" w:w="3120"/>
            <w:shd w:val="clear" w:color="auto" w:fill="EDF1F5"/>
          </w:tcPr>
          <w:p>
            <w:pPr>
              <w:spacing w:after="0"/>
            </w:pPr>
            <w:r/>
            <w:r>
              <w:rPr>
                <w:sz w:val="19"/>
              </w:rPr>
              <w:t>table_1.3.proj.xlsx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5,288 B</w:t>
            </w:r>
          </w:p>
        </w:tc>
      </w:tr>
      <w:tr>
        <w:tc>
          <w:tcPr>
            <w:tcW w:type="dxa" w:w="3120"/>
          </w:tcPr>
          <w:p>
            <w:pPr>
              <w:spacing w:after="0"/>
            </w:pPr>
            <w:r/>
            <w:r>
              <w:rPr>
                <w:sz w:val="19"/>
              </w:rPr>
              <w:t>table_2.4.csv</w:t>
            </w:r>
          </w:p>
        </w:tc>
        <w:tc>
          <w:tcPr>
            <w:tcW w:type="dxa" w:w="3120"/>
          </w:tcPr>
          <w:p>
            <w:pPr>
              <w:spacing w:after="0"/>
            </w:pPr>
            <w:r/>
            <w:r>
              <w:rPr>
                <w:sz w:val="19"/>
              </w:rPr>
              <w:t>table</w:t>
            </w:r>
          </w:p>
        </w:tc>
        <w:tc>
          <w:tcPr>
            <w:tcW w:type="dxa" w:w="3120"/>
          </w:tcPr>
          <w:p>
            <w:pPr>
              <w:spacing w:after="0"/>
            </w:pPr>
            <w:r/>
            <w:r>
              <w:rPr>
                <w:sz w:val="19"/>
              </w:rPr>
              <w:t>191 B</w:t>
            </w:r>
          </w:p>
        </w:tc>
      </w:tr>
      <w:tr>
        <w:tc>
          <w:tcPr>
            <w:tcW w:type="dxa" w:w="3120"/>
            <w:shd w:val="clear" w:color="auto" w:fill="EDF1F5"/>
          </w:tcPr>
          <w:p>
            <w:pPr>
              <w:spacing w:after="0"/>
            </w:pPr>
            <w:r/>
            <w:r>
              <w:rPr>
                <w:sz w:val="19"/>
              </w:rPr>
              <w:t>table_2.4.tex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615 B</w:t>
            </w:r>
          </w:p>
        </w:tc>
      </w:tr>
      <w:tr>
        <w:tc>
          <w:tcPr>
            <w:tcW w:type="dxa" w:w="3120"/>
          </w:tcPr>
          <w:p>
            <w:pPr>
              <w:spacing w:after="0"/>
            </w:pPr>
            <w:r/>
            <w:r>
              <w:rPr>
                <w:sz w:val="19"/>
              </w:rPr>
              <w:t>table_2.4.xlsx</w:t>
            </w:r>
          </w:p>
        </w:tc>
        <w:tc>
          <w:tcPr>
            <w:tcW w:type="dxa" w:w="3120"/>
          </w:tcPr>
          <w:p>
            <w:pPr>
              <w:spacing w:after="0"/>
            </w:pPr>
            <w:r/>
            <w:r>
              <w:rPr>
                <w:sz w:val="19"/>
              </w:rPr>
              <w:t>table</w:t>
            </w:r>
          </w:p>
        </w:tc>
        <w:tc>
          <w:tcPr>
            <w:tcW w:type="dxa" w:w="3120"/>
          </w:tcPr>
          <w:p>
            <w:pPr>
              <w:spacing w:after="0"/>
            </w:pPr>
            <w:r/>
            <w:r>
              <w:rPr>
                <w:sz w:val="19"/>
              </w:rPr>
              <w:t>5,378 B</w:t>
            </w:r>
          </w:p>
        </w:tc>
      </w:tr>
      <w:tr>
        <w:tc>
          <w:tcPr>
            <w:tcW w:type="dxa" w:w="3120"/>
            <w:shd w:val="clear" w:color="auto" w:fill="EDF1F5"/>
          </w:tcPr>
          <w:p>
            <w:pPr>
              <w:spacing w:after="0"/>
            </w:pPr>
            <w:r/>
            <w:r>
              <w:rPr>
                <w:sz w:val="19"/>
              </w:rPr>
              <w:t>table_3.1.csv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197 B</w:t>
            </w:r>
          </w:p>
        </w:tc>
      </w:tr>
      <w:tr>
        <w:tc>
          <w:tcPr>
            <w:tcW w:type="dxa" w:w="3120"/>
          </w:tcPr>
          <w:p>
            <w:pPr>
              <w:spacing w:after="0"/>
            </w:pPr>
            <w:r/>
            <w:r>
              <w:rPr>
                <w:sz w:val="19"/>
              </w:rPr>
              <w:t>table_3.1.tex</w:t>
            </w:r>
          </w:p>
        </w:tc>
        <w:tc>
          <w:tcPr>
            <w:tcW w:type="dxa" w:w="3120"/>
          </w:tcPr>
          <w:p>
            <w:pPr>
              <w:spacing w:after="0"/>
            </w:pPr>
            <w:r/>
            <w:r>
              <w:rPr>
                <w:sz w:val="19"/>
              </w:rPr>
              <w:t>table</w:t>
            </w:r>
          </w:p>
        </w:tc>
        <w:tc>
          <w:tcPr>
            <w:tcW w:type="dxa" w:w="3120"/>
          </w:tcPr>
          <w:p>
            <w:pPr>
              <w:spacing w:after="0"/>
            </w:pPr>
            <w:r/>
            <w:r>
              <w:rPr>
                <w:sz w:val="19"/>
              </w:rPr>
              <w:t>598 B</w:t>
            </w:r>
          </w:p>
        </w:tc>
      </w:tr>
      <w:tr>
        <w:tc>
          <w:tcPr>
            <w:tcW w:type="dxa" w:w="3120"/>
            <w:shd w:val="clear" w:color="auto" w:fill="EDF1F5"/>
          </w:tcPr>
          <w:p>
            <w:pPr>
              <w:spacing w:after="0"/>
            </w:pPr>
            <w:r/>
            <w:r>
              <w:rPr>
                <w:sz w:val="19"/>
              </w:rPr>
              <w:t>table_3.1.xlsx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5,293 B</w:t>
            </w:r>
          </w:p>
        </w:tc>
      </w:tr>
      <w:tr>
        <w:tc>
          <w:tcPr>
            <w:tcW w:type="dxa" w:w="3120"/>
          </w:tcPr>
          <w:p>
            <w:pPr>
              <w:spacing w:after="0"/>
            </w:pPr>
            <w:r/>
            <w:r>
              <w:rPr>
                <w:sz w:val="19"/>
              </w:rPr>
              <w:t>table_3.2.csv</w:t>
            </w:r>
          </w:p>
        </w:tc>
        <w:tc>
          <w:tcPr>
            <w:tcW w:type="dxa" w:w="3120"/>
          </w:tcPr>
          <w:p>
            <w:pPr>
              <w:spacing w:after="0"/>
            </w:pPr>
            <w:r/>
            <w:r>
              <w:rPr>
                <w:sz w:val="19"/>
              </w:rPr>
              <w:t>table</w:t>
            </w:r>
          </w:p>
        </w:tc>
        <w:tc>
          <w:tcPr>
            <w:tcW w:type="dxa" w:w="3120"/>
          </w:tcPr>
          <w:p>
            <w:pPr>
              <w:spacing w:after="0"/>
            </w:pPr>
            <w:r/>
            <w:r>
              <w:rPr>
                <w:sz w:val="19"/>
              </w:rPr>
              <w:t>185 B</w:t>
            </w:r>
          </w:p>
        </w:tc>
      </w:tr>
      <w:tr>
        <w:tc>
          <w:tcPr>
            <w:tcW w:type="dxa" w:w="3120"/>
            <w:shd w:val="clear" w:color="auto" w:fill="EDF1F5"/>
          </w:tcPr>
          <w:p>
            <w:pPr>
              <w:spacing w:after="0"/>
            </w:pPr>
            <w:r/>
            <w:r>
              <w:rPr>
                <w:sz w:val="19"/>
              </w:rPr>
              <w:t>table_3.2.tex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584 B</w:t>
            </w:r>
          </w:p>
        </w:tc>
      </w:tr>
      <w:tr>
        <w:tc>
          <w:tcPr>
            <w:tcW w:type="dxa" w:w="3120"/>
          </w:tcPr>
          <w:p>
            <w:pPr>
              <w:spacing w:after="0"/>
            </w:pPr>
            <w:r/>
            <w:r>
              <w:rPr>
                <w:sz w:val="19"/>
              </w:rPr>
              <w:t>table_3.2.xlsx</w:t>
            </w:r>
          </w:p>
        </w:tc>
        <w:tc>
          <w:tcPr>
            <w:tcW w:type="dxa" w:w="3120"/>
          </w:tcPr>
          <w:p>
            <w:pPr>
              <w:spacing w:after="0"/>
            </w:pPr>
            <w:r/>
            <w:r>
              <w:rPr>
                <w:sz w:val="19"/>
              </w:rPr>
              <w:t>table</w:t>
            </w:r>
          </w:p>
        </w:tc>
        <w:tc>
          <w:tcPr>
            <w:tcW w:type="dxa" w:w="3120"/>
          </w:tcPr>
          <w:p>
            <w:pPr>
              <w:spacing w:after="0"/>
            </w:pPr>
            <w:r/>
            <w:r>
              <w:rPr>
                <w:sz w:val="19"/>
              </w:rPr>
              <w:t>5,291 B</w:t>
            </w:r>
          </w:p>
        </w:tc>
      </w:tr>
      <w:tr>
        <w:tc>
          <w:tcPr>
            <w:tcW w:type="dxa" w:w="3120"/>
            <w:shd w:val="clear" w:color="auto" w:fill="EDF1F5"/>
          </w:tcPr>
          <w:p>
            <w:pPr>
              <w:spacing w:after="0"/>
            </w:pPr>
            <w:r/>
            <w:r>
              <w:rPr>
                <w:sz w:val="19"/>
              </w:rPr>
              <w:t>table_3.4.csv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731 B</w:t>
            </w:r>
          </w:p>
        </w:tc>
      </w:tr>
      <w:tr>
        <w:tc>
          <w:tcPr>
            <w:tcW w:type="dxa" w:w="3120"/>
          </w:tcPr>
          <w:p>
            <w:pPr>
              <w:spacing w:after="0"/>
            </w:pPr>
            <w:r/>
            <w:r>
              <w:rPr>
                <w:sz w:val="19"/>
              </w:rPr>
              <w:t>table_3.4.tex</w:t>
            </w:r>
          </w:p>
        </w:tc>
        <w:tc>
          <w:tcPr>
            <w:tcW w:type="dxa" w:w="3120"/>
          </w:tcPr>
          <w:p>
            <w:pPr>
              <w:spacing w:after="0"/>
            </w:pPr>
            <w:r/>
            <w:r>
              <w:rPr>
                <w:sz w:val="19"/>
              </w:rPr>
              <w:t>table</w:t>
            </w:r>
          </w:p>
        </w:tc>
        <w:tc>
          <w:tcPr>
            <w:tcW w:type="dxa" w:w="3120"/>
          </w:tcPr>
          <w:p>
            <w:pPr>
              <w:spacing w:after="0"/>
            </w:pPr>
            <w:r/>
            <w:r>
              <w:rPr>
                <w:sz w:val="19"/>
              </w:rPr>
              <w:t>1,215 B</w:t>
            </w:r>
          </w:p>
        </w:tc>
      </w:tr>
      <w:tr>
        <w:tc>
          <w:tcPr>
            <w:tcW w:type="dxa" w:w="3120"/>
            <w:shd w:val="clear" w:color="auto" w:fill="EDF1F5"/>
          </w:tcPr>
          <w:p>
            <w:pPr>
              <w:spacing w:after="0"/>
            </w:pPr>
            <w:r/>
            <w:r>
              <w:rPr>
                <w:sz w:val="19"/>
              </w:rPr>
              <w:t>table_3.4.xlsx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5,633 B</w:t>
            </w:r>
          </w:p>
        </w:tc>
      </w:tr>
      <w:tr>
        <w:tc>
          <w:tcPr>
            <w:tcW w:type="dxa" w:w="3120"/>
          </w:tcPr>
          <w:p>
            <w:pPr>
              <w:spacing w:after="0"/>
            </w:pPr>
            <w:r/>
            <w:r>
              <w:rPr>
                <w:sz w:val="19"/>
              </w:rPr>
              <w:t>table_3.5_welfare_benchmark_audit.csv</w:t>
            </w:r>
          </w:p>
        </w:tc>
        <w:tc>
          <w:tcPr>
            <w:tcW w:type="dxa" w:w="3120"/>
          </w:tcPr>
          <w:p>
            <w:pPr>
              <w:spacing w:after="0"/>
            </w:pPr>
            <w:r/>
            <w:r>
              <w:rPr>
                <w:sz w:val="19"/>
              </w:rPr>
              <w:t>table</w:t>
            </w:r>
          </w:p>
        </w:tc>
        <w:tc>
          <w:tcPr>
            <w:tcW w:type="dxa" w:w="3120"/>
          </w:tcPr>
          <w:p>
            <w:pPr>
              <w:spacing w:after="0"/>
            </w:pPr>
            <w:r/>
            <w:r>
              <w:rPr>
                <w:sz w:val="19"/>
              </w:rPr>
              <w:t>2,133 B</w:t>
            </w:r>
          </w:p>
        </w:tc>
      </w:tr>
      <w:tr>
        <w:tc>
          <w:tcPr>
            <w:tcW w:type="dxa" w:w="3120"/>
            <w:shd w:val="clear" w:color="auto" w:fill="EDF1F5"/>
          </w:tcPr>
          <w:p>
            <w:pPr>
              <w:spacing w:after="0"/>
            </w:pPr>
            <w:r/>
            <w:r>
              <w:rPr>
                <w:sz w:val="19"/>
              </w:rPr>
              <w:t>table_3.5_welfare_benchmark_audit.tex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2,320 B</w:t>
            </w:r>
          </w:p>
        </w:tc>
      </w:tr>
      <w:tr>
        <w:tc>
          <w:tcPr>
            <w:tcW w:type="dxa" w:w="3120"/>
          </w:tcPr>
          <w:p>
            <w:pPr>
              <w:spacing w:after="0"/>
            </w:pPr>
            <w:r/>
            <w:r>
              <w:rPr>
                <w:sz w:val="19"/>
              </w:rPr>
              <w:t>table_3.5_welfare_benchmark_audit.xlsx</w:t>
            </w:r>
          </w:p>
        </w:tc>
        <w:tc>
          <w:tcPr>
            <w:tcW w:type="dxa" w:w="3120"/>
          </w:tcPr>
          <w:p>
            <w:pPr>
              <w:spacing w:after="0"/>
            </w:pPr>
            <w:r/>
            <w:r>
              <w:rPr>
                <w:sz w:val="19"/>
              </w:rPr>
              <w:t>table</w:t>
            </w:r>
          </w:p>
        </w:tc>
        <w:tc>
          <w:tcPr>
            <w:tcW w:type="dxa" w:w="3120"/>
          </w:tcPr>
          <w:p>
            <w:pPr>
              <w:spacing w:after="0"/>
            </w:pPr>
            <w:r/>
            <w:r>
              <w:rPr>
                <w:sz w:val="19"/>
              </w:rPr>
              <w:t>6,398 B</w:t>
            </w:r>
          </w:p>
        </w:tc>
      </w:tr>
      <w:tr>
        <w:tc>
          <w:tcPr>
            <w:tcW w:type="dxa" w:w="3120"/>
            <w:shd w:val="clear" w:color="auto" w:fill="EDF1F5"/>
          </w:tcPr>
          <w:p>
            <w:pPr>
              <w:spacing w:after="0"/>
            </w:pPr>
            <w:r/>
            <w:r>
              <w:rPr>
                <w:sz w:val="19"/>
              </w:rPr>
              <w:t>table_3.6_equilibrium_multiplicity.csv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1,964 B</w:t>
            </w:r>
          </w:p>
        </w:tc>
      </w:tr>
      <w:tr>
        <w:tc>
          <w:tcPr>
            <w:tcW w:type="dxa" w:w="3120"/>
          </w:tcPr>
          <w:p>
            <w:pPr>
              <w:spacing w:after="0"/>
            </w:pPr>
            <w:r/>
            <w:r>
              <w:rPr>
                <w:sz w:val="19"/>
              </w:rPr>
              <w:t>table_3.6_equilibrium_multiplicity.tex</w:t>
            </w:r>
          </w:p>
        </w:tc>
        <w:tc>
          <w:tcPr>
            <w:tcW w:type="dxa" w:w="3120"/>
          </w:tcPr>
          <w:p>
            <w:pPr>
              <w:spacing w:after="0"/>
            </w:pPr>
            <w:r/>
            <w:r>
              <w:rPr>
                <w:sz w:val="19"/>
              </w:rPr>
              <w:t>table</w:t>
            </w:r>
          </w:p>
        </w:tc>
        <w:tc>
          <w:tcPr>
            <w:tcW w:type="dxa" w:w="3120"/>
          </w:tcPr>
          <w:p>
            <w:pPr>
              <w:spacing w:after="0"/>
            </w:pPr>
            <w:r/>
            <w:r>
              <w:rPr>
                <w:sz w:val="19"/>
              </w:rPr>
              <w:t>2,539 B</w:t>
            </w:r>
          </w:p>
        </w:tc>
      </w:tr>
      <w:tr>
        <w:tc>
          <w:tcPr>
            <w:tcW w:type="dxa" w:w="3120"/>
            <w:shd w:val="clear" w:color="auto" w:fill="EDF1F5"/>
          </w:tcPr>
          <w:p>
            <w:pPr>
              <w:spacing w:after="0"/>
            </w:pPr>
            <w:r/>
            <w:r>
              <w:rPr>
                <w:sz w:val="19"/>
              </w:rPr>
              <w:t>table_3.6_equilibrium_multiplicity.xlsx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6,094 B</w:t>
            </w:r>
          </w:p>
        </w:tc>
      </w:tr>
      <w:tr>
        <w:tc>
          <w:tcPr>
            <w:tcW w:type="dxa" w:w="3120"/>
          </w:tcPr>
          <w:p>
            <w:pPr>
              <w:spacing w:after="0"/>
            </w:pPr>
            <w:r/>
            <w:r>
              <w:rPr>
                <w:sz w:val="19"/>
              </w:rPr>
              <w:t>table_3.7_repeated_game_sustainability.csv</w:t>
            </w:r>
          </w:p>
        </w:tc>
        <w:tc>
          <w:tcPr>
            <w:tcW w:type="dxa" w:w="3120"/>
          </w:tcPr>
          <w:p>
            <w:pPr>
              <w:spacing w:after="0"/>
            </w:pPr>
            <w:r/>
            <w:r>
              <w:rPr>
                <w:sz w:val="19"/>
              </w:rPr>
              <w:t>table</w:t>
            </w:r>
          </w:p>
        </w:tc>
        <w:tc>
          <w:tcPr>
            <w:tcW w:type="dxa" w:w="3120"/>
          </w:tcPr>
          <w:p>
            <w:pPr>
              <w:spacing w:after="0"/>
            </w:pPr>
            <w:r/>
            <w:r>
              <w:rPr>
                <w:sz w:val="19"/>
              </w:rPr>
              <w:t>1,019 B</w:t>
            </w:r>
          </w:p>
        </w:tc>
      </w:tr>
      <w:tr>
        <w:tc>
          <w:tcPr>
            <w:tcW w:type="dxa" w:w="3120"/>
            <w:shd w:val="clear" w:color="auto" w:fill="EDF1F5"/>
          </w:tcPr>
          <w:p>
            <w:pPr>
              <w:spacing w:after="0"/>
            </w:pPr>
            <w:r/>
            <w:r>
              <w:rPr>
                <w:sz w:val="19"/>
              </w:rPr>
              <w:t>table_3.7_repeated_game_sustainability.tex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1,575 B</w:t>
            </w:r>
          </w:p>
        </w:tc>
      </w:tr>
      <w:tr>
        <w:tc>
          <w:tcPr>
            <w:tcW w:type="dxa" w:w="3120"/>
          </w:tcPr>
          <w:p>
            <w:pPr>
              <w:spacing w:after="0"/>
            </w:pPr>
            <w:r/>
            <w:r>
              <w:rPr>
                <w:sz w:val="19"/>
              </w:rPr>
              <w:t>table_3.7_repeated_game_sustainability.xlsx</w:t>
            </w:r>
          </w:p>
        </w:tc>
        <w:tc>
          <w:tcPr>
            <w:tcW w:type="dxa" w:w="3120"/>
          </w:tcPr>
          <w:p>
            <w:pPr>
              <w:spacing w:after="0"/>
            </w:pPr>
            <w:r/>
            <w:r>
              <w:rPr>
                <w:sz w:val="19"/>
              </w:rPr>
              <w:t>table</w:t>
            </w:r>
          </w:p>
        </w:tc>
        <w:tc>
          <w:tcPr>
            <w:tcW w:type="dxa" w:w="3120"/>
          </w:tcPr>
          <w:p>
            <w:pPr>
              <w:spacing w:after="0"/>
            </w:pPr>
            <w:r/>
            <w:r>
              <w:rPr>
                <w:sz w:val="19"/>
              </w:rPr>
              <w:t>5,654 B</w:t>
            </w:r>
          </w:p>
        </w:tc>
      </w:tr>
      <w:tr>
        <w:tc>
          <w:tcPr>
            <w:tcW w:type="dxa" w:w="3120"/>
            <w:shd w:val="clear" w:color="auto" w:fill="EDF1F5"/>
          </w:tcPr>
          <w:p>
            <w:pPr>
              <w:spacing w:after="0"/>
            </w:pPr>
            <w:r/>
            <w:r>
              <w:rPr>
                <w:sz w:val="19"/>
              </w:rPr>
              <w:t>table_4.1.csv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363 B</w:t>
            </w:r>
          </w:p>
        </w:tc>
      </w:tr>
      <w:tr>
        <w:tc>
          <w:tcPr>
            <w:tcW w:type="dxa" w:w="3120"/>
          </w:tcPr>
          <w:p>
            <w:pPr>
              <w:spacing w:after="0"/>
            </w:pPr>
            <w:r/>
            <w:r>
              <w:rPr>
                <w:sz w:val="19"/>
              </w:rPr>
              <w:t>table_4.1.tex</w:t>
            </w:r>
          </w:p>
        </w:tc>
        <w:tc>
          <w:tcPr>
            <w:tcW w:type="dxa" w:w="3120"/>
          </w:tcPr>
          <w:p>
            <w:pPr>
              <w:spacing w:after="0"/>
            </w:pPr>
            <w:r/>
            <w:r>
              <w:rPr>
                <w:sz w:val="19"/>
              </w:rPr>
              <w:t>table</w:t>
            </w:r>
          </w:p>
        </w:tc>
        <w:tc>
          <w:tcPr>
            <w:tcW w:type="dxa" w:w="3120"/>
          </w:tcPr>
          <w:p>
            <w:pPr>
              <w:spacing w:after="0"/>
            </w:pPr>
            <w:r/>
            <w:r>
              <w:rPr>
                <w:sz w:val="19"/>
              </w:rPr>
              <w:t>829 B</w:t>
            </w:r>
          </w:p>
        </w:tc>
      </w:tr>
      <w:tr>
        <w:tc>
          <w:tcPr>
            <w:tcW w:type="dxa" w:w="3120"/>
            <w:shd w:val="clear" w:color="auto" w:fill="EDF1F5"/>
          </w:tcPr>
          <w:p>
            <w:pPr>
              <w:spacing w:after="0"/>
            </w:pPr>
            <w:r/>
            <w:r>
              <w:rPr>
                <w:sz w:val="19"/>
              </w:rPr>
              <w:t>table_4.1.xlsx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5,499 B</w:t>
            </w:r>
          </w:p>
        </w:tc>
      </w:tr>
      <w:tr>
        <w:tc>
          <w:tcPr>
            <w:tcW w:type="dxa" w:w="3120"/>
          </w:tcPr>
          <w:p>
            <w:pPr>
              <w:spacing w:after="0"/>
            </w:pPr>
            <w:r/>
            <w:r>
              <w:rPr>
                <w:sz w:val="19"/>
              </w:rPr>
              <w:t>table_5.3.csv</w:t>
            </w:r>
          </w:p>
        </w:tc>
        <w:tc>
          <w:tcPr>
            <w:tcW w:type="dxa" w:w="3120"/>
          </w:tcPr>
          <w:p>
            <w:pPr>
              <w:spacing w:after="0"/>
            </w:pPr>
            <w:r/>
            <w:r>
              <w:rPr>
                <w:sz w:val="19"/>
              </w:rPr>
              <w:t>table</w:t>
            </w:r>
          </w:p>
        </w:tc>
        <w:tc>
          <w:tcPr>
            <w:tcW w:type="dxa" w:w="3120"/>
          </w:tcPr>
          <w:p>
            <w:pPr>
              <w:spacing w:after="0"/>
            </w:pPr>
            <w:r/>
            <w:r>
              <w:rPr>
                <w:sz w:val="19"/>
              </w:rPr>
              <w:t>254 B</w:t>
            </w:r>
          </w:p>
        </w:tc>
      </w:tr>
      <w:tr>
        <w:tc>
          <w:tcPr>
            <w:tcW w:type="dxa" w:w="3120"/>
            <w:shd w:val="clear" w:color="auto" w:fill="EDF1F5"/>
          </w:tcPr>
          <w:p>
            <w:pPr>
              <w:spacing w:after="0"/>
            </w:pPr>
            <w:r/>
            <w:r>
              <w:rPr>
                <w:sz w:val="19"/>
              </w:rPr>
              <w:t>table_5.3.tex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684 B</w:t>
            </w:r>
          </w:p>
        </w:tc>
      </w:tr>
      <w:tr>
        <w:tc>
          <w:tcPr>
            <w:tcW w:type="dxa" w:w="3120"/>
          </w:tcPr>
          <w:p>
            <w:pPr>
              <w:spacing w:after="0"/>
            </w:pPr>
            <w:r/>
            <w:r>
              <w:rPr>
                <w:sz w:val="19"/>
              </w:rPr>
              <w:t>table_5.3.xlsx</w:t>
            </w:r>
          </w:p>
        </w:tc>
        <w:tc>
          <w:tcPr>
            <w:tcW w:type="dxa" w:w="3120"/>
          </w:tcPr>
          <w:p>
            <w:pPr>
              <w:spacing w:after="0"/>
            </w:pPr>
            <w:r/>
            <w:r>
              <w:rPr>
                <w:sz w:val="19"/>
              </w:rPr>
              <w:t>table</w:t>
            </w:r>
          </w:p>
        </w:tc>
        <w:tc>
          <w:tcPr>
            <w:tcW w:type="dxa" w:w="3120"/>
          </w:tcPr>
          <w:p>
            <w:pPr>
              <w:spacing w:after="0"/>
            </w:pPr>
            <w:r/>
            <w:r>
              <w:rPr>
                <w:sz w:val="19"/>
              </w:rPr>
              <w:t>5,407 B</w:t>
            </w:r>
          </w:p>
        </w:tc>
      </w:tr>
      <w:tr>
        <w:tc>
          <w:tcPr>
            <w:tcW w:type="dxa" w:w="3120"/>
            <w:shd w:val="clear" w:color="auto" w:fill="EDF1F5"/>
          </w:tcPr>
          <w:p>
            <w:pPr>
              <w:spacing w:after="0"/>
            </w:pPr>
            <w:r/>
            <w:r>
              <w:rPr>
                <w:sz w:val="19"/>
              </w:rPr>
              <w:t>table_5.4.coop.csv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239 B</w:t>
            </w:r>
          </w:p>
        </w:tc>
      </w:tr>
      <w:tr>
        <w:tc>
          <w:tcPr>
            <w:tcW w:type="dxa" w:w="3120"/>
          </w:tcPr>
          <w:p>
            <w:pPr>
              <w:spacing w:after="0"/>
            </w:pPr>
            <w:r/>
            <w:r>
              <w:rPr>
                <w:sz w:val="19"/>
              </w:rPr>
              <w:t>table_5.4.coop.tex</w:t>
            </w:r>
          </w:p>
        </w:tc>
        <w:tc>
          <w:tcPr>
            <w:tcW w:type="dxa" w:w="3120"/>
          </w:tcPr>
          <w:p>
            <w:pPr>
              <w:spacing w:after="0"/>
            </w:pPr>
            <w:r/>
            <w:r>
              <w:rPr>
                <w:sz w:val="19"/>
              </w:rPr>
              <w:t>table</w:t>
            </w:r>
          </w:p>
        </w:tc>
        <w:tc>
          <w:tcPr>
            <w:tcW w:type="dxa" w:w="3120"/>
          </w:tcPr>
          <w:p>
            <w:pPr>
              <w:spacing w:after="0"/>
            </w:pPr>
            <w:r/>
            <w:r>
              <w:rPr>
                <w:sz w:val="19"/>
              </w:rPr>
              <w:t>706 B</w:t>
            </w:r>
          </w:p>
        </w:tc>
      </w:tr>
      <w:tr>
        <w:tc>
          <w:tcPr>
            <w:tcW w:type="dxa" w:w="3120"/>
            <w:shd w:val="clear" w:color="auto" w:fill="EDF1F5"/>
          </w:tcPr>
          <w:p>
            <w:pPr>
              <w:spacing w:after="0"/>
            </w:pPr>
            <w:r/>
            <w:r>
              <w:rPr>
                <w:sz w:val="19"/>
              </w:rPr>
              <w:t>table_5.4.coop.xlsx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5,414 B</w:t>
            </w:r>
          </w:p>
        </w:tc>
      </w:tr>
      <w:tr>
        <w:tc>
          <w:tcPr>
            <w:tcW w:type="dxa" w:w="3120"/>
          </w:tcPr>
          <w:p>
            <w:pPr>
              <w:spacing w:after="0"/>
            </w:pPr>
            <w:r/>
            <w:r>
              <w:rPr>
                <w:sz w:val="19"/>
              </w:rPr>
              <w:t>table_5.4.csv</w:t>
            </w:r>
          </w:p>
        </w:tc>
        <w:tc>
          <w:tcPr>
            <w:tcW w:type="dxa" w:w="3120"/>
          </w:tcPr>
          <w:p>
            <w:pPr>
              <w:spacing w:after="0"/>
            </w:pPr>
            <w:r/>
            <w:r>
              <w:rPr>
                <w:sz w:val="19"/>
              </w:rPr>
              <w:t>table</w:t>
            </w:r>
          </w:p>
        </w:tc>
        <w:tc>
          <w:tcPr>
            <w:tcW w:type="dxa" w:w="3120"/>
          </w:tcPr>
          <w:p>
            <w:pPr>
              <w:spacing w:after="0"/>
            </w:pPr>
            <w:r/>
            <w:r>
              <w:rPr>
                <w:sz w:val="19"/>
              </w:rPr>
              <w:t>944 B</w:t>
            </w:r>
          </w:p>
        </w:tc>
      </w:tr>
      <w:tr>
        <w:tc>
          <w:tcPr>
            <w:tcW w:type="dxa" w:w="3120"/>
            <w:shd w:val="clear" w:color="auto" w:fill="EDF1F5"/>
          </w:tcPr>
          <w:p>
            <w:pPr>
              <w:spacing w:after="0"/>
            </w:pPr>
            <w:r/>
            <w:r>
              <w:rPr>
                <w:sz w:val="19"/>
              </w:rPr>
              <w:t>table_5.4.tex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1,571 B</w:t>
            </w:r>
          </w:p>
        </w:tc>
      </w:tr>
      <w:tr>
        <w:tc>
          <w:tcPr>
            <w:tcW w:type="dxa" w:w="3120"/>
          </w:tcPr>
          <w:p>
            <w:pPr>
              <w:spacing w:after="0"/>
            </w:pPr>
            <w:r/>
            <w:r>
              <w:rPr>
                <w:sz w:val="19"/>
              </w:rPr>
              <w:t>table_5.4.xlsx</w:t>
            </w:r>
          </w:p>
        </w:tc>
        <w:tc>
          <w:tcPr>
            <w:tcW w:type="dxa" w:w="3120"/>
          </w:tcPr>
          <w:p>
            <w:pPr>
              <w:spacing w:after="0"/>
            </w:pPr>
            <w:r/>
            <w:r>
              <w:rPr>
                <w:sz w:val="19"/>
              </w:rPr>
              <w:t>table</w:t>
            </w:r>
          </w:p>
        </w:tc>
        <w:tc>
          <w:tcPr>
            <w:tcW w:type="dxa" w:w="3120"/>
          </w:tcPr>
          <w:p>
            <w:pPr>
              <w:spacing w:after="0"/>
            </w:pPr>
            <w:r/>
            <w:r>
              <w:rPr>
                <w:sz w:val="19"/>
              </w:rPr>
              <w:t>5,959 B</w:t>
            </w:r>
          </w:p>
        </w:tc>
      </w:tr>
      <w:tr>
        <w:tc>
          <w:tcPr>
            <w:tcW w:type="dxa" w:w="3120"/>
            <w:shd w:val="clear" w:color="auto" w:fill="EDF1F5"/>
          </w:tcPr>
          <w:p>
            <w:pPr>
              <w:spacing w:after="0"/>
            </w:pPr>
            <w:r/>
            <w:r>
              <w:rPr>
                <w:sz w:val="19"/>
              </w:rPr>
              <w:t>table_6.1.6.3.csv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671 B</w:t>
            </w:r>
          </w:p>
        </w:tc>
      </w:tr>
      <w:tr>
        <w:tc>
          <w:tcPr>
            <w:tcW w:type="dxa" w:w="3120"/>
          </w:tcPr>
          <w:p>
            <w:pPr>
              <w:spacing w:after="0"/>
            </w:pPr>
            <w:r/>
            <w:r>
              <w:rPr>
                <w:sz w:val="19"/>
              </w:rPr>
              <w:t>table_6.1.6.3.tex</w:t>
            </w:r>
          </w:p>
        </w:tc>
        <w:tc>
          <w:tcPr>
            <w:tcW w:type="dxa" w:w="3120"/>
          </w:tcPr>
          <w:p>
            <w:pPr>
              <w:spacing w:after="0"/>
            </w:pPr>
            <w:r/>
            <w:r>
              <w:rPr>
                <w:sz w:val="19"/>
              </w:rPr>
              <w:t>table</w:t>
            </w:r>
          </w:p>
        </w:tc>
        <w:tc>
          <w:tcPr>
            <w:tcW w:type="dxa" w:w="3120"/>
          </w:tcPr>
          <w:p>
            <w:pPr>
              <w:spacing w:after="0"/>
            </w:pPr>
            <w:r/>
            <w:r>
              <w:rPr>
                <w:sz w:val="19"/>
              </w:rPr>
              <w:t>1,163 B</w:t>
            </w:r>
          </w:p>
        </w:tc>
      </w:tr>
      <w:tr>
        <w:tc>
          <w:tcPr>
            <w:tcW w:type="dxa" w:w="3120"/>
            <w:shd w:val="clear" w:color="auto" w:fill="EDF1F5"/>
          </w:tcPr>
          <w:p>
            <w:pPr>
              <w:spacing w:after="0"/>
            </w:pPr>
            <w:r/>
            <w:r>
              <w:rPr>
                <w:sz w:val="19"/>
              </w:rPr>
              <w:t>table_6.1.6.3.xlsx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5,763 B</w:t>
            </w:r>
          </w:p>
        </w:tc>
      </w:tr>
      <w:tr>
        <w:tc>
          <w:tcPr>
            <w:tcW w:type="dxa" w:w="3120"/>
          </w:tcPr>
          <w:p>
            <w:pPr>
              <w:spacing w:after="0"/>
            </w:pPr>
            <w:r/>
            <w:r>
              <w:rPr>
                <w:sz w:val="19"/>
              </w:rPr>
              <w:t>table_6.4.bcr.break.even.csv</w:t>
            </w:r>
          </w:p>
        </w:tc>
        <w:tc>
          <w:tcPr>
            <w:tcW w:type="dxa" w:w="3120"/>
          </w:tcPr>
          <w:p>
            <w:pPr>
              <w:spacing w:after="0"/>
            </w:pPr>
            <w:r/>
            <w:r>
              <w:rPr>
                <w:sz w:val="19"/>
              </w:rPr>
              <w:t>table</w:t>
            </w:r>
          </w:p>
        </w:tc>
        <w:tc>
          <w:tcPr>
            <w:tcW w:type="dxa" w:w="3120"/>
          </w:tcPr>
          <w:p>
            <w:pPr>
              <w:spacing w:after="0"/>
            </w:pPr>
            <w:r/>
            <w:r>
              <w:rPr>
                <w:sz w:val="19"/>
              </w:rPr>
              <w:t>1,054 B</w:t>
            </w:r>
          </w:p>
        </w:tc>
      </w:tr>
      <w:tr>
        <w:tc>
          <w:tcPr>
            <w:tcW w:type="dxa" w:w="3120"/>
            <w:shd w:val="clear" w:color="auto" w:fill="EDF1F5"/>
          </w:tcPr>
          <w:p>
            <w:pPr>
              <w:spacing w:after="0"/>
            </w:pPr>
            <w:r/>
            <w:r>
              <w:rPr>
                <w:sz w:val="19"/>
              </w:rPr>
              <w:t>table_6.4.bcr.break.even.tex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1,546 B</w:t>
            </w:r>
          </w:p>
        </w:tc>
      </w:tr>
      <w:tr>
        <w:tc>
          <w:tcPr>
            <w:tcW w:type="dxa" w:w="3120"/>
          </w:tcPr>
          <w:p>
            <w:pPr>
              <w:spacing w:after="0"/>
            </w:pPr>
            <w:r/>
            <w:r>
              <w:rPr>
                <w:sz w:val="19"/>
              </w:rPr>
              <w:t>table_6.4.bcr.break.even.xlsx</w:t>
            </w:r>
          </w:p>
        </w:tc>
        <w:tc>
          <w:tcPr>
            <w:tcW w:type="dxa" w:w="3120"/>
          </w:tcPr>
          <w:p>
            <w:pPr>
              <w:spacing w:after="0"/>
            </w:pPr>
            <w:r/>
            <w:r>
              <w:rPr>
                <w:sz w:val="19"/>
              </w:rPr>
              <w:t>table</w:t>
            </w:r>
          </w:p>
        </w:tc>
        <w:tc>
          <w:tcPr>
            <w:tcW w:type="dxa" w:w="3120"/>
          </w:tcPr>
          <w:p>
            <w:pPr>
              <w:spacing w:after="0"/>
            </w:pPr>
            <w:r/>
            <w:r>
              <w:rPr>
                <w:sz w:val="19"/>
              </w:rPr>
              <w:t>6,143 B</w:t>
            </w:r>
          </w:p>
        </w:tc>
      </w:tr>
      <w:tr>
        <w:tc>
          <w:tcPr>
            <w:tcW w:type="dxa" w:w="3120"/>
            <w:shd w:val="clear" w:color="auto" w:fill="EDF1F5"/>
          </w:tcPr>
          <w:p>
            <w:pPr>
              <w:spacing w:after="0"/>
            </w:pPr>
            <w:r/>
            <w:r>
              <w:rPr>
                <w:sz w:val="19"/>
              </w:rPr>
              <w:t>table_7.10_bubble_formation.csv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340 B</w:t>
            </w:r>
          </w:p>
        </w:tc>
      </w:tr>
      <w:tr>
        <w:tc>
          <w:tcPr>
            <w:tcW w:type="dxa" w:w="3120"/>
          </w:tcPr>
          <w:p>
            <w:pPr>
              <w:spacing w:after="0"/>
            </w:pPr>
            <w:r/>
            <w:r>
              <w:rPr>
                <w:sz w:val="19"/>
              </w:rPr>
              <w:t>table_7.10_bubble_formation.tex</w:t>
            </w:r>
          </w:p>
        </w:tc>
        <w:tc>
          <w:tcPr>
            <w:tcW w:type="dxa" w:w="3120"/>
          </w:tcPr>
          <w:p>
            <w:pPr>
              <w:spacing w:after="0"/>
            </w:pPr>
            <w:r/>
            <w:r>
              <w:rPr>
                <w:sz w:val="19"/>
              </w:rPr>
              <w:t>table</w:t>
            </w:r>
          </w:p>
        </w:tc>
        <w:tc>
          <w:tcPr>
            <w:tcW w:type="dxa" w:w="3120"/>
          </w:tcPr>
          <w:p>
            <w:pPr>
              <w:spacing w:after="0"/>
            </w:pPr>
            <w:r/>
            <w:r>
              <w:rPr>
                <w:sz w:val="19"/>
              </w:rPr>
              <w:t>871 B</w:t>
            </w:r>
          </w:p>
        </w:tc>
      </w:tr>
      <w:tr>
        <w:tc>
          <w:tcPr>
            <w:tcW w:type="dxa" w:w="3120"/>
            <w:shd w:val="clear" w:color="auto" w:fill="EDF1F5"/>
          </w:tcPr>
          <w:p>
            <w:pPr>
              <w:spacing w:after="0"/>
            </w:pPr>
            <w:r/>
            <w:r>
              <w:rPr>
                <w:sz w:val="19"/>
              </w:rPr>
              <w:t>table_7.10_bubble_formation.xlsx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5,593 B</w:t>
            </w:r>
          </w:p>
        </w:tc>
      </w:tr>
      <w:tr>
        <w:tc>
          <w:tcPr>
            <w:tcW w:type="dxa" w:w="3120"/>
          </w:tcPr>
          <w:p>
            <w:pPr>
              <w:spacing w:after="0"/>
            </w:pPr>
            <w:r/>
            <w:r>
              <w:rPr>
                <w:sz w:val="19"/>
              </w:rPr>
              <w:t>table_7.11_burst_ranking.csv</w:t>
            </w:r>
          </w:p>
        </w:tc>
        <w:tc>
          <w:tcPr>
            <w:tcW w:type="dxa" w:w="3120"/>
          </w:tcPr>
          <w:p>
            <w:pPr>
              <w:spacing w:after="0"/>
            </w:pPr>
            <w:r/>
            <w:r>
              <w:rPr>
                <w:sz w:val="19"/>
              </w:rPr>
              <w:t>table</w:t>
            </w:r>
          </w:p>
        </w:tc>
        <w:tc>
          <w:tcPr>
            <w:tcW w:type="dxa" w:w="3120"/>
          </w:tcPr>
          <w:p>
            <w:pPr>
              <w:spacing w:after="0"/>
            </w:pPr>
            <w:r/>
            <w:r>
              <w:rPr>
                <w:sz w:val="19"/>
              </w:rPr>
              <w:t>430 B</w:t>
            </w:r>
          </w:p>
        </w:tc>
      </w:tr>
      <w:tr>
        <w:tc>
          <w:tcPr>
            <w:tcW w:type="dxa" w:w="3120"/>
            <w:shd w:val="clear" w:color="auto" w:fill="EDF1F5"/>
          </w:tcPr>
          <w:p>
            <w:pPr>
              <w:spacing w:after="0"/>
            </w:pPr>
            <w:r/>
            <w:r>
              <w:rPr>
                <w:sz w:val="19"/>
              </w:rPr>
              <w:t>table_7.11_burst_ranking.tex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987 B</w:t>
            </w:r>
          </w:p>
        </w:tc>
      </w:tr>
      <w:tr>
        <w:tc>
          <w:tcPr>
            <w:tcW w:type="dxa" w:w="3120"/>
          </w:tcPr>
          <w:p>
            <w:pPr>
              <w:spacing w:after="0"/>
            </w:pPr>
            <w:r/>
            <w:r>
              <w:rPr>
                <w:sz w:val="19"/>
              </w:rPr>
              <w:t>table_7.11_burst_ranking.xlsx</w:t>
            </w:r>
          </w:p>
        </w:tc>
        <w:tc>
          <w:tcPr>
            <w:tcW w:type="dxa" w:w="3120"/>
          </w:tcPr>
          <w:p>
            <w:pPr>
              <w:spacing w:after="0"/>
            </w:pPr>
            <w:r/>
            <w:r>
              <w:rPr>
                <w:sz w:val="19"/>
              </w:rPr>
              <w:t>table</w:t>
            </w:r>
          </w:p>
        </w:tc>
        <w:tc>
          <w:tcPr>
            <w:tcW w:type="dxa" w:w="3120"/>
          </w:tcPr>
          <w:p>
            <w:pPr>
              <w:spacing w:after="0"/>
            </w:pPr>
            <w:r/>
            <w:r>
              <w:rPr>
                <w:sz w:val="19"/>
              </w:rPr>
              <w:t>5,666 B</w:t>
            </w:r>
          </w:p>
        </w:tc>
      </w:tr>
      <w:tr>
        <w:tc>
          <w:tcPr>
            <w:tcW w:type="dxa" w:w="3120"/>
            <w:shd w:val="clear" w:color="auto" w:fill="EDF1F5"/>
          </w:tcPr>
          <w:p>
            <w:pPr>
              <w:spacing w:after="0"/>
            </w:pPr>
            <w:r/>
            <w:r>
              <w:rPr>
                <w:sz w:val="19"/>
              </w:rPr>
              <w:t>table_7.12_gdp_impact.csv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700 B</w:t>
            </w:r>
          </w:p>
        </w:tc>
      </w:tr>
      <w:tr>
        <w:tc>
          <w:tcPr>
            <w:tcW w:type="dxa" w:w="3120"/>
          </w:tcPr>
          <w:p>
            <w:pPr>
              <w:spacing w:after="0"/>
            </w:pPr>
            <w:r/>
            <w:r>
              <w:rPr>
                <w:sz w:val="19"/>
              </w:rPr>
              <w:t>table_7.12_gdp_impact.tex</w:t>
            </w:r>
          </w:p>
        </w:tc>
        <w:tc>
          <w:tcPr>
            <w:tcW w:type="dxa" w:w="3120"/>
          </w:tcPr>
          <w:p>
            <w:pPr>
              <w:spacing w:after="0"/>
            </w:pPr>
            <w:r/>
            <w:r>
              <w:rPr>
                <w:sz w:val="19"/>
              </w:rPr>
              <w:t>table</w:t>
            </w:r>
          </w:p>
        </w:tc>
        <w:tc>
          <w:tcPr>
            <w:tcW w:type="dxa" w:w="3120"/>
          </w:tcPr>
          <w:p>
            <w:pPr>
              <w:spacing w:after="0"/>
            </w:pPr>
            <w:r/>
            <w:r>
              <w:rPr>
                <w:sz w:val="19"/>
              </w:rPr>
              <w:t>1,205 B</w:t>
            </w:r>
          </w:p>
        </w:tc>
      </w:tr>
      <w:tr>
        <w:tc>
          <w:tcPr>
            <w:tcW w:type="dxa" w:w="3120"/>
            <w:shd w:val="clear" w:color="auto" w:fill="EDF1F5"/>
          </w:tcPr>
          <w:p>
            <w:pPr>
              <w:spacing w:after="0"/>
            </w:pPr>
            <w:r/>
            <w:r>
              <w:rPr>
                <w:sz w:val="19"/>
              </w:rPr>
              <w:t>table_7.12_gdp_impact.xlsx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5,685 B</w:t>
            </w:r>
          </w:p>
        </w:tc>
      </w:tr>
      <w:tr>
        <w:tc>
          <w:tcPr>
            <w:tcW w:type="dxa" w:w="3120"/>
          </w:tcPr>
          <w:p>
            <w:pPr>
              <w:spacing w:after="0"/>
            </w:pPr>
            <w:r/>
            <w:r>
              <w:rPr>
                <w:sz w:val="19"/>
              </w:rPr>
              <w:t>table_7.13_bubble_policy.csv</w:t>
            </w:r>
          </w:p>
        </w:tc>
        <w:tc>
          <w:tcPr>
            <w:tcW w:type="dxa" w:w="3120"/>
          </w:tcPr>
          <w:p>
            <w:pPr>
              <w:spacing w:after="0"/>
            </w:pPr>
            <w:r/>
            <w:r>
              <w:rPr>
                <w:sz w:val="19"/>
              </w:rPr>
              <w:t>table</w:t>
            </w:r>
          </w:p>
        </w:tc>
        <w:tc>
          <w:tcPr>
            <w:tcW w:type="dxa" w:w="3120"/>
          </w:tcPr>
          <w:p>
            <w:pPr>
              <w:spacing w:after="0"/>
            </w:pPr>
            <w:r/>
            <w:r>
              <w:rPr>
                <w:sz w:val="19"/>
              </w:rPr>
              <w:t>798 B</w:t>
            </w:r>
          </w:p>
        </w:tc>
      </w:tr>
      <w:tr>
        <w:tc>
          <w:tcPr>
            <w:tcW w:type="dxa" w:w="3120"/>
            <w:shd w:val="clear" w:color="auto" w:fill="EDF1F5"/>
          </w:tcPr>
          <w:p>
            <w:pPr>
              <w:spacing w:after="0"/>
            </w:pPr>
            <w:r/>
            <w:r>
              <w:rPr>
                <w:sz w:val="19"/>
              </w:rPr>
              <w:t>table_7.13_bubble_policy.tex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1,341 B</w:t>
            </w:r>
          </w:p>
        </w:tc>
      </w:tr>
      <w:tr>
        <w:tc>
          <w:tcPr>
            <w:tcW w:type="dxa" w:w="3120"/>
          </w:tcPr>
          <w:p>
            <w:pPr>
              <w:spacing w:after="0"/>
            </w:pPr>
            <w:r/>
            <w:r>
              <w:rPr>
                <w:sz w:val="19"/>
              </w:rPr>
              <w:t>table_7.13_bubble_policy.xlsx</w:t>
            </w:r>
          </w:p>
        </w:tc>
        <w:tc>
          <w:tcPr>
            <w:tcW w:type="dxa" w:w="3120"/>
          </w:tcPr>
          <w:p>
            <w:pPr>
              <w:spacing w:after="0"/>
            </w:pPr>
            <w:r/>
            <w:r>
              <w:rPr>
                <w:sz w:val="19"/>
              </w:rPr>
              <w:t>table</w:t>
            </w:r>
          </w:p>
        </w:tc>
        <w:tc>
          <w:tcPr>
            <w:tcW w:type="dxa" w:w="3120"/>
          </w:tcPr>
          <w:p>
            <w:pPr>
              <w:spacing w:after="0"/>
            </w:pPr>
            <w:r/>
            <w:r>
              <w:rPr>
                <w:sz w:val="19"/>
              </w:rPr>
              <w:t>5,845 B</w:t>
            </w:r>
          </w:p>
        </w:tc>
      </w:tr>
      <w:tr>
        <w:tc>
          <w:tcPr>
            <w:tcW w:type="dxa" w:w="3120"/>
            <w:shd w:val="clear" w:color="auto" w:fill="EDF1F5"/>
          </w:tcPr>
          <w:p>
            <w:pPr>
              <w:spacing w:after="0"/>
            </w:pPr>
            <w:r/>
            <w:r>
              <w:rPr>
                <w:sz w:val="19"/>
              </w:rPr>
              <w:t>table_7.14_debtrank_contagion.csv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269 B</w:t>
            </w:r>
          </w:p>
        </w:tc>
      </w:tr>
      <w:tr>
        <w:tc>
          <w:tcPr>
            <w:tcW w:type="dxa" w:w="3120"/>
          </w:tcPr>
          <w:p>
            <w:pPr>
              <w:spacing w:after="0"/>
            </w:pPr>
            <w:r/>
            <w:r>
              <w:rPr>
                <w:sz w:val="19"/>
              </w:rPr>
              <w:t>table_7.14_debtrank_contagion.tex</w:t>
            </w:r>
          </w:p>
        </w:tc>
        <w:tc>
          <w:tcPr>
            <w:tcW w:type="dxa" w:w="3120"/>
          </w:tcPr>
          <w:p>
            <w:pPr>
              <w:spacing w:after="0"/>
            </w:pPr>
            <w:r/>
            <w:r>
              <w:rPr>
                <w:sz w:val="19"/>
              </w:rPr>
              <w:t>table</w:t>
            </w:r>
          </w:p>
        </w:tc>
        <w:tc>
          <w:tcPr>
            <w:tcW w:type="dxa" w:w="3120"/>
          </w:tcPr>
          <w:p>
            <w:pPr>
              <w:spacing w:after="0"/>
            </w:pPr>
            <w:r/>
            <w:r>
              <w:rPr>
                <w:sz w:val="19"/>
              </w:rPr>
              <w:t>745 B</w:t>
            </w:r>
          </w:p>
        </w:tc>
      </w:tr>
      <w:tr>
        <w:tc>
          <w:tcPr>
            <w:tcW w:type="dxa" w:w="3120"/>
            <w:shd w:val="clear" w:color="auto" w:fill="EDF1F5"/>
          </w:tcPr>
          <w:p>
            <w:pPr>
              <w:spacing w:after="0"/>
            </w:pPr>
            <w:r/>
            <w:r>
              <w:rPr>
                <w:sz w:val="19"/>
              </w:rPr>
              <w:t>table_7.14_debtrank_contagion.xlsx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5,469 B</w:t>
            </w:r>
          </w:p>
        </w:tc>
      </w:tr>
      <w:tr>
        <w:tc>
          <w:tcPr>
            <w:tcW w:type="dxa" w:w="3120"/>
          </w:tcPr>
          <w:p>
            <w:pPr>
              <w:spacing w:after="0"/>
            </w:pPr>
            <w:r/>
            <w:r>
              <w:rPr>
                <w:sz w:val="19"/>
              </w:rPr>
              <w:t>table_7.15_credit_monitor.csv</w:t>
            </w:r>
          </w:p>
        </w:tc>
        <w:tc>
          <w:tcPr>
            <w:tcW w:type="dxa" w:w="3120"/>
          </w:tcPr>
          <w:p>
            <w:pPr>
              <w:spacing w:after="0"/>
            </w:pPr>
            <w:r/>
            <w:r>
              <w:rPr>
                <w:sz w:val="19"/>
              </w:rPr>
              <w:t>table</w:t>
            </w:r>
          </w:p>
        </w:tc>
        <w:tc>
          <w:tcPr>
            <w:tcW w:type="dxa" w:w="3120"/>
          </w:tcPr>
          <w:p>
            <w:pPr>
              <w:spacing w:after="0"/>
            </w:pPr>
            <w:r/>
            <w:r>
              <w:rPr>
                <w:sz w:val="19"/>
              </w:rPr>
              <w:t>1,144 B</w:t>
            </w:r>
          </w:p>
        </w:tc>
      </w:tr>
      <w:tr>
        <w:tc>
          <w:tcPr>
            <w:tcW w:type="dxa" w:w="3120"/>
            <w:shd w:val="clear" w:color="auto" w:fill="EDF1F5"/>
          </w:tcPr>
          <w:p>
            <w:pPr>
              <w:spacing w:after="0"/>
            </w:pPr>
            <w:r/>
            <w:r>
              <w:rPr>
                <w:sz w:val="19"/>
              </w:rPr>
              <w:t>table_7.15_credit_monitor.tex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1,659 B</w:t>
            </w:r>
          </w:p>
        </w:tc>
      </w:tr>
      <w:tr>
        <w:tc>
          <w:tcPr>
            <w:tcW w:type="dxa" w:w="3120"/>
          </w:tcPr>
          <w:p>
            <w:pPr>
              <w:spacing w:after="0"/>
            </w:pPr>
            <w:r/>
            <w:r>
              <w:rPr>
                <w:sz w:val="19"/>
              </w:rPr>
              <w:t>table_7.15_credit_monitor.xlsx</w:t>
            </w:r>
          </w:p>
        </w:tc>
        <w:tc>
          <w:tcPr>
            <w:tcW w:type="dxa" w:w="3120"/>
          </w:tcPr>
          <w:p>
            <w:pPr>
              <w:spacing w:after="0"/>
            </w:pPr>
            <w:r/>
            <w:r>
              <w:rPr>
                <w:sz w:val="19"/>
              </w:rPr>
              <w:t>table</w:t>
            </w:r>
          </w:p>
        </w:tc>
        <w:tc>
          <w:tcPr>
            <w:tcW w:type="dxa" w:w="3120"/>
          </w:tcPr>
          <w:p>
            <w:pPr>
              <w:spacing w:after="0"/>
            </w:pPr>
            <w:r/>
            <w:r>
              <w:rPr>
                <w:sz w:val="19"/>
              </w:rPr>
              <w:t>5,829 B</w:t>
            </w:r>
          </w:p>
        </w:tc>
      </w:tr>
      <w:tr>
        <w:tc>
          <w:tcPr>
            <w:tcW w:type="dxa" w:w="3120"/>
            <w:shd w:val="clear" w:color="auto" w:fill="EDF1F5"/>
          </w:tcPr>
          <w:p>
            <w:pPr>
              <w:spacing w:after="0"/>
            </w:pPr>
            <w:r/>
            <w:r>
              <w:rPr>
                <w:sz w:val="19"/>
              </w:rPr>
              <w:t>table_7.16.market.share.evolution.csv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267 B</w:t>
            </w:r>
          </w:p>
        </w:tc>
      </w:tr>
      <w:tr>
        <w:tc>
          <w:tcPr>
            <w:tcW w:type="dxa" w:w="3120"/>
          </w:tcPr>
          <w:p>
            <w:pPr>
              <w:spacing w:after="0"/>
            </w:pPr>
            <w:r/>
            <w:r>
              <w:rPr>
                <w:sz w:val="19"/>
              </w:rPr>
              <w:t>table_7.16.market.share.evolution.tex</w:t>
            </w:r>
          </w:p>
        </w:tc>
        <w:tc>
          <w:tcPr>
            <w:tcW w:type="dxa" w:w="3120"/>
          </w:tcPr>
          <w:p>
            <w:pPr>
              <w:spacing w:after="0"/>
            </w:pPr>
            <w:r/>
            <w:r>
              <w:rPr>
                <w:sz w:val="19"/>
              </w:rPr>
              <w:t>table</w:t>
            </w:r>
          </w:p>
        </w:tc>
        <w:tc>
          <w:tcPr>
            <w:tcW w:type="dxa" w:w="3120"/>
          </w:tcPr>
          <w:p>
            <w:pPr>
              <w:spacing w:after="0"/>
            </w:pPr>
            <w:r/>
            <w:r>
              <w:rPr>
                <w:sz w:val="19"/>
              </w:rPr>
              <w:t>778 B</w:t>
            </w:r>
          </w:p>
        </w:tc>
      </w:tr>
      <w:tr>
        <w:tc>
          <w:tcPr>
            <w:tcW w:type="dxa" w:w="3120"/>
            <w:shd w:val="clear" w:color="auto" w:fill="EDF1F5"/>
          </w:tcPr>
          <w:p>
            <w:pPr>
              <w:spacing w:after="0"/>
            </w:pPr>
            <w:r/>
            <w:r>
              <w:rPr>
                <w:sz w:val="19"/>
              </w:rPr>
              <w:t>table_7.16.market.share.evolution.xlsx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5,441 B</w:t>
            </w:r>
          </w:p>
        </w:tc>
      </w:tr>
      <w:tr>
        <w:tc>
          <w:tcPr>
            <w:tcW w:type="dxa" w:w="3120"/>
          </w:tcPr>
          <w:p>
            <w:pPr>
              <w:spacing w:after="0"/>
            </w:pPr>
            <w:r/>
            <w:r>
              <w:rPr>
                <w:sz w:val="19"/>
              </w:rPr>
              <w:t>table_7.17.lerner.markup.summary.csv</w:t>
            </w:r>
          </w:p>
        </w:tc>
        <w:tc>
          <w:tcPr>
            <w:tcW w:type="dxa" w:w="3120"/>
          </w:tcPr>
          <w:p>
            <w:pPr>
              <w:spacing w:after="0"/>
            </w:pPr>
            <w:r/>
            <w:r>
              <w:rPr>
                <w:sz w:val="19"/>
              </w:rPr>
              <w:t>table</w:t>
            </w:r>
          </w:p>
        </w:tc>
        <w:tc>
          <w:tcPr>
            <w:tcW w:type="dxa" w:w="3120"/>
          </w:tcPr>
          <w:p>
            <w:pPr>
              <w:spacing w:after="0"/>
            </w:pPr>
            <w:r/>
            <w:r>
              <w:rPr>
                <w:sz w:val="19"/>
              </w:rPr>
              <w:t>276 B</w:t>
            </w:r>
          </w:p>
        </w:tc>
      </w:tr>
      <w:tr>
        <w:tc>
          <w:tcPr>
            <w:tcW w:type="dxa" w:w="3120"/>
            <w:shd w:val="clear" w:color="auto" w:fill="EDF1F5"/>
          </w:tcPr>
          <w:p>
            <w:pPr>
              <w:spacing w:after="0"/>
            </w:pPr>
            <w:r/>
            <w:r>
              <w:rPr>
                <w:sz w:val="19"/>
              </w:rPr>
              <w:t>table_7.17.lerner.markup.summary.tex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769 B</w:t>
            </w:r>
          </w:p>
        </w:tc>
      </w:tr>
      <w:tr>
        <w:tc>
          <w:tcPr>
            <w:tcW w:type="dxa" w:w="3120"/>
          </w:tcPr>
          <w:p>
            <w:pPr>
              <w:spacing w:after="0"/>
            </w:pPr>
            <w:r/>
            <w:r>
              <w:rPr>
                <w:sz w:val="19"/>
              </w:rPr>
              <w:t>table_7.17.lerner.markup.summary.xlsx</w:t>
            </w:r>
          </w:p>
        </w:tc>
        <w:tc>
          <w:tcPr>
            <w:tcW w:type="dxa" w:w="3120"/>
          </w:tcPr>
          <w:p>
            <w:pPr>
              <w:spacing w:after="0"/>
            </w:pPr>
            <w:r/>
            <w:r>
              <w:rPr>
                <w:sz w:val="19"/>
              </w:rPr>
              <w:t>table</w:t>
            </w:r>
          </w:p>
        </w:tc>
        <w:tc>
          <w:tcPr>
            <w:tcW w:type="dxa" w:w="3120"/>
          </w:tcPr>
          <w:p>
            <w:pPr>
              <w:spacing w:after="0"/>
            </w:pPr>
            <w:r/>
            <w:r>
              <w:rPr>
                <w:sz w:val="19"/>
              </w:rPr>
              <w:t>5,416 B</w:t>
            </w:r>
          </w:p>
        </w:tc>
      </w:tr>
      <w:tr>
        <w:tc>
          <w:tcPr>
            <w:tcW w:type="dxa" w:w="3120"/>
            <w:shd w:val="clear" w:color="auto" w:fill="EDF1F5"/>
          </w:tcPr>
          <w:p>
            <w:pPr>
              <w:spacing w:after="0"/>
            </w:pPr>
            <w:r/>
            <w:r>
              <w:rPr>
                <w:sz w:val="19"/>
              </w:rPr>
              <w:t>table_7.18.shapley.vs.revenue.share.csv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190 B</w:t>
            </w:r>
          </w:p>
        </w:tc>
      </w:tr>
      <w:tr>
        <w:tc>
          <w:tcPr>
            <w:tcW w:type="dxa" w:w="3120"/>
          </w:tcPr>
          <w:p>
            <w:pPr>
              <w:spacing w:after="0"/>
            </w:pPr>
            <w:r/>
            <w:r>
              <w:rPr>
                <w:sz w:val="19"/>
              </w:rPr>
              <w:t>table_7.18.shapley.vs.revenue.share.tex</w:t>
            </w:r>
          </w:p>
        </w:tc>
        <w:tc>
          <w:tcPr>
            <w:tcW w:type="dxa" w:w="3120"/>
          </w:tcPr>
          <w:p>
            <w:pPr>
              <w:spacing w:after="0"/>
            </w:pPr>
            <w:r/>
            <w:r>
              <w:rPr>
                <w:sz w:val="19"/>
              </w:rPr>
              <w:t>table</w:t>
            </w:r>
          </w:p>
        </w:tc>
        <w:tc>
          <w:tcPr>
            <w:tcW w:type="dxa" w:w="3120"/>
          </w:tcPr>
          <w:p>
            <w:pPr>
              <w:spacing w:after="0"/>
            </w:pPr>
            <w:r/>
            <w:r>
              <w:rPr>
                <w:sz w:val="19"/>
              </w:rPr>
              <w:t>671 B</w:t>
            </w:r>
          </w:p>
        </w:tc>
      </w:tr>
      <w:tr>
        <w:tc>
          <w:tcPr>
            <w:tcW w:type="dxa" w:w="3120"/>
            <w:shd w:val="clear" w:color="auto" w:fill="EDF1F5"/>
          </w:tcPr>
          <w:p>
            <w:pPr>
              <w:spacing w:after="0"/>
            </w:pPr>
            <w:r/>
            <w:r>
              <w:rPr>
                <w:sz w:val="19"/>
              </w:rPr>
              <w:t>table_7.18.shapley.vs.revenue.share.xlsx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5,350 B</w:t>
            </w:r>
          </w:p>
        </w:tc>
      </w:tr>
      <w:tr>
        <w:tc>
          <w:tcPr>
            <w:tcW w:type="dxa" w:w="3120"/>
          </w:tcPr>
          <w:p>
            <w:pPr>
              <w:spacing w:after="0"/>
            </w:pPr>
            <w:r/>
            <w:r>
              <w:rPr>
                <w:sz w:val="19"/>
              </w:rPr>
              <w:t>table_7.19_geography_overlay.csv</w:t>
            </w:r>
          </w:p>
        </w:tc>
        <w:tc>
          <w:tcPr>
            <w:tcW w:type="dxa" w:w="3120"/>
          </w:tcPr>
          <w:p>
            <w:pPr>
              <w:spacing w:after="0"/>
            </w:pPr>
            <w:r/>
            <w:r>
              <w:rPr>
                <w:sz w:val="19"/>
              </w:rPr>
              <w:t>table</w:t>
            </w:r>
          </w:p>
        </w:tc>
        <w:tc>
          <w:tcPr>
            <w:tcW w:type="dxa" w:w="3120"/>
          </w:tcPr>
          <w:p>
            <w:pPr>
              <w:spacing w:after="0"/>
            </w:pPr>
            <w:r/>
            <w:r>
              <w:rPr>
                <w:sz w:val="19"/>
              </w:rPr>
              <w:t>1,259 B</w:t>
            </w:r>
          </w:p>
        </w:tc>
      </w:tr>
      <w:tr>
        <w:tc>
          <w:tcPr>
            <w:tcW w:type="dxa" w:w="3120"/>
            <w:shd w:val="clear" w:color="auto" w:fill="EDF1F5"/>
          </w:tcPr>
          <w:p>
            <w:pPr>
              <w:spacing w:after="0"/>
            </w:pPr>
            <w:r/>
            <w:r>
              <w:rPr>
                <w:sz w:val="19"/>
              </w:rPr>
              <w:t>table_7.19_geography_overlay.tex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1,836 B</w:t>
            </w:r>
          </w:p>
        </w:tc>
      </w:tr>
      <w:tr>
        <w:tc>
          <w:tcPr>
            <w:tcW w:type="dxa" w:w="3120"/>
          </w:tcPr>
          <w:p>
            <w:pPr>
              <w:spacing w:after="0"/>
            </w:pPr>
            <w:r/>
            <w:r>
              <w:rPr>
                <w:sz w:val="19"/>
              </w:rPr>
              <w:t>table_7.19_geography_overlay.xlsx</w:t>
            </w:r>
          </w:p>
        </w:tc>
        <w:tc>
          <w:tcPr>
            <w:tcW w:type="dxa" w:w="3120"/>
          </w:tcPr>
          <w:p>
            <w:pPr>
              <w:spacing w:after="0"/>
            </w:pPr>
            <w:r/>
            <w:r>
              <w:rPr>
                <w:sz w:val="19"/>
              </w:rPr>
              <w:t>table</w:t>
            </w:r>
          </w:p>
        </w:tc>
        <w:tc>
          <w:tcPr>
            <w:tcW w:type="dxa" w:w="3120"/>
          </w:tcPr>
          <w:p>
            <w:pPr>
              <w:spacing w:after="0"/>
            </w:pPr>
            <w:r/>
            <w:r>
              <w:rPr>
                <w:sz w:val="19"/>
              </w:rPr>
              <w:t>6,003 B</w:t>
            </w:r>
          </w:p>
        </w:tc>
      </w:tr>
      <w:tr>
        <w:tc>
          <w:tcPr>
            <w:tcW w:type="dxa" w:w="3120"/>
            <w:shd w:val="clear" w:color="auto" w:fill="EDF1F5"/>
          </w:tcPr>
          <w:p>
            <w:pPr>
              <w:spacing w:after="0"/>
            </w:pPr>
            <w:r/>
            <w:r>
              <w:rPr>
                <w:sz w:val="19"/>
              </w:rPr>
              <w:t>table_7.1_concentration_decomposition.csv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216 B</w:t>
            </w:r>
          </w:p>
        </w:tc>
      </w:tr>
      <w:tr>
        <w:tc>
          <w:tcPr>
            <w:tcW w:type="dxa" w:w="3120"/>
          </w:tcPr>
          <w:p>
            <w:pPr>
              <w:spacing w:after="0"/>
            </w:pPr>
            <w:r/>
            <w:r>
              <w:rPr>
                <w:sz w:val="19"/>
              </w:rPr>
              <w:t>table_7.1_concentration_decomposition.tex</w:t>
            </w:r>
          </w:p>
        </w:tc>
        <w:tc>
          <w:tcPr>
            <w:tcW w:type="dxa" w:w="3120"/>
          </w:tcPr>
          <w:p>
            <w:pPr>
              <w:spacing w:after="0"/>
            </w:pPr>
            <w:r/>
            <w:r>
              <w:rPr>
                <w:sz w:val="19"/>
              </w:rPr>
              <w:t>table</w:t>
            </w:r>
          </w:p>
        </w:tc>
        <w:tc>
          <w:tcPr>
            <w:tcW w:type="dxa" w:w="3120"/>
          </w:tcPr>
          <w:p>
            <w:pPr>
              <w:spacing w:after="0"/>
            </w:pPr>
            <w:r/>
            <w:r>
              <w:rPr>
                <w:sz w:val="19"/>
              </w:rPr>
              <w:t>720 B</w:t>
            </w:r>
          </w:p>
        </w:tc>
      </w:tr>
      <w:tr>
        <w:tc>
          <w:tcPr>
            <w:tcW w:type="dxa" w:w="3120"/>
            <w:shd w:val="clear" w:color="auto" w:fill="EDF1F5"/>
          </w:tcPr>
          <w:p>
            <w:pPr>
              <w:spacing w:after="0"/>
            </w:pPr>
            <w:r/>
            <w:r>
              <w:rPr>
                <w:sz w:val="19"/>
              </w:rPr>
              <w:t>table_7.1_concentration_decomposition.xlsx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5,414 B</w:t>
            </w:r>
          </w:p>
        </w:tc>
      </w:tr>
      <w:tr>
        <w:tc>
          <w:tcPr>
            <w:tcW w:type="dxa" w:w="3120"/>
          </w:tcPr>
          <w:p>
            <w:pPr>
              <w:spacing w:after="0"/>
            </w:pPr>
            <w:r/>
            <w:r>
              <w:rPr>
                <w:sz w:val="19"/>
              </w:rPr>
              <w:t>table_7.1b.within.layer.hhi.csv</w:t>
            </w:r>
          </w:p>
        </w:tc>
        <w:tc>
          <w:tcPr>
            <w:tcW w:type="dxa" w:w="3120"/>
          </w:tcPr>
          <w:p>
            <w:pPr>
              <w:spacing w:after="0"/>
            </w:pPr>
            <w:r/>
            <w:r>
              <w:rPr>
                <w:sz w:val="19"/>
              </w:rPr>
              <w:t>table</w:t>
            </w:r>
          </w:p>
        </w:tc>
        <w:tc>
          <w:tcPr>
            <w:tcW w:type="dxa" w:w="3120"/>
          </w:tcPr>
          <w:p>
            <w:pPr>
              <w:spacing w:after="0"/>
            </w:pPr>
            <w:r/>
            <w:r>
              <w:rPr>
                <w:sz w:val="19"/>
              </w:rPr>
              <w:t>700 B</w:t>
            </w:r>
          </w:p>
        </w:tc>
      </w:tr>
      <w:tr>
        <w:tc>
          <w:tcPr>
            <w:tcW w:type="dxa" w:w="3120"/>
            <w:shd w:val="clear" w:color="auto" w:fill="EDF1F5"/>
          </w:tcPr>
          <w:p>
            <w:pPr>
              <w:spacing w:after="0"/>
            </w:pPr>
            <w:r/>
            <w:r>
              <w:rPr>
                <w:sz w:val="19"/>
              </w:rPr>
              <w:t>table_7.1b.within.layer.hhi.tex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1,242 B</w:t>
            </w:r>
          </w:p>
        </w:tc>
      </w:tr>
      <w:tr>
        <w:tc>
          <w:tcPr>
            <w:tcW w:type="dxa" w:w="3120"/>
          </w:tcPr>
          <w:p>
            <w:pPr>
              <w:spacing w:after="0"/>
            </w:pPr>
            <w:r/>
            <w:r>
              <w:rPr>
                <w:sz w:val="19"/>
              </w:rPr>
              <w:t>table_7.1b.within.layer.hhi.xlsx</w:t>
            </w:r>
          </w:p>
        </w:tc>
        <w:tc>
          <w:tcPr>
            <w:tcW w:type="dxa" w:w="3120"/>
          </w:tcPr>
          <w:p>
            <w:pPr>
              <w:spacing w:after="0"/>
            </w:pPr>
            <w:r/>
            <w:r>
              <w:rPr>
                <w:sz w:val="19"/>
              </w:rPr>
              <w:t>table</w:t>
            </w:r>
          </w:p>
        </w:tc>
        <w:tc>
          <w:tcPr>
            <w:tcW w:type="dxa" w:w="3120"/>
          </w:tcPr>
          <w:p>
            <w:pPr>
              <w:spacing w:after="0"/>
            </w:pPr>
            <w:r/>
            <w:r>
              <w:rPr>
                <w:sz w:val="19"/>
              </w:rPr>
              <w:t>5,725 B</w:t>
            </w:r>
          </w:p>
        </w:tc>
      </w:tr>
      <w:tr>
        <w:tc>
          <w:tcPr>
            <w:tcW w:type="dxa" w:w="3120"/>
            <w:shd w:val="clear" w:color="auto" w:fill="EDF1F5"/>
          </w:tcPr>
          <w:p>
            <w:pPr>
              <w:spacing w:after="0"/>
            </w:pPr>
            <w:r/>
            <w:r>
              <w:rPr>
                <w:sz w:val="19"/>
              </w:rPr>
              <w:t>table_7.2_gatekeeper_index.csv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332 B</w:t>
            </w:r>
          </w:p>
        </w:tc>
      </w:tr>
      <w:tr>
        <w:tc>
          <w:tcPr>
            <w:tcW w:type="dxa" w:w="3120"/>
          </w:tcPr>
          <w:p>
            <w:pPr>
              <w:spacing w:after="0"/>
            </w:pPr>
            <w:r/>
            <w:r>
              <w:rPr>
                <w:sz w:val="19"/>
              </w:rPr>
              <w:t>table_7.2_gatekeeper_index.tex</w:t>
            </w:r>
          </w:p>
        </w:tc>
        <w:tc>
          <w:tcPr>
            <w:tcW w:type="dxa" w:w="3120"/>
          </w:tcPr>
          <w:p>
            <w:pPr>
              <w:spacing w:after="0"/>
            </w:pPr>
            <w:r/>
            <w:r>
              <w:rPr>
                <w:sz w:val="19"/>
              </w:rPr>
              <w:t>table</w:t>
            </w:r>
          </w:p>
        </w:tc>
        <w:tc>
          <w:tcPr>
            <w:tcW w:type="dxa" w:w="3120"/>
          </w:tcPr>
          <w:p>
            <w:pPr>
              <w:spacing w:after="0"/>
            </w:pPr>
            <w:r/>
            <w:r>
              <w:rPr>
                <w:sz w:val="19"/>
              </w:rPr>
              <w:t>832 B</w:t>
            </w:r>
          </w:p>
        </w:tc>
      </w:tr>
      <w:tr>
        <w:tc>
          <w:tcPr>
            <w:tcW w:type="dxa" w:w="3120"/>
            <w:shd w:val="clear" w:color="auto" w:fill="EDF1F5"/>
          </w:tcPr>
          <w:p>
            <w:pPr>
              <w:spacing w:after="0"/>
            </w:pPr>
            <w:r/>
            <w:r>
              <w:rPr>
                <w:sz w:val="19"/>
              </w:rPr>
              <w:t>table_7.2_gatekeeper_index.xlsx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5,543 B</w:t>
            </w:r>
          </w:p>
        </w:tc>
      </w:tr>
      <w:tr>
        <w:tc>
          <w:tcPr>
            <w:tcW w:type="dxa" w:w="3120"/>
          </w:tcPr>
          <w:p>
            <w:pPr>
              <w:spacing w:after="0"/>
            </w:pPr>
            <w:r/>
            <w:r>
              <w:rPr>
                <w:sz w:val="19"/>
              </w:rPr>
              <w:t>table_7.3_contestability_screen.csv</w:t>
            </w:r>
          </w:p>
        </w:tc>
        <w:tc>
          <w:tcPr>
            <w:tcW w:type="dxa" w:w="3120"/>
          </w:tcPr>
          <w:p>
            <w:pPr>
              <w:spacing w:after="0"/>
            </w:pPr>
            <w:r/>
            <w:r>
              <w:rPr>
                <w:sz w:val="19"/>
              </w:rPr>
              <w:t>table</w:t>
            </w:r>
          </w:p>
        </w:tc>
        <w:tc>
          <w:tcPr>
            <w:tcW w:type="dxa" w:w="3120"/>
          </w:tcPr>
          <w:p>
            <w:pPr>
              <w:spacing w:after="0"/>
            </w:pPr>
            <w:r/>
            <w:r>
              <w:rPr>
                <w:sz w:val="19"/>
              </w:rPr>
              <w:t>467 B</w:t>
            </w:r>
          </w:p>
        </w:tc>
      </w:tr>
      <w:tr>
        <w:tc>
          <w:tcPr>
            <w:tcW w:type="dxa" w:w="3120"/>
            <w:shd w:val="clear" w:color="auto" w:fill="EDF1F5"/>
          </w:tcPr>
          <w:p>
            <w:pPr>
              <w:spacing w:after="0"/>
            </w:pPr>
            <w:r/>
            <w:r>
              <w:rPr>
                <w:sz w:val="19"/>
              </w:rPr>
              <w:t>table_7.3_contestability_screen.tex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988 B</w:t>
            </w:r>
          </w:p>
        </w:tc>
      </w:tr>
      <w:tr>
        <w:tc>
          <w:tcPr>
            <w:tcW w:type="dxa" w:w="3120"/>
          </w:tcPr>
          <w:p>
            <w:pPr>
              <w:spacing w:after="0"/>
            </w:pPr>
            <w:r/>
            <w:r>
              <w:rPr>
                <w:sz w:val="19"/>
              </w:rPr>
              <w:t>table_7.3_contestability_screen.xlsx</w:t>
            </w:r>
          </w:p>
        </w:tc>
        <w:tc>
          <w:tcPr>
            <w:tcW w:type="dxa" w:w="3120"/>
          </w:tcPr>
          <w:p>
            <w:pPr>
              <w:spacing w:after="0"/>
            </w:pPr>
            <w:r/>
            <w:r>
              <w:rPr>
                <w:sz w:val="19"/>
              </w:rPr>
              <w:t>table</w:t>
            </w:r>
          </w:p>
        </w:tc>
        <w:tc>
          <w:tcPr>
            <w:tcW w:type="dxa" w:w="3120"/>
          </w:tcPr>
          <w:p>
            <w:pPr>
              <w:spacing w:after="0"/>
            </w:pPr>
            <w:r/>
            <w:r>
              <w:rPr>
                <w:sz w:val="19"/>
              </w:rPr>
              <w:t>5,538 B</w:t>
            </w:r>
          </w:p>
        </w:tc>
      </w:tr>
      <w:tr>
        <w:tc>
          <w:tcPr>
            <w:tcW w:type="dxa" w:w="3120"/>
            <w:shd w:val="clear" w:color="auto" w:fill="EDF1F5"/>
          </w:tcPr>
          <w:p>
            <w:pPr>
              <w:spacing w:after="0"/>
            </w:pPr>
            <w:r/>
            <w:r>
              <w:rPr>
                <w:sz w:val="19"/>
              </w:rPr>
              <w:t>table_7.4_stability_screen.csv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395 B</w:t>
            </w:r>
          </w:p>
        </w:tc>
      </w:tr>
      <w:tr>
        <w:tc>
          <w:tcPr>
            <w:tcW w:type="dxa" w:w="3120"/>
          </w:tcPr>
          <w:p>
            <w:pPr>
              <w:spacing w:after="0"/>
            </w:pPr>
            <w:r/>
            <w:r>
              <w:rPr>
                <w:sz w:val="19"/>
              </w:rPr>
              <w:t>table_7.4_stability_screen.tex</w:t>
            </w:r>
          </w:p>
        </w:tc>
        <w:tc>
          <w:tcPr>
            <w:tcW w:type="dxa" w:w="3120"/>
          </w:tcPr>
          <w:p>
            <w:pPr>
              <w:spacing w:after="0"/>
            </w:pPr>
            <w:r/>
            <w:r>
              <w:rPr>
                <w:sz w:val="19"/>
              </w:rPr>
              <w:t>table</w:t>
            </w:r>
          </w:p>
        </w:tc>
        <w:tc>
          <w:tcPr>
            <w:tcW w:type="dxa" w:w="3120"/>
          </w:tcPr>
          <w:p>
            <w:pPr>
              <w:spacing w:after="0"/>
            </w:pPr>
            <w:r/>
            <w:r>
              <w:rPr>
                <w:sz w:val="19"/>
              </w:rPr>
              <w:t>886 B</w:t>
            </w:r>
          </w:p>
        </w:tc>
      </w:tr>
      <w:tr>
        <w:tc>
          <w:tcPr>
            <w:tcW w:type="dxa" w:w="3120"/>
            <w:shd w:val="clear" w:color="auto" w:fill="EDF1F5"/>
          </w:tcPr>
          <w:p>
            <w:pPr>
              <w:spacing w:after="0"/>
            </w:pPr>
            <w:r/>
            <w:r>
              <w:rPr>
                <w:sz w:val="19"/>
              </w:rPr>
              <w:t>table_7.4_stability_screen.xlsx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5,459 B</w:t>
            </w:r>
          </w:p>
        </w:tc>
      </w:tr>
      <w:tr>
        <w:tc>
          <w:tcPr>
            <w:tcW w:type="dxa" w:w="3120"/>
          </w:tcPr>
          <w:p>
            <w:pPr>
              <w:spacing w:after="0"/>
            </w:pPr>
            <w:r/>
            <w:r>
              <w:rPr>
                <w:sz w:val="19"/>
              </w:rPr>
              <w:t>table_7.5_fragility_composite.csv</w:t>
            </w:r>
          </w:p>
        </w:tc>
        <w:tc>
          <w:tcPr>
            <w:tcW w:type="dxa" w:w="3120"/>
          </w:tcPr>
          <w:p>
            <w:pPr>
              <w:spacing w:after="0"/>
            </w:pPr>
            <w:r/>
            <w:r>
              <w:rPr>
                <w:sz w:val="19"/>
              </w:rPr>
              <w:t>table</w:t>
            </w:r>
          </w:p>
        </w:tc>
        <w:tc>
          <w:tcPr>
            <w:tcW w:type="dxa" w:w="3120"/>
          </w:tcPr>
          <w:p>
            <w:pPr>
              <w:spacing w:after="0"/>
            </w:pPr>
            <w:r/>
            <w:r>
              <w:rPr>
                <w:sz w:val="19"/>
              </w:rPr>
              <w:t>127 B</w:t>
            </w:r>
          </w:p>
        </w:tc>
      </w:tr>
      <w:tr>
        <w:tc>
          <w:tcPr>
            <w:tcW w:type="dxa" w:w="3120"/>
            <w:shd w:val="clear" w:color="auto" w:fill="EDF1F5"/>
          </w:tcPr>
          <w:p>
            <w:pPr>
              <w:spacing w:after="0"/>
            </w:pPr>
            <w:r/>
            <w:r>
              <w:rPr>
                <w:sz w:val="19"/>
              </w:rPr>
              <w:t>table_7.5_fragility_composite.tex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577 B</w:t>
            </w:r>
          </w:p>
        </w:tc>
      </w:tr>
      <w:tr>
        <w:tc>
          <w:tcPr>
            <w:tcW w:type="dxa" w:w="3120"/>
          </w:tcPr>
          <w:p>
            <w:pPr>
              <w:spacing w:after="0"/>
            </w:pPr>
            <w:r/>
            <w:r>
              <w:rPr>
                <w:sz w:val="19"/>
              </w:rPr>
              <w:t>table_7.5_fragility_composite.xlsx</w:t>
            </w:r>
          </w:p>
        </w:tc>
        <w:tc>
          <w:tcPr>
            <w:tcW w:type="dxa" w:w="3120"/>
          </w:tcPr>
          <w:p>
            <w:pPr>
              <w:spacing w:after="0"/>
            </w:pPr>
            <w:r/>
            <w:r>
              <w:rPr>
                <w:sz w:val="19"/>
              </w:rPr>
              <w:t>table</w:t>
            </w:r>
          </w:p>
        </w:tc>
        <w:tc>
          <w:tcPr>
            <w:tcW w:type="dxa" w:w="3120"/>
          </w:tcPr>
          <w:p>
            <w:pPr>
              <w:spacing w:after="0"/>
            </w:pPr>
            <w:r/>
            <w:r>
              <w:rPr>
                <w:sz w:val="19"/>
              </w:rPr>
              <w:t>5,326 B</w:t>
            </w:r>
          </w:p>
        </w:tc>
      </w:tr>
      <w:tr>
        <w:tc>
          <w:tcPr>
            <w:tcW w:type="dxa" w:w="3120"/>
            <w:shd w:val="clear" w:color="auto" w:fill="EDF1F5"/>
          </w:tcPr>
          <w:p>
            <w:pPr>
              <w:spacing w:after="0"/>
            </w:pPr>
            <w:r/>
            <w:r>
              <w:rPr>
                <w:sz w:val="19"/>
              </w:rPr>
              <w:t>table_7.6_policy_synergy.csv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133 B</w:t>
            </w:r>
          </w:p>
        </w:tc>
      </w:tr>
      <w:tr>
        <w:tc>
          <w:tcPr>
            <w:tcW w:type="dxa" w:w="3120"/>
          </w:tcPr>
          <w:p>
            <w:pPr>
              <w:spacing w:after="0"/>
            </w:pPr>
            <w:r/>
            <w:r>
              <w:rPr>
                <w:sz w:val="19"/>
              </w:rPr>
              <w:t>table_7.6_policy_synergy.tex</w:t>
            </w:r>
          </w:p>
        </w:tc>
        <w:tc>
          <w:tcPr>
            <w:tcW w:type="dxa" w:w="3120"/>
          </w:tcPr>
          <w:p>
            <w:pPr>
              <w:spacing w:after="0"/>
            </w:pPr>
            <w:r/>
            <w:r>
              <w:rPr>
                <w:sz w:val="19"/>
              </w:rPr>
              <w:t>table</w:t>
            </w:r>
          </w:p>
        </w:tc>
        <w:tc>
          <w:tcPr>
            <w:tcW w:type="dxa" w:w="3120"/>
          </w:tcPr>
          <w:p>
            <w:pPr>
              <w:spacing w:after="0"/>
            </w:pPr>
            <w:r/>
            <w:r>
              <w:rPr>
                <w:sz w:val="19"/>
              </w:rPr>
              <w:t>575 B</w:t>
            </w:r>
          </w:p>
        </w:tc>
      </w:tr>
      <w:tr>
        <w:tc>
          <w:tcPr>
            <w:tcW w:type="dxa" w:w="3120"/>
            <w:shd w:val="clear" w:color="auto" w:fill="EDF1F5"/>
          </w:tcPr>
          <w:p>
            <w:pPr>
              <w:spacing w:after="0"/>
            </w:pPr>
            <w:r/>
            <w:r>
              <w:rPr>
                <w:sz w:val="19"/>
              </w:rPr>
              <w:t>table_7.6_policy_synergy.xlsx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5,289 B</w:t>
            </w:r>
          </w:p>
        </w:tc>
      </w:tr>
      <w:tr>
        <w:tc>
          <w:tcPr>
            <w:tcW w:type="dxa" w:w="3120"/>
          </w:tcPr>
          <w:p>
            <w:pPr>
              <w:spacing w:after="0"/>
            </w:pPr>
            <w:r/>
            <w:r>
              <w:rPr>
                <w:sz w:val="19"/>
              </w:rPr>
              <w:t>table_7.7_five_pillar_screen.csv</w:t>
            </w:r>
          </w:p>
        </w:tc>
        <w:tc>
          <w:tcPr>
            <w:tcW w:type="dxa" w:w="3120"/>
          </w:tcPr>
          <w:p>
            <w:pPr>
              <w:spacing w:after="0"/>
            </w:pPr>
            <w:r/>
            <w:r>
              <w:rPr>
                <w:sz w:val="19"/>
              </w:rPr>
              <w:t>table</w:t>
            </w:r>
          </w:p>
        </w:tc>
        <w:tc>
          <w:tcPr>
            <w:tcW w:type="dxa" w:w="3120"/>
          </w:tcPr>
          <w:p>
            <w:pPr>
              <w:spacing w:after="0"/>
            </w:pPr>
            <w:r/>
            <w:r>
              <w:rPr>
                <w:sz w:val="19"/>
              </w:rPr>
              <w:t>687 B</w:t>
            </w:r>
          </w:p>
        </w:tc>
      </w:tr>
      <w:tr>
        <w:tc>
          <w:tcPr>
            <w:tcW w:type="dxa" w:w="3120"/>
            <w:shd w:val="clear" w:color="auto" w:fill="EDF1F5"/>
          </w:tcPr>
          <w:p>
            <w:pPr>
              <w:spacing w:after="0"/>
            </w:pPr>
            <w:r/>
            <w:r>
              <w:rPr>
                <w:sz w:val="19"/>
              </w:rPr>
              <w:t>table_7.7_five_pillar_screen.tex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1,203 B</w:t>
            </w:r>
          </w:p>
        </w:tc>
      </w:tr>
      <w:tr>
        <w:tc>
          <w:tcPr>
            <w:tcW w:type="dxa" w:w="3120"/>
          </w:tcPr>
          <w:p>
            <w:pPr>
              <w:spacing w:after="0"/>
            </w:pPr>
            <w:r/>
            <w:r>
              <w:rPr>
                <w:sz w:val="19"/>
              </w:rPr>
              <w:t>table_7.7_five_pillar_screen.xlsx</w:t>
            </w:r>
          </w:p>
        </w:tc>
        <w:tc>
          <w:tcPr>
            <w:tcW w:type="dxa" w:w="3120"/>
          </w:tcPr>
          <w:p>
            <w:pPr>
              <w:spacing w:after="0"/>
            </w:pPr>
            <w:r/>
            <w:r>
              <w:rPr>
                <w:sz w:val="19"/>
              </w:rPr>
              <w:t>table</w:t>
            </w:r>
          </w:p>
        </w:tc>
        <w:tc>
          <w:tcPr>
            <w:tcW w:type="dxa" w:w="3120"/>
          </w:tcPr>
          <w:p>
            <w:pPr>
              <w:spacing w:after="0"/>
            </w:pPr>
            <w:r/>
            <w:r>
              <w:rPr>
                <w:sz w:val="19"/>
              </w:rPr>
              <w:t>5,692 B</w:t>
            </w:r>
          </w:p>
        </w:tc>
      </w:tr>
      <w:tr>
        <w:tc>
          <w:tcPr>
            <w:tcW w:type="dxa" w:w="3120"/>
            <w:shd w:val="clear" w:color="auto" w:fill="EDF1F5"/>
          </w:tcPr>
          <w:p>
            <w:pPr>
              <w:spacing w:after="0"/>
            </w:pPr>
            <w:r/>
            <w:r>
              <w:rPr>
                <w:sz w:val="19"/>
              </w:rPr>
              <w:t>table_7.8_equilibrium_audit.csv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389 B</w:t>
            </w:r>
          </w:p>
        </w:tc>
      </w:tr>
      <w:tr>
        <w:tc>
          <w:tcPr>
            <w:tcW w:type="dxa" w:w="3120"/>
          </w:tcPr>
          <w:p>
            <w:pPr>
              <w:spacing w:after="0"/>
            </w:pPr>
            <w:r/>
            <w:r>
              <w:rPr>
                <w:sz w:val="19"/>
              </w:rPr>
              <w:t>table_7.8_equilibrium_audit.tex</w:t>
            </w:r>
          </w:p>
        </w:tc>
        <w:tc>
          <w:tcPr>
            <w:tcW w:type="dxa" w:w="3120"/>
          </w:tcPr>
          <w:p>
            <w:pPr>
              <w:spacing w:after="0"/>
            </w:pPr>
            <w:r/>
            <w:r>
              <w:rPr>
                <w:sz w:val="19"/>
              </w:rPr>
              <w:t>table</w:t>
            </w:r>
          </w:p>
        </w:tc>
        <w:tc>
          <w:tcPr>
            <w:tcW w:type="dxa" w:w="3120"/>
          </w:tcPr>
          <w:p>
            <w:pPr>
              <w:spacing w:after="0"/>
            </w:pPr>
            <w:r/>
            <w:r>
              <w:rPr>
                <w:sz w:val="19"/>
              </w:rPr>
              <w:t>897 B</w:t>
            </w:r>
          </w:p>
        </w:tc>
      </w:tr>
      <w:tr>
        <w:tc>
          <w:tcPr>
            <w:tcW w:type="dxa" w:w="3120"/>
            <w:shd w:val="clear" w:color="auto" w:fill="EDF1F5"/>
          </w:tcPr>
          <w:p>
            <w:pPr>
              <w:spacing w:after="0"/>
            </w:pPr>
            <w:r/>
            <w:r>
              <w:rPr>
                <w:sz w:val="19"/>
              </w:rPr>
              <w:t>table_7.8_equilibrium_audit.xlsx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5,466 B</w:t>
            </w:r>
          </w:p>
        </w:tc>
      </w:tr>
      <w:tr>
        <w:tc>
          <w:tcPr>
            <w:tcW w:type="dxa" w:w="3120"/>
          </w:tcPr>
          <w:p>
            <w:pPr>
              <w:spacing w:after="0"/>
            </w:pPr>
            <w:r/>
            <w:r>
              <w:rPr>
                <w:sz w:val="19"/>
              </w:rPr>
              <w:t>table_7.9_mc_convergence.csv</w:t>
            </w:r>
          </w:p>
        </w:tc>
        <w:tc>
          <w:tcPr>
            <w:tcW w:type="dxa" w:w="3120"/>
          </w:tcPr>
          <w:p>
            <w:pPr>
              <w:spacing w:after="0"/>
            </w:pPr>
            <w:r/>
            <w:r>
              <w:rPr>
                <w:sz w:val="19"/>
              </w:rPr>
              <w:t>table</w:t>
            </w:r>
          </w:p>
        </w:tc>
        <w:tc>
          <w:tcPr>
            <w:tcW w:type="dxa" w:w="3120"/>
          </w:tcPr>
          <w:p>
            <w:pPr>
              <w:spacing w:after="0"/>
            </w:pPr>
            <w:r/>
            <w:r>
              <w:rPr>
                <w:sz w:val="19"/>
              </w:rPr>
              <w:t>496 B</w:t>
            </w:r>
          </w:p>
        </w:tc>
      </w:tr>
      <w:tr>
        <w:tc>
          <w:tcPr>
            <w:tcW w:type="dxa" w:w="3120"/>
            <w:shd w:val="clear" w:color="auto" w:fill="EDF1F5"/>
          </w:tcPr>
          <w:p>
            <w:pPr>
              <w:spacing w:after="0"/>
            </w:pPr>
            <w:r/>
            <w:r>
              <w:rPr>
                <w:sz w:val="19"/>
              </w:rPr>
              <w:t>table_7.9_mc_convergence.tex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1,013 B</w:t>
            </w:r>
          </w:p>
        </w:tc>
      </w:tr>
      <w:tr>
        <w:tc>
          <w:tcPr>
            <w:tcW w:type="dxa" w:w="3120"/>
          </w:tcPr>
          <w:p>
            <w:pPr>
              <w:spacing w:after="0"/>
            </w:pPr>
            <w:r/>
            <w:r>
              <w:rPr>
                <w:sz w:val="19"/>
              </w:rPr>
              <w:t>table_7.9_mc_convergence.xlsx</w:t>
            </w:r>
          </w:p>
        </w:tc>
        <w:tc>
          <w:tcPr>
            <w:tcW w:type="dxa" w:w="3120"/>
          </w:tcPr>
          <w:p>
            <w:pPr>
              <w:spacing w:after="0"/>
            </w:pPr>
            <w:r/>
            <w:r>
              <w:rPr>
                <w:sz w:val="19"/>
              </w:rPr>
              <w:t>table</w:t>
            </w:r>
          </w:p>
        </w:tc>
        <w:tc>
          <w:tcPr>
            <w:tcW w:type="dxa" w:w="3120"/>
          </w:tcPr>
          <w:p>
            <w:pPr>
              <w:spacing w:after="0"/>
            </w:pPr>
            <w:r/>
            <w:r>
              <w:rPr>
                <w:sz w:val="19"/>
              </w:rPr>
              <w:t>5,631 B</w:t>
            </w:r>
          </w:p>
        </w:tc>
      </w:tr>
      <w:tr>
        <w:tc>
          <w:tcPr>
            <w:tcW w:type="dxa" w:w="3120"/>
            <w:shd w:val="clear" w:color="auto" w:fill="EDF1F5"/>
          </w:tcPr>
          <w:p>
            <w:pPr>
              <w:spacing w:after="0"/>
            </w:pPr>
            <w:r/>
            <w:r>
              <w:rPr>
                <w:sz w:val="19"/>
              </w:rPr>
              <w:t>table_8.1.csv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464 B</w:t>
            </w:r>
          </w:p>
        </w:tc>
      </w:tr>
      <w:tr>
        <w:tc>
          <w:tcPr>
            <w:tcW w:type="dxa" w:w="3120"/>
          </w:tcPr>
          <w:p>
            <w:pPr>
              <w:spacing w:after="0"/>
            </w:pPr>
            <w:r/>
            <w:r>
              <w:rPr>
                <w:sz w:val="19"/>
              </w:rPr>
              <w:t>table_8.1.tex</w:t>
            </w:r>
          </w:p>
        </w:tc>
        <w:tc>
          <w:tcPr>
            <w:tcW w:type="dxa" w:w="3120"/>
          </w:tcPr>
          <w:p>
            <w:pPr>
              <w:spacing w:after="0"/>
            </w:pPr>
            <w:r/>
            <w:r>
              <w:rPr>
                <w:sz w:val="19"/>
              </w:rPr>
              <w:t>table</w:t>
            </w:r>
          </w:p>
        </w:tc>
        <w:tc>
          <w:tcPr>
            <w:tcW w:type="dxa" w:w="3120"/>
          </w:tcPr>
          <w:p>
            <w:pPr>
              <w:spacing w:after="0"/>
            </w:pPr>
            <w:r/>
            <w:r>
              <w:rPr>
                <w:sz w:val="19"/>
              </w:rPr>
              <w:t>946 B</w:t>
            </w:r>
          </w:p>
        </w:tc>
      </w:tr>
      <w:tr>
        <w:tc>
          <w:tcPr>
            <w:tcW w:type="dxa" w:w="3120"/>
            <w:shd w:val="clear" w:color="auto" w:fill="EDF1F5"/>
          </w:tcPr>
          <w:p>
            <w:pPr>
              <w:spacing w:after="0"/>
            </w:pPr>
            <w:r/>
            <w:r>
              <w:rPr>
                <w:sz w:val="19"/>
              </w:rPr>
              <w:t>table_8.1.xlsx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5,537 B</w:t>
            </w:r>
          </w:p>
        </w:tc>
      </w:tr>
      <w:tr>
        <w:tc>
          <w:tcPr>
            <w:tcW w:type="dxa" w:w="3120"/>
          </w:tcPr>
          <w:p>
            <w:pPr>
              <w:spacing w:after="0"/>
            </w:pPr>
            <w:r/>
            <w:r>
              <w:rPr>
                <w:sz w:val="19"/>
              </w:rPr>
              <w:t>table_8.2.csv</w:t>
            </w:r>
          </w:p>
        </w:tc>
        <w:tc>
          <w:tcPr>
            <w:tcW w:type="dxa" w:w="3120"/>
          </w:tcPr>
          <w:p>
            <w:pPr>
              <w:spacing w:after="0"/>
            </w:pPr>
            <w:r/>
            <w:r>
              <w:rPr>
                <w:sz w:val="19"/>
              </w:rPr>
              <w:t>table</w:t>
            </w:r>
          </w:p>
        </w:tc>
        <w:tc>
          <w:tcPr>
            <w:tcW w:type="dxa" w:w="3120"/>
          </w:tcPr>
          <w:p>
            <w:pPr>
              <w:spacing w:after="0"/>
            </w:pPr>
            <w:r/>
            <w:r>
              <w:rPr>
                <w:sz w:val="19"/>
              </w:rPr>
              <w:t>1,006 B</w:t>
            </w:r>
          </w:p>
        </w:tc>
      </w:tr>
      <w:tr>
        <w:tc>
          <w:tcPr>
            <w:tcW w:type="dxa" w:w="3120"/>
            <w:shd w:val="clear" w:color="auto" w:fill="EDF1F5"/>
          </w:tcPr>
          <w:p>
            <w:pPr>
              <w:spacing w:after="0"/>
            </w:pPr>
            <w:r/>
            <w:r>
              <w:rPr>
                <w:sz w:val="19"/>
              </w:rPr>
              <w:t>table_8.2.tex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1,594 B</w:t>
            </w:r>
          </w:p>
        </w:tc>
      </w:tr>
      <w:tr>
        <w:tc>
          <w:tcPr>
            <w:tcW w:type="dxa" w:w="3120"/>
          </w:tcPr>
          <w:p>
            <w:pPr>
              <w:spacing w:after="0"/>
            </w:pPr>
            <w:r/>
            <w:r>
              <w:rPr>
                <w:sz w:val="19"/>
              </w:rPr>
              <w:t>table_8.2.xlsx</w:t>
            </w:r>
          </w:p>
        </w:tc>
        <w:tc>
          <w:tcPr>
            <w:tcW w:type="dxa" w:w="3120"/>
          </w:tcPr>
          <w:p>
            <w:pPr>
              <w:spacing w:after="0"/>
            </w:pPr>
            <w:r/>
            <w:r>
              <w:rPr>
                <w:sz w:val="19"/>
              </w:rPr>
              <w:t>table</w:t>
            </w:r>
          </w:p>
        </w:tc>
        <w:tc>
          <w:tcPr>
            <w:tcW w:type="dxa" w:w="3120"/>
          </w:tcPr>
          <w:p>
            <w:pPr>
              <w:spacing w:after="0"/>
            </w:pPr>
            <w:r/>
            <w:r>
              <w:rPr>
                <w:sz w:val="19"/>
              </w:rPr>
              <w:t>5,839 B</w:t>
            </w:r>
          </w:p>
        </w:tc>
      </w:tr>
      <w:tr>
        <w:tc>
          <w:tcPr>
            <w:tcW w:type="dxa" w:w="3120"/>
            <w:shd w:val="clear" w:color="auto" w:fill="EDF1F5"/>
          </w:tcPr>
          <w:p>
            <w:pPr>
              <w:spacing w:after="0"/>
            </w:pPr>
            <w:r/>
            <w:r>
              <w:rPr>
                <w:sz w:val="19"/>
              </w:rPr>
              <w:t>table_8.3.csv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1,514 B</w:t>
            </w:r>
          </w:p>
        </w:tc>
      </w:tr>
      <w:tr>
        <w:tc>
          <w:tcPr>
            <w:tcW w:type="dxa" w:w="3120"/>
          </w:tcPr>
          <w:p>
            <w:pPr>
              <w:spacing w:after="0"/>
            </w:pPr>
            <w:r/>
            <w:r>
              <w:rPr>
                <w:sz w:val="19"/>
              </w:rPr>
              <w:t>table_8.3.tex</w:t>
            </w:r>
          </w:p>
        </w:tc>
        <w:tc>
          <w:tcPr>
            <w:tcW w:type="dxa" w:w="3120"/>
          </w:tcPr>
          <w:p>
            <w:pPr>
              <w:spacing w:after="0"/>
            </w:pPr>
            <w:r/>
            <w:r>
              <w:rPr>
                <w:sz w:val="19"/>
              </w:rPr>
              <w:t>table</w:t>
            </w:r>
          </w:p>
        </w:tc>
        <w:tc>
          <w:tcPr>
            <w:tcW w:type="dxa" w:w="3120"/>
          </w:tcPr>
          <w:p>
            <w:pPr>
              <w:spacing w:after="0"/>
            </w:pPr>
            <w:r/>
            <w:r>
              <w:rPr>
                <w:sz w:val="19"/>
              </w:rPr>
              <w:t>2,106 B</w:t>
            </w:r>
          </w:p>
        </w:tc>
      </w:tr>
      <w:tr>
        <w:tc>
          <w:tcPr>
            <w:tcW w:type="dxa" w:w="3120"/>
            <w:shd w:val="clear" w:color="auto" w:fill="EDF1F5"/>
          </w:tcPr>
          <w:p>
            <w:pPr>
              <w:spacing w:after="0"/>
            </w:pPr>
            <w:r/>
            <w:r>
              <w:rPr>
                <w:sz w:val="19"/>
              </w:rPr>
              <w:t>table_8.3.xlsx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5,891 B</w:t>
            </w:r>
          </w:p>
        </w:tc>
      </w:tr>
      <w:tr>
        <w:tc>
          <w:tcPr>
            <w:tcW w:type="dxa" w:w="3120"/>
          </w:tcPr>
          <w:p>
            <w:pPr>
              <w:spacing w:after="0"/>
            </w:pPr>
            <w:r/>
            <w:r>
              <w:rPr>
                <w:sz w:val="19"/>
              </w:rPr>
              <w:t>table_8.4.csv</w:t>
            </w:r>
          </w:p>
        </w:tc>
        <w:tc>
          <w:tcPr>
            <w:tcW w:type="dxa" w:w="3120"/>
          </w:tcPr>
          <w:p>
            <w:pPr>
              <w:spacing w:after="0"/>
            </w:pPr>
            <w:r/>
            <w:r>
              <w:rPr>
                <w:sz w:val="19"/>
              </w:rPr>
              <w:t>table</w:t>
            </w:r>
          </w:p>
        </w:tc>
        <w:tc>
          <w:tcPr>
            <w:tcW w:type="dxa" w:w="3120"/>
          </w:tcPr>
          <w:p>
            <w:pPr>
              <w:spacing w:after="0"/>
            </w:pPr>
            <w:r/>
            <w:r>
              <w:rPr>
                <w:sz w:val="19"/>
              </w:rPr>
              <w:t>333 B</w:t>
            </w:r>
          </w:p>
        </w:tc>
      </w:tr>
      <w:tr>
        <w:tc>
          <w:tcPr>
            <w:tcW w:type="dxa" w:w="3120"/>
            <w:shd w:val="clear" w:color="auto" w:fill="EDF1F5"/>
          </w:tcPr>
          <w:p>
            <w:pPr>
              <w:spacing w:after="0"/>
            </w:pPr>
            <w:r/>
            <w:r>
              <w:rPr>
                <w:sz w:val="19"/>
              </w:rPr>
              <w:t>table_8.4.tex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769 B</w:t>
            </w:r>
          </w:p>
        </w:tc>
      </w:tr>
      <w:tr>
        <w:tc>
          <w:tcPr>
            <w:tcW w:type="dxa" w:w="3120"/>
          </w:tcPr>
          <w:p>
            <w:pPr>
              <w:spacing w:after="0"/>
            </w:pPr>
            <w:r/>
            <w:r>
              <w:rPr>
                <w:sz w:val="19"/>
              </w:rPr>
              <w:t>table_8.4.xlsx</w:t>
            </w:r>
          </w:p>
        </w:tc>
        <w:tc>
          <w:tcPr>
            <w:tcW w:type="dxa" w:w="3120"/>
          </w:tcPr>
          <w:p>
            <w:pPr>
              <w:spacing w:after="0"/>
            </w:pPr>
            <w:r/>
            <w:r>
              <w:rPr>
                <w:sz w:val="19"/>
              </w:rPr>
              <w:t>table</w:t>
            </w:r>
          </w:p>
        </w:tc>
        <w:tc>
          <w:tcPr>
            <w:tcW w:type="dxa" w:w="3120"/>
          </w:tcPr>
          <w:p>
            <w:pPr>
              <w:spacing w:after="0"/>
            </w:pPr>
            <w:r/>
            <w:r>
              <w:rPr>
                <w:sz w:val="19"/>
              </w:rPr>
              <w:t>5,507 B</w:t>
            </w:r>
          </w:p>
        </w:tc>
      </w:tr>
      <w:tr>
        <w:tc>
          <w:tcPr>
            <w:tcW w:type="dxa" w:w="3120"/>
            <w:shd w:val="clear" w:color="auto" w:fill="EDF1F5"/>
          </w:tcPr>
          <w:p>
            <w:pPr>
              <w:spacing w:after="0"/>
            </w:pPr>
            <w:r/>
            <w:r>
              <w:rPr>
                <w:sz w:val="19"/>
              </w:rPr>
              <w:t>table_8.5.csv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2,776 B</w:t>
            </w:r>
          </w:p>
        </w:tc>
      </w:tr>
      <w:tr>
        <w:tc>
          <w:tcPr>
            <w:tcW w:type="dxa" w:w="3120"/>
          </w:tcPr>
          <w:p>
            <w:pPr>
              <w:spacing w:after="0"/>
            </w:pPr>
            <w:r/>
            <w:r>
              <w:rPr>
                <w:sz w:val="19"/>
              </w:rPr>
              <w:t>table_8.5.tex</w:t>
            </w:r>
          </w:p>
        </w:tc>
        <w:tc>
          <w:tcPr>
            <w:tcW w:type="dxa" w:w="3120"/>
          </w:tcPr>
          <w:p>
            <w:pPr>
              <w:spacing w:after="0"/>
            </w:pPr>
            <w:r/>
            <w:r>
              <w:rPr>
                <w:sz w:val="19"/>
              </w:rPr>
              <w:t>table</w:t>
            </w:r>
          </w:p>
        </w:tc>
        <w:tc>
          <w:tcPr>
            <w:tcW w:type="dxa" w:w="3120"/>
          </w:tcPr>
          <w:p>
            <w:pPr>
              <w:spacing w:after="0"/>
            </w:pPr>
            <w:r/>
            <w:r>
              <w:rPr>
                <w:sz w:val="19"/>
              </w:rPr>
              <w:t>3,322 B</w:t>
            </w:r>
          </w:p>
        </w:tc>
      </w:tr>
      <w:tr>
        <w:tc>
          <w:tcPr>
            <w:tcW w:type="dxa" w:w="3120"/>
            <w:shd w:val="clear" w:color="auto" w:fill="EDF1F5"/>
          </w:tcPr>
          <w:p>
            <w:pPr>
              <w:spacing w:after="0"/>
            </w:pPr>
            <w:r/>
            <w:r>
              <w:rPr>
                <w:sz w:val="19"/>
              </w:rPr>
              <w:t>table_8.5.xlsx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7,042 B</w:t>
            </w:r>
          </w:p>
        </w:tc>
      </w:tr>
      <w:tr>
        <w:tc>
          <w:tcPr>
            <w:tcW w:type="dxa" w:w="3120"/>
          </w:tcPr>
          <w:p>
            <w:pPr>
              <w:spacing w:after="0"/>
            </w:pPr>
            <w:r/>
            <w:r>
              <w:rPr>
                <w:sz w:val="19"/>
              </w:rPr>
              <w:t>table_8.6.csv</w:t>
            </w:r>
          </w:p>
        </w:tc>
        <w:tc>
          <w:tcPr>
            <w:tcW w:type="dxa" w:w="3120"/>
          </w:tcPr>
          <w:p>
            <w:pPr>
              <w:spacing w:after="0"/>
            </w:pPr>
            <w:r/>
            <w:r>
              <w:rPr>
                <w:sz w:val="19"/>
              </w:rPr>
              <w:t>table</w:t>
            </w:r>
          </w:p>
        </w:tc>
        <w:tc>
          <w:tcPr>
            <w:tcW w:type="dxa" w:w="3120"/>
          </w:tcPr>
          <w:p>
            <w:pPr>
              <w:spacing w:after="0"/>
            </w:pPr>
            <w:r/>
            <w:r>
              <w:rPr>
                <w:sz w:val="19"/>
              </w:rPr>
              <w:t>18,530 B</w:t>
            </w:r>
          </w:p>
        </w:tc>
      </w:tr>
      <w:tr>
        <w:tc>
          <w:tcPr>
            <w:tcW w:type="dxa" w:w="3120"/>
            <w:shd w:val="clear" w:color="auto" w:fill="EDF1F5"/>
          </w:tcPr>
          <w:p>
            <w:pPr>
              <w:spacing w:after="0"/>
            </w:pPr>
            <w:r/>
            <w:r>
              <w:rPr>
                <w:sz w:val="19"/>
              </w:rPr>
              <w:t>table_8.6.tex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20,590 B</w:t>
            </w:r>
          </w:p>
        </w:tc>
      </w:tr>
      <w:tr>
        <w:tc>
          <w:tcPr>
            <w:tcW w:type="dxa" w:w="3120"/>
          </w:tcPr>
          <w:p>
            <w:pPr>
              <w:spacing w:after="0"/>
            </w:pPr>
            <w:r/>
            <w:r>
              <w:rPr>
                <w:sz w:val="19"/>
              </w:rPr>
              <w:t>table_8.6.xlsx</w:t>
            </w:r>
          </w:p>
        </w:tc>
        <w:tc>
          <w:tcPr>
            <w:tcW w:type="dxa" w:w="3120"/>
          </w:tcPr>
          <w:p>
            <w:pPr>
              <w:spacing w:after="0"/>
            </w:pPr>
            <w:r/>
            <w:r>
              <w:rPr>
                <w:sz w:val="19"/>
              </w:rPr>
              <w:t>table</w:t>
            </w:r>
          </w:p>
        </w:tc>
        <w:tc>
          <w:tcPr>
            <w:tcW w:type="dxa" w:w="3120"/>
          </w:tcPr>
          <w:p>
            <w:pPr>
              <w:spacing w:after="0"/>
            </w:pPr>
            <w:r/>
            <w:r>
              <w:rPr>
                <w:sz w:val="19"/>
              </w:rPr>
              <w:t>13,780 B</w:t>
            </w:r>
          </w:p>
        </w:tc>
      </w:tr>
      <w:tr>
        <w:tc>
          <w:tcPr>
            <w:tcW w:type="dxa" w:w="3120"/>
            <w:shd w:val="clear" w:color="auto" w:fill="EDF1F5"/>
          </w:tcPr>
          <w:p>
            <w:pPr>
              <w:spacing w:after="0"/>
            </w:pPr>
            <w:r/>
            <w:r>
              <w:rPr>
                <w:sz w:val="19"/>
              </w:rPr>
              <w:t>table_8.7_structural_estimation.csv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721 B</w:t>
            </w:r>
          </w:p>
        </w:tc>
      </w:tr>
      <w:tr>
        <w:tc>
          <w:tcPr>
            <w:tcW w:type="dxa" w:w="3120"/>
          </w:tcPr>
          <w:p>
            <w:pPr>
              <w:spacing w:after="0"/>
            </w:pPr>
            <w:r/>
            <w:r>
              <w:rPr>
                <w:sz w:val="19"/>
              </w:rPr>
              <w:t>table_8.7_structural_estimation.tex</w:t>
            </w:r>
          </w:p>
        </w:tc>
        <w:tc>
          <w:tcPr>
            <w:tcW w:type="dxa" w:w="3120"/>
          </w:tcPr>
          <w:p>
            <w:pPr>
              <w:spacing w:after="0"/>
            </w:pPr>
            <w:r/>
            <w:r>
              <w:rPr>
                <w:sz w:val="19"/>
              </w:rPr>
              <w:t>table</w:t>
            </w:r>
          </w:p>
        </w:tc>
        <w:tc>
          <w:tcPr>
            <w:tcW w:type="dxa" w:w="3120"/>
          </w:tcPr>
          <w:p>
            <w:pPr>
              <w:spacing w:after="0"/>
            </w:pPr>
            <w:r/>
            <w:r>
              <w:rPr>
                <w:sz w:val="19"/>
              </w:rPr>
              <w:t>1,297 B</w:t>
            </w:r>
          </w:p>
        </w:tc>
      </w:tr>
      <w:tr>
        <w:tc>
          <w:tcPr>
            <w:tcW w:type="dxa" w:w="3120"/>
            <w:shd w:val="clear" w:color="auto" w:fill="EDF1F5"/>
          </w:tcPr>
          <w:p>
            <w:pPr>
              <w:spacing w:after="0"/>
            </w:pPr>
            <w:r/>
            <w:r>
              <w:rPr>
                <w:sz w:val="19"/>
              </w:rPr>
              <w:t>table_8.7_structural_estimation.xlsx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5,706 B</w:t>
            </w:r>
          </w:p>
        </w:tc>
      </w:tr>
      <w:tr>
        <w:tc>
          <w:tcPr>
            <w:tcW w:type="dxa" w:w="3120"/>
          </w:tcPr>
          <w:p>
            <w:pPr>
              <w:spacing w:after="0"/>
            </w:pPr>
            <w:r/>
            <w:r>
              <w:rPr>
                <w:sz w:val="19"/>
              </w:rPr>
              <w:t>table_A.0.network.csv</w:t>
            </w:r>
          </w:p>
        </w:tc>
        <w:tc>
          <w:tcPr>
            <w:tcW w:type="dxa" w:w="3120"/>
          </w:tcPr>
          <w:p>
            <w:pPr>
              <w:spacing w:after="0"/>
            </w:pPr>
            <w:r/>
            <w:r>
              <w:rPr>
                <w:sz w:val="19"/>
              </w:rPr>
              <w:t>table</w:t>
            </w:r>
          </w:p>
        </w:tc>
        <w:tc>
          <w:tcPr>
            <w:tcW w:type="dxa" w:w="3120"/>
          </w:tcPr>
          <w:p>
            <w:pPr>
              <w:spacing w:after="0"/>
            </w:pPr>
            <w:r/>
            <w:r>
              <w:rPr>
                <w:sz w:val="19"/>
              </w:rPr>
              <w:t>125 B</w:t>
            </w:r>
          </w:p>
        </w:tc>
      </w:tr>
      <w:tr>
        <w:tc>
          <w:tcPr>
            <w:tcW w:type="dxa" w:w="3120"/>
            <w:shd w:val="clear" w:color="auto" w:fill="EDF1F5"/>
          </w:tcPr>
          <w:p>
            <w:pPr>
              <w:spacing w:after="0"/>
            </w:pPr>
            <w:r/>
            <w:r>
              <w:rPr>
                <w:sz w:val="19"/>
              </w:rPr>
              <w:t>table_A.0.network.tex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549 B</w:t>
            </w:r>
          </w:p>
        </w:tc>
      </w:tr>
      <w:tr>
        <w:tc>
          <w:tcPr>
            <w:tcW w:type="dxa" w:w="3120"/>
          </w:tcPr>
          <w:p>
            <w:pPr>
              <w:spacing w:after="0"/>
            </w:pPr>
            <w:r/>
            <w:r>
              <w:rPr>
                <w:sz w:val="19"/>
              </w:rPr>
              <w:t>table_A.0.network.xlsx</w:t>
            </w:r>
          </w:p>
        </w:tc>
        <w:tc>
          <w:tcPr>
            <w:tcW w:type="dxa" w:w="3120"/>
          </w:tcPr>
          <w:p>
            <w:pPr>
              <w:spacing w:after="0"/>
            </w:pPr>
            <w:r/>
            <w:r>
              <w:rPr>
                <w:sz w:val="19"/>
              </w:rPr>
              <w:t>table</w:t>
            </w:r>
          </w:p>
        </w:tc>
        <w:tc>
          <w:tcPr>
            <w:tcW w:type="dxa" w:w="3120"/>
          </w:tcPr>
          <w:p>
            <w:pPr>
              <w:spacing w:after="0"/>
            </w:pPr>
            <w:r/>
            <w:r>
              <w:rPr>
                <w:sz w:val="19"/>
              </w:rPr>
              <w:t>5,299 B</w:t>
            </w:r>
          </w:p>
        </w:tc>
      </w:tr>
      <w:tr>
        <w:tc>
          <w:tcPr>
            <w:tcW w:type="dxa" w:w="3120"/>
            <w:shd w:val="clear" w:color="auto" w:fill="EDF1F5"/>
          </w:tcPr>
          <w:p>
            <w:pPr>
              <w:spacing w:after="0"/>
            </w:pPr>
            <w:r/>
            <w:r>
              <w:rPr>
                <w:sz w:val="19"/>
              </w:rPr>
              <w:t>table_A.1.network.risk.csv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195 B</w:t>
            </w:r>
          </w:p>
        </w:tc>
      </w:tr>
      <w:tr>
        <w:tc>
          <w:tcPr>
            <w:tcW w:type="dxa" w:w="3120"/>
          </w:tcPr>
          <w:p>
            <w:pPr>
              <w:spacing w:after="0"/>
            </w:pPr>
            <w:r/>
            <w:r>
              <w:rPr>
                <w:sz w:val="19"/>
              </w:rPr>
              <w:t>table_A.1.network.risk.tex</w:t>
            </w:r>
          </w:p>
        </w:tc>
        <w:tc>
          <w:tcPr>
            <w:tcW w:type="dxa" w:w="3120"/>
          </w:tcPr>
          <w:p>
            <w:pPr>
              <w:spacing w:after="0"/>
            </w:pPr>
            <w:r/>
            <w:r>
              <w:rPr>
                <w:sz w:val="19"/>
              </w:rPr>
              <w:t>table</w:t>
            </w:r>
          </w:p>
        </w:tc>
        <w:tc>
          <w:tcPr>
            <w:tcW w:type="dxa" w:w="3120"/>
          </w:tcPr>
          <w:p>
            <w:pPr>
              <w:spacing w:after="0"/>
            </w:pPr>
            <w:r/>
            <w:r>
              <w:rPr>
                <w:sz w:val="19"/>
              </w:rPr>
              <w:t>621 B</w:t>
            </w:r>
          </w:p>
        </w:tc>
      </w:tr>
      <w:tr>
        <w:tc>
          <w:tcPr>
            <w:tcW w:type="dxa" w:w="3120"/>
            <w:shd w:val="clear" w:color="auto" w:fill="EDF1F5"/>
          </w:tcPr>
          <w:p>
            <w:pPr>
              <w:spacing w:after="0"/>
            </w:pPr>
            <w:r/>
            <w:r>
              <w:rPr>
                <w:sz w:val="19"/>
              </w:rPr>
              <w:t>table_A.1.network.risk.xlsx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5,314 B</w:t>
            </w:r>
          </w:p>
        </w:tc>
      </w:tr>
      <w:tr>
        <w:tc>
          <w:tcPr>
            <w:tcW w:type="dxa" w:w="3120"/>
          </w:tcPr>
          <w:p>
            <w:pPr>
              <w:spacing w:after="0"/>
            </w:pPr>
            <w:r/>
            <w:r>
              <w:rPr>
                <w:sz w:val="19"/>
              </w:rPr>
              <w:t>table_A.2.portfolio.risk.csv</w:t>
            </w:r>
          </w:p>
        </w:tc>
        <w:tc>
          <w:tcPr>
            <w:tcW w:type="dxa" w:w="3120"/>
          </w:tcPr>
          <w:p>
            <w:pPr>
              <w:spacing w:after="0"/>
            </w:pPr>
            <w:r/>
            <w:r>
              <w:rPr>
                <w:sz w:val="19"/>
              </w:rPr>
              <w:t>table</w:t>
            </w:r>
          </w:p>
        </w:tc>
        <w:tc>
          <w:tcPr>
            <w:tcW w:type="dxa" w:w="3120"/>
          </w:tcPr>
          <w:p>
            <w:pPr>
              <w:spacing w:after="0"/>
            </w:pPr>
            <w:r/>
            <w:r>
              <w:rPr>
                <w:sz w:val="19"/>
              </w:rPr>
              <w:t>106 B</w:t>
            </w:r>
          </w:p>
        </w:tc>
      </w:tr>
      <w:tr>
        <w:tc>
          <w:tcPr>
            <w:tcW w:type="dxa" w:w="3120"/>
            <w:shd w:val="clear" w:color="auto" w:fill="EDF1F5"/>
          </w:tcPr>
          <w:p>
            <w:pPr>
              <w:spacing w:after="0"/>
            </w:pPr>
            <w:r/>
            <w:r>
              <w:rPr>
                <w:sz w:val="19"/>
              </w:rPr>
              <w:t>table_A.2.portfolio.risk.tex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536 B</w:t>
            </w:r>
          </w:p>
        </w:tc>
      </w:tr>
      <w:tr>
        <w:tc>
          <w:tcPr>
            <w:tcW w:type="dxa" w:w="3120"/>
          </w:tcPr>
          <w:p>
            <w:pPr>
              <w:spacing w:after="0"/>
            </w:pPr>
            <w:r/>
            <w:r>
              <w:rPr>
                <w:sz w:val="19"/>
              </w:rPr>
              <w:t>table_A.2.portfolio.risk.xlsx</w:t>
            </w:r>
          </w:p>
        </w:tc>
        <w:tc>
          <w:tcPr>
            <w:tcW w:type="dxa" w:w="3120"/>
          </w:tcPr>
          <w:p>
            <w:pPr>
              <w:spacing w:after="0"/>
            </w:pPr>
            <w:r/>
            <w:r>
              <w:rPr>
                <w:sz w:val="19"/>
              </w:rPr>
              <w:t>table</w:t>
            </w:r>
          </w:p>
        </w:tc>
        <w:tc>
          <w:tcPr>
            <w:tcW w:type="dxa" w:w="3120"/>
          </w:tcPr>
          <w:p>
            <w:pPr>
              <w:spacing w:after="0"/>
            </w:pPr>
            <w:r/>
            <w:r>
              <w:rPr>
                <w:sz w:val="19"/>
              </w:rPr>
              <w:t>5,255 B</w:t>
            </w:r>
          </w:p>
        </w:tc>
      </w:tr>
      <w:tr>
        <w:tc>
          <w:tcPr>
            <w:tcW w:type="dxa" w:w="3120"/>
            <w:shd w:val="clear" w:color="auto" w:fill="EDF1F5"/>
          </w:tcPr>
          <w:p>
            <w:pPr>
              <w:spacing w:after="0"/>
            </w:pPr>
            <w:r/>
            <w:r>
              <w:rPr>
                <w:sz w:val="19"/>
              </w:rPr>
              <w:t>table_A.3.success.scores.csv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53 B</w:t>
            </w:r>
          </w:p>
        </w:tc>
      </w:tr>
      <w:tr>
        <w:tc>
          <w:tcPr>
            <w:tcW w:type="dxa" w:w="3120"/>
          </w:tcPr>
          <w:p>
            <w:pPr>
              <w:spacing w:after="0"/>
            </w:pPr>
            <w:r/>
            <w:r>
              <w:rPr>
                <w:sz w:val="19"/>
              </w:rPr>
              <w:t>table_A.3.success.scores.tex</w:t>
            </w:r>
          </w:p>
        </w:tc>
        <w:tc>
          <w:tcPr>
            <w:tcW w:type="dxa" w:w="3120"/>
          </w:tcPr>
          <w:p>
            <w:pPr>
              <w:spacing w:after="0"/>
            </w:pPr>
            <w:r/>
            <w:r>
              <w:rPr>
                <w:sz w:val="19"/>
              </w:rPr>
              <w:t>table</w:t>
            </w:r>
          </w:p>
        </w:tc>
        <w:tc>
          <w:tcPr>
            <w:tcW w:type="dxa" w:w="3120"/>
          </w:tcPr>
          <w:p>
            <w:pPr>
              <w:spacing w:after="0"/>
            </w:pPr>
            <w:r/>
            <w:r>
              <w:rPr>
                <w:sz w:val="19"/>
              </w:rPr>
              <w:t>472 B</w:t>
            </w:r>
          </w:p>
        </w:tc>
      </w:tr>
      <w:tr>
        <w:tc>
          <w:tcPr>
            <w:tcW w:type="dxa" w:w="3120"/>
            <w:shd w:val="clear" w:color="auto" w:fill="EDF1F5"/>
          </w:tcPr>
          <w:p>
            <w:pPr>
              <w:spacing w:after="0"/>
            </w:pPr>
            <w:r/>
            <w:r>
              <w:rPr>
                <w:sz w:val="19"/>
              </w:rPr>
              <w:t>table_A.3.success.scores.xlsx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5,221 B</w:t>
            </w:r>
          </w:p>
        </w:tc>
      </w:tr>
      <w:tr>
        <w:tc>
          <w:tcPr>
            <w:tcW w:type="dxa" w:w="3120"/>
          </w:tcPr>
          <w:p>
            <w:pPr>
              <w:spacing w:after="0"/>
            </w:pPr>
            <w:r/>
            <w:r>
              <w:rPr>
                <w:sz w:val="19"/>
              </w:rPr>
              <w:t>table_A.4.layer.exposure.csv</w:t>
            </w:r>
          </w:p>
        </w:tc>
        <w:tc>
          <w:tcPr>
            <w:tcW w:type="dxa" w:w="3120"/>
          </w:tcPr>
          <w:p>
            <w:pPr>
              <w:spacing w:after="0"/>
            </w:pPr>
            <w:r/>
            <w:r>
              <w:rPr>
                <w:sz w:val="19"/>
              </w:rPr>
              <w:t>table</w:t>
            </w:r>
          </w:p>
        </w:tc>
        <w:tc>
          <w:tcPr>
            <w:tcW w:type="dxa" w:w="3120"/>
          </w:tcPr>
          <w:p>
            <w:pPr>
              <w:spacing w:after="0"/>
            </w:pPr>
            <w:r/>
            <w:r>
              <w:rPr>
                <w:sz w:val="19"/>
              </w:rPr>
              <w:t>810 B</w:t>
            </w:r>
          </w:p>
        </w:tc>
      </w:tr>
      <w:tr>
        <w:tc>
          <w:tcPr>
            <w:tcW w:type="dxa" w:w="3120"/>
            <w:shd w:val="clear" w:color="auto" w:fill="EDF1F5"/>
          </w:tcPr>
          <w:p>
            <w:pPr>
              <w:spacing w:after="0"/>
            </w:pPr>
            <w:r/>
            <w:r>
              <w:rPr>
                <w:sz w:val="19"/>
              </w:rPr>
              <w:t>table_A.4.layer.exposure.tex</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1,341 B</w:t>
            </w:r>
          </w:p>
        </w:tc>
      </w:tr>
      <w:tr>
        <w:tc>
          <w:tcPr>
            <w:tcW w:type="dxa" w:w="3120"/>
          </w:tcPr>
          <w:p>
            <w:pPr>
              <w:spacing w:after="0"/>
            </w:pPr>
            <w:r/>
            <w:r>
              <w:rPr>
                <w:sz w:val="19"/>
              </w:rPr>
              <w:t>table_A.4.layer.exposure.xlsx</w:t>
            </w:r>
          </w:p>
        </w:tc>
        <w:tc>
          <w:tcPr>
            <w:tcW w:type="dxa" w:w="3120"/>
          </w:tcPr>
          <w:p>
            <w:pPr>
              <w:spacing w:after="0"/>
            </w:pPr>
            <w:r/>
            <w:r>
              <w:rPr>
                <w:sz w:val="19"/>
              </w:rPr>
              <w:t>table</w:t>
            </w:r>
          </w:p>
        </w:tc>
        <w:tc>
          <w:tcPr>
            <w:tcW w:type="dxa" w:w="3120"/>
          </w:tcPr>
          <w:p>
            <w:pPr>
              <w:spacing w:after="0"/>
            </w:pPr>
            <w:r/>
            <w:r>
              <w:rPr>
                <w:sz w:val="19"/>
              </w:rPr>
              <w:t>5,813 B</w:t>
            </w:r>
          </w:p>
        </w:tc>
      </w:tr>
      <w:tr>
        <w:tc>
          <w:tcPr>
            <w:tcW w:type="dxa" w:w="3120"/>
            <w:shd w:val="clear" w:color="auto" w:fill="EDF1F5"/>
          </w:tcPr>
          <w:p>
            <w:pPr>
              <w:spacing w:after="0"/>
            </w:pPr>
            <w:r/>
            <w:r>
              <w:rPr>
                <w:sz w:val="19"/>
              </w:rPr>
              <w:t>tables_index.csv</w:t>
            </w:r>
          </w:p>
        </w:tc>
        <w:tc>
          <w:tcPr>
            <w:tcW w:type="dxa" w:w="3120"/>
            <w:shd w:val="clear" w:color="auto" w:fill="EDF1F5"/>
          </w:tcPr>
          <w:p>
            <w:pPr>
              <w:spacing w:after="0"/>
            </w:pPr>
            <w:r/>
            <w:r>
              <w:rPr>
                <w:sz w:val="19"/>
              </w:rPr>
              <w:t>table</w:t>
            </w:r>
          </w:p>
        </w:tc>
        <w:tc>
          <w:tcPr>
            <w:tcW w:type="dxa" w:w="3120"/>
            <w:shd w:val="clear" w:color="auto" w:fill="EDF1F5"/>
          </w:tcPr>
          <w:p>
            <w:pPr>
              <w:spacing w:after="0"/>
            </w:pPr>
            <w:r/>
            <w:r>
              <w:rPr>
                <w:sz w:val="19"/>
              </w:rPr>
              <w:t>2,398 B</w:t>
            </w:r>
          </w:p>
        </w:tc>
      </w:tr>
      <w:tr>
        <w:tc>
          <w:tcPr>
            <w:tcW w:type="dxa" w:w="3120"/>
          </w:tcPr>
          <w:p>
            <w:pPr>
              <w:spacing w:after="0"/>
            </w:pPr>
            <w:r/>
            <w:r>
              <w:rPr>
                <w:sz w:val="19"/>
              </w:rPr>
              <w:t>backtest_2008.pdf</w:t>
            </w:r>
          </w:p>
        </w:tc>
        <w:tc>
          <w:tcPr>
            <w:tcW w:type="dxa" w:w="3120"/>
          </w:tcPr>
          <w:p>
            <w:pPr>
              <w:spacing w:after="0"/>
            </w:pPr>
            <w:r/>
            <w:r>
              <w:rPr>
                <w:sz w:val="19"/>
              </w:rPr>
              <w:t>figure</w:t>
            </w:r>
          </w:p>
        </w:tc>
        <w:tc>
          <w:tcPr>
            <w:tcW w:type="dxa" w:w="3120"/>
          </w:tcPr>
          <w:p>
            <w:pPr>
              <w:spacing w:after="0"/>
            </w:pPr>
            <w:r/>
            <w:r>
              <w:rPr>
                <w:sz w:val="19"/>
              </w:rPr>
              <w:t>23,188 B</w:t>
            </w:r>
          </w:p>
        </w:tc>
      </w:tr>
      <w:tr>
        <w:tc>
          <w:tcPr>
            <w:tcW w:type="dxa" w:w="3120"/>
            <w:shd w:val="clear" w:color="auto" w:fill="EDF1F5"/>
          </w:tcPr>
          <w:p>
            <w:pPr>
              <w:spacing w:after="0"/>
            </w:pPr>
            <w:r/>
            <w:r>
              <w:rPr>
                <w:sz w:val="19"/>
              </w:rPr>
              <w:t>backtest_2008.png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144,239 B</w:t>
            </w:r>
          </w:p>
        </w:tc>
      </w:tr>
      <w:tr>
        <w:tc>
          <w:tcPr>
            <w:tcW w:type="dxa" w:w="3120"/>
          </w:tcPr>
          <w:p>
            <w:pPr>
              <w:spacing w:after="0"/>
            </w:pPr>
            <w:r/>
            <w:r>
              <w:rPr>
                <w:sz w:val="19"/>
              </w:rPr>
              <w:t>backtest_games.pdf</w:t>
            </w:r>
          </w:p>
        </w:tc>
        <w:tc>
          <w:tcPr>
            <w:tcW w:type="dxa" w:w="3120"/>
          </w:tcPr>
          <w:p>
            <w:pPr>
              <w:spacing w:after="0"/>
            </w:pPr>
            <w:r/>
            <w:r>
              <w:rPr>
                <w:sz w:val="19"/>
              </w:rPr>
              <w:t>figure</w:t>
            </w:r>
          </w:p>
        </w:tc>
        <w:tc>
          <w:tcPr>
            <w:tcW w:type="dxa" w:w="3120"/>
          </w:tcPr>
          <w:p>
            <w:pPr>
              <w:spacing w:after="0"/>
            </w:pPr>
            <w:r/>
            <w:r>
              <w:rPr>
                <w:sz w:val="19"/>
              </w:rPr>
              <w:t>24,922 B</w:t>
            </w:r>
          </w:p>
        </w:tc>
      </w:tr>
      <w:tr>
        <w:tc>
          <w:tcPr>
            <w:tcW w:type="dxa" w:w="3120"/>
            <w:shd w:val="clear" w:color="auto" w:fill="EDF1F5"/>
          </w:tcPr>
          <w:p>
            <w:pPr>
              <w:spacing w:after="0"/>
            </w:pPr>
            <w:r/>
            <w:r>
              <w:rPr>
                <w:sz w:val="19"/>
              </w:rPr>
              <w:t>backtest_games.png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165,157 B</w:t>
            </w:r>
          </w:p>
        </w:tc>
      </w:tr>
      <w:tr>
        <w:tc>
          <w:tcPr>
            <w:tcW w:type="dxa" w:w="3120"/>
          </w:tcPr>
          <w:p>
            <w:pPr>
              <w:spacing w:after="0"/>
            </w:pPr>
            <w:r/>
            <w:r>
              <w:rPr>
                <w:sz w:val="19"/>
              </w:rPr>
              <w:t>backtest_gdp_channels.pdf</w:t>
            </w:r>
          </w:p>
        </w:tc>
        <w:tc>
          <w:tcPr>
            <w:tcW w:type="dxa" w:w="3120"/>
          </w:tcPr>
          <w:p>
            <w:pPr>
              <w:spacing w:after="0"/>
            </w:pPr>
            <w:r/>
            <w:r>
              <w:rPr>
                <w:sz w:val="19"/>
              </w:rPr>
              <w:t>figure</w:t>
            </w:r>
          </w:p>
        </w:tc>
        <w:tc>
          <w:tcPr>
            <w:tcW w:type="dxa" w:w="3120"/>
          </w:tcPr>
          <w:p>
            <w:pPr>
              <w:spacing w:after="0"/>
            </w:pPr>
            <w:r/>
            <w:r>
              <w:rPr>
                <w:sz w:val="19"/>
              </w:rPr>
              <w:t>25,577 B</w:t>
            </w:r>
          </w:p>
        </w:tc>
      </w:tr>
      <w:tr>
        <w:tc>
          <w:tcPr>
            <w:tcW w:type="dxa" w:w="3120"/>
            <w:shd w:val="clear" w:color="auto" w:fill="EDF1F5"/>
          </w:tcPr>
          <w:p>
            <w:pPr>
              <w:spacing w:after="0"/>
            </w:pPr>
            <w:r/>
            <w:r>
              <w:rPr>
                <w:sz w:val="19"/>
              </w:rPr>
              <w:t>backtest_gdp_channels.png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140,237 B</w:t>
            </w:r>
          </w:p>
        </w:tc>
      </w:tr>
      <w:tr>
        <w:tc>
          <w:tcPr>
            <w:tcW w:type="dxa" w:w="3120"/>
          </w:tcPr>
          <w:p>
            <w:pPr>
              <w:spacing w:after="0"/>
            </w:pPr>
            <w:r/>
            <w:r>
              <w:rPr>
                <w:sz w:val="19"/>
              </w:rPr>
              <w:t>backtest_hhi_compare.pdf</w:t>
            </w:r>
          </w:p>
        </w:tc>
        <w:tc>
          <w:tcPr>
            <w:tcW w:type="dxa" w:w="3120"/>
          </w:tcPr>
          <w:p>
            <w:pPr>
              <w:spacing w:after="0"/>
            </w:pPr>
            <w:r/>
            <w:r>
              <w:rPr>
                <w:sz w:val="19"/>
              </w:rPr>
              <w:t>figure</w:t>
            </w:r>
          </w:p>
        </w:tc>
        <w:tc>
          <w:tcPr>
            <w:tcW w:type="dxa" w:w="3120"/>
          </w:tcPr>
          <w:p>
            <w:pPr>
              <w:spacing w:after="0"/>
            </w:pPr>
            <w:r/>
            <w:r>
              <w:rPr>
                <w:sz w:val="19"/>
              </w:rPr>
              <w:t>23,059 B</w:t>
            </w:r>
          </w:p>
        </w:tc>
      </w:tr>
      <w:tr>
        <w:tc>
          <w:tcPr>
            <w:tcW w:type="dxa" w:w="3120"/>
            <w:shd w:val="clear" w:color="auto" w:fill="EDF1F5"/>
          </w:tcPr>
          <w:p>
            <w:pPr>
              <w:spacing w:after="0"/>
            </w:pPr>
            <w:r/>
            <w:r>
              <w:rPr>
                <w:sz w:val="19"/>
              </w:rPr>
              <w:t>backtest_hhi_compare.png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123,272 B</w:t>
            </w:r>
          </w:p>
        </w:tc>
      </w:tr>
      <w:tr>
        <w:tc>
          <w:tcPr>
            <w:tcW w:type="dxa" w:w="3120"/>
          </w:tcPr>
          <w:p>
            <w:pPr>
              <w:spacing w:after="0"/>
            </w:pPr>
            <w:r/>
            <w:r>
              <w:rPr>
                <w:sz w:val="19"/>
              </w:rPr>
              <w:t>backtest_rank_validation.pdf</w:t>
            </w:r>
          </w:p>
        </w:tc>
        <w:tc>
          <w:tcPr>
            <w:tcW w:type="dxa" w:w="3120"/>
          </w:tcPr>
          <w:p>
            <w:pPr>
              <w:spacing w:after="0"/>
            </w:pPr>
            <w:r/>
            <w:r>
              <w:rPr>
                <w:sz w:val="19"/>
              </w:rPr>
              <w:t>figure</w:t>
            </w:r>
          </w:p>
        </w:tc>
        <w:tc>
          <w:tcPr>
            <w:tcW w:type="dxa" w:w="3120"/>
          </w:tcPr>
          <w:p>
            <w:pPr>
              <w:spacing w:after="0"/>
            </w:pPr>
            <w:r/>
            <w:r>
              <w:rPr>
                <w:sz w:val="19"/>
              </w:rPr>
              <w:t>23,480 B</w:t>
            </w:r>
          </w:p>
        </w:tc>
      </w:tr>
      <w:tr>
        <w:tc>
          <w:tcPr>
            <w:tcW w:type="dxa" w:w="3120"/>
            <w:shd w:val="clear" w:color="auto" w:fill="EDF1F5"/>
          </w:tcPr>
          <w:p>
            <w:pPr>
              <w:spacing w:after="0"/>
            </w:pPr>
            <w:r/>
            <w:r>
              <w:rPr>
                <w:sz w:val="19"/>
              </w:rPr>
              <w:t>backtest_rank_validation.png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142,201 B</w:t>
            </w:r>
          </w:p>
        </w:tc>
      </w:tr>
      <w:tr>
        <w:tc>
          <w:tcPr>
            <w:tcW w:type="dxa" w:w="3120"/>
          </w:tcPr>
          <w:p>
            <w:pPr>
              <w:spacing w:after="0"/>
            </w:pPr>
            <w:r/>
            <w:r>
              <w:rPr>
                <w:sz w:val="19"/>
              </w:rPr>
              <w:t>backtest_saltelli.pdf</w:t>
            </w:r>
          </w:p>
        </w:tc>
        <w:tc>
          <w:tcPr>
            <w:tcW w:type="dxa" w:w="3120"/>
          </w:tcPr>
          <w:p>
            <w:pPr>
              <w:spacing w:after="0"/>
            </w:pPr>
            <w:r/>
            <w:r>
              <w:rPr>
                <w:sz w:val="19"/>
              </w:rPr>
              <w:t>figure</w:t>
            </w:r>
          </w:p>
        </w:tc>
        <w:tc>
          <w:tcPr>
            <w:tcW w:type="dxa" w:w="3120"/>
          </w:tcPr>
          <w:p>
            <w:pPr>
              <w:spacing w:after="0"/>
            </w:pPr>
            <w:r/>
            <w:r>
              <w:rPr>
                <w:sz w:val="19"/>
              </w:rPr>
              <w:t>24,253 B</w:t>
            </w:r>
          </w:p>
        </w:tc>
      </w:tr>
      <w:tr>
        <w:tc>
          <w:tcPr>
            <w:tcW w:type="dxa" w:w="3120"/>
            <w:shd w:val="clear" w:color="auto" w:fill="EDF1F5"/>
          </w:tcPr>
          <w:p>
            <w:pPr>
              <w:spacing w:after="0"/>
            </w:pPr>
            <w:r/>
            <w:r>
              <w:rPr>
                <w:sz w:val="19"/>
              </w:rPr>
              <w:t>backtest_saltelli.png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161,709 B</w:t>
            </w:r>
          </w:p>
        </w:tc>
      </w:tr>
      <w:tr>
        <w:tc>
          <w:tcPr>
            <w:tcW w:type="dxa" w:w="3120"/>
          </w:tcPr>
          <w:p>
            <w:pPr>
              <w:spacing w:after="0"/>
            </w:pPr>
            <w:r/>
            <w:r>
              <w:rPr>
                <w:sz w:val="19"/>
              </w:rPr>
              <w:t>backtest_stability_compare.pdf</w:t>
            </w:r>
          </w:p>
        </w:tc>
        <w:tc>
          <w:tcPr>
            <w:tcW w:type="dxa" w:w="3120"/>
          </w:tcPr>
          <w:p>
            <w:pPr>
              <w:spacing w:after="0"/>
            </w:pPr>
            <w:r/>
            <w:r>
              <w:rPr>
                <w:sz w:val="19"/>
              </w:rPr>
              <w:t>figure</w:t>
            </w:r>
          </w:p>
        </w:tc>
        <w:tc>
          <w:tcPr>
            <w:tcW w:type="dxa" w:w="3120"/>
          </w:tcPr>
          <w:p>
            <w:pPr>
              <w:spacing w:after="0"/>
            </w:pPr>
            <w:r/>
            <w:r>
              <w:rPr>
                <w:sz w:val="19"/>
              </w:rPr>
              <w:t>24,627 B</w:t>
            </w:r>
          </w:p>
        </w:tc>
      </w:tr>
      <w:tr>
        <w:tc>
          <w:tcPr>
            <w:tcW w:type="dxa" w:w="3120"/>
            <w:shd w:val="clear" w:color="auto" w:fill="EDF1F5"/>
          </w:tcPr>
          <w:p>
            <w:pPr>
              <w:spacing w:after="0"/>
            </w:pPr>
            <w:r/>
            <w:r>
              <w:rPr>
                <w:sz w:val="19"/>
              </w:rPr>
              <w:t>backtest_stability_compare.png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141,330 B</w:t>
            </w:r>
          </w:p>
        </w:tc>
      </w:tr>
      <w:tr>
        <w:tc>
          <w:tcPr>
            <w:tcW w:type="dxa" w:w="3120"/>
          </w:tcPr>
          <w:p>
            <w:pPr>
              <w:spacing w:after="0"/>
            </w:pPr>
            <w:r/>
            <w:r>
              <w:rPr>
                <w:sz w:val="19"/>
              </w:rPr>
              <w:t>backtest_timeline.pdf</w:t>
            </w:r>
          </w:p>
        </w:tc>
        <w:tc>
          <w:tcPr>
            <w:tcW w:type="dxa" w:w="3120"/>
          </w:tcPr>
          <w:p>
            <w:pPr>
              <w:spacing w:after="0"/>
            </w:pPr>
            <w:r/>
            <w:r>
              <w:rPr>
                <w:sz w:val="19"/>
              </w:rPr>
              <w:t>figure</w:t>
            </w:r>
          </w:p>
        </w:tc>
        <w:tc>
          <w:tcPr>
            <w:tcW w:type="dxa" w:w="3120"/>
          </w:tcPr>
          <w:p>
            <w:pPr>
              <w:spacing w:after="0"/>
            </w:pPr>
            <w:r/>
            <w:r>
              <w:rPr>
                <w:sz w:val="19"/>
              </w:rPr>
              <w:t>23,789 B</w:t>
            </w:r>
          </w:p>
        </w:tc>
      </w:tr>
      <w:tr>
        <w:tc>
          <w:tcPr>
            <w:tcW w:type="dxa" w:w="3120"/>
            <w:shd w:val="clear" w:color="auto" w:fill="EDF1F5"/>
          </w:tcPr>
          <w:p>
            <w:pPr>
              <w:spacing w:after="0"/>
            </w:pPr>
            <w:r/>
            <w:r>
              <w:rPr>
                <w:sz w:val="19"/>
              </w:rPr>
              <w:t>backtest_timeline.png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111,191 B</w:t>
            </w:r>
          </w:p>
        </w:tc>
      </w:tr>
      <w:tr>
        <w:tc>
          <w:tcPr>
            <w:tcW w:type="dxa" w:w="3120"/>
          </w:tcPr>
          <w:p>
            <w:pPr>
              <w:spacing w:after="0"/>
            </w:pPr>
            <w:r/>
            <w:r>
              <w:rPr>
                <w:sz w:val="19"/>
              </w:rPr>
              <w:t>compare_rank_shape.pdf</w:t>
            </w:r>
          </w:p>
        </w:tc>
        <w:tc>
          <w:tcPr>
            <w:tcW w:type="dxa" w:w="3120"/>
          </w:tcPr>
          <w:p>
            <w:pPr>
              <w:spacing w:after="0"/>
            </w:pPr>
            <w:r/>
            <w:r>
              <w:rPr>
                <w:sz w:val="19"/>
              </w:rPr>
              <w:t>figure</w:t>
            </w:r>
          </w:p>
        </w:tc>
        <w:tc>
          <w:tcPr>
            <w:tcW w:type="dxa" w:w="3120"/>
          </w:tcPr>
          <w:p>
            <w:pPr>
              <w:spacing w:after="0"/>
            </w:pPr>
            <w:r/>
            <w:r>
              <w:rPr>
                <w:sz w:val="19"/>
              </w:rPr>
              <w:t>25,592 B</w:t>
            </w:r>
          </w:p>
        </w:tc>
      </w:tr>
      <w:tr>
        <w:tc>
          <w:tcPr>
            <w:tcW w:type="dxa" w:w="3120"/>
            <w:shd w:val="clear" w:color="auto" w:fill="EDF1F5"/>
          </w:tcPr>
          <w:p>
            <w:pPr>
              <w:spacing w:after="0"/>
            </w:pPr>
            <w:r/>
            <w:r>
              <w:rPr>
                <w:sz w:val="19"/>
              </w:rPr>
              <w:t>compare_rank_shape.png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172,836 B</w:t>
            </w:r>
          </w:p>
        </w:tc>
      </w:tr>
      <w:tr>
        <w:tc>
          <w:tcPr>
            <w:tcW w:type="dxa" w:w="3120"/>
          </w:tcPr>
          <w:p>
            <w:pPr>
              <w:spacing w:after="0"/>
            </w:pPr>
            <w:r/>
            <w:r>
              <w:rPr>
                <w:sz w:val="19"/>
              </w:rPr>
              <w:t>compare_remedies.pdf</w:t>
            </w:r>
          </w:p>
        </w:tc>
        <w:tc>
          <w:tcPr>
            <w:tcW w:type="dxa" w:w="3120"/>
          </w:tcPr>
          <w:p>
            <w:pPr>
              <w:spacing w:after="0"/>
            </w:pPr>
            <w:r/>
            <w:r>
              <w:rPr>
                <w:sz w:val="19"/>
              </w:rPr>
              <w:t>figure</w:t>
            </w:r>
          </w:p>
        </w:tc>
        <w:tc>
          <w:tcPr>
            <w:tcW w:type="dxa" w:w="3120"/>
          </w:tcPr>
          <w:p>
            <w:pPr>
              <w:spacing w:after="0"/>
            </w:pPr>
            <w:r/>
            <w:r>
              <w:rPr>
                <w:sz w:val="19"/>
              </w:rPr>
              <w:t>23,666 B</w:t>
            </w:r>
          </w:p>
        </w:tc>
      </w:tr>
      <w:tr>
        <w:tc>
          <w:tcPr>
            <w:tcW w:type="dxa" w:w="3120"/>
            <w:shd w:val="clear" w:color="auto" w:fill="EDF1F5"/>
          </w:tcPr>
          <w:p>
            <w:pPr>
              <w:spacing w:after="0"/>
            </w:pPr>
            <w:r/>
            <w:r>
              <w:rPr>
                <w:sz w:val="19"/>
              </w:rPr>
              <w:t>compare_remedies.png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107,287 B</w:t>
            </w:r>
          </w:p>
        </w:tc>
      </w:tr>
      <w:tr>
        <w:tc>
          <w:tcPr>
            <w:tcW w:type="dxa" w:w="3120"/>
          </w:tcPr>
          <w:p>
            <w:pPr>
              <w:spacing w:after="0"/>
            </w:pPr>
            <w:r/>
            <w:r>
              <w:rPr>
                <w:sz w:val="19"/>
              </w:rPr>
              <w:t>compare_tail_risk.pdf</w:t>
            </w:r>
          </w:p>
        </w:tc>
        <w:tc>
          <w:tcPr>
            <w:tcW w:type="dxa" w:w="3120"/>
          </w:tcPr>
          <w:p>
            <w:pPr>
              <w:spacing w:after="0"/>
            </w:pPr>
            <w:r/>
            <w:r>
              <w:rPr>
                <w:sz w:val="19"/>
              </w:rPr>
              <w:t>figure</w:t>
            </w:r>
          </w:p>
        </w:tc>
        <w:tc>
          <w:tcPr>
            <w:tcW w:type="dxa" w:w="3120"/>
          </w:tcPr>
          <w:p>
            <w:pPr>
              <w:spacing w:after="0"/>
            </w:pPr>
            <w:r/>
            <w:r>
              <w:rPr>
                <w:sz w:val="19"/>
              </w:rPr>
              <w:t>25,021 B</w:t>
            </w:r>
          </w:p>
        </w:tc>
      </w:tr>
      <w:tr>
        <w:tc>
          <w:tcPr>
            <w:tcW w:type="dxa" w:w="3120"/>
            <w:shd w:val="clear" w:color="auto" w:fill="EDF1F5"/>
          </w:tcPr>
          <w:p>
            <w:pPr>
              <w:spacing w:after="0"/>
            </w:pPr>
            <w:r/>
            <w:r>
              <w:rPr>
                <w:sz w:val="19"/>
              </w:rPr>
              <w:t>compare_tail_risk.png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143,986 B</w:t>
            </w:r>
          </w:p>
        </w:tc>
      </w:tr>
      <w:tr>
        <w:tc>
          <w:tcPr>
            <w:tcW w:type="dxa" w:w="3120"/>
          </w:tcPr>
          <w:p>
            <w:pPr>
              <w:spacing w:after="0"/>
            </w:pPr>
            <w:r/>
            <w:r>
              <w:rPr>
                <w:sz w:val="19"/>
              </w:rPr>
              <w:t>figure_1.pdf</w:t>
            </w:r>
          </w:p>
        </w:tc>
        <w:tc>
          <w:tcPr>
            <w:tcW w:type="dxa" w:w="3120"/>
          </w:tcPr>
          <w:p>
            <w:pPr>
              <w:spacing w:after="0"/>
            </w:pPr>
            <w:r/>
            <w:r>
              <w:rPr>
                <w:sz w:val="19"/>
              </w:rPr>
              <w:t>figure</w:t>
            </w:r>
          </w:p>
        </w:tc>
        <w:tc>
          <w:tcPr>
            <w:tcW w:type="dxa" w:w="3120"/>
          </w:tcPr>
          <w:p>
            <w:pPr>
              <w:spacing w:after="0"/>
            </w:pPr>
            <w:r/>
            <w:r>
              <w:rPr>
                <w:sz w:val="19"/>
              </w:rPr>
              <w:t>23,321 B</w:t>
            </w:r>
          </w:p>
        </w:tc>
      </w:tr>
      <w:tr>
        <w:tc>
          <w:tcPr>
            <w:tcW w:type="dxa" w:w="3120"/>
            <w:shd w:val="clear" w:color="auto" w:fill="EDF1F5"/>
          </w:tcPr>
          <w:p>
            <w:pPr>
              <w:spacing w:after="0"/>
            </w:pPr>
            <w:r/>
            <w:r>
              <w:rPr>
                <w:sz w:val="19"/>
              </w:rPr>
              <w:t>figure_1.png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493,480 B</w:t>
            </w:r>
          </w:p>
        </w:tc>
      </w:tr>
      <w:tr>
        <w:tc>
          <w:tcPr>
            <w:tcW w:type="dxa" w:w="3120"/>
          </w:tcPr>
          <w:p>
            <w:pPr>
              <w:spacing w:after="0"/>
            </w:pPr>
            <w:r/>
            <w:r>
              <w:rPr>
                <w:sz w:val="19"/>
              </w:rPr>
              <w:t>figure_10.pdf</w:t>
            </w:r>
          </w:p>
        </w:tc>
        <w:tc>
          <w:tcPr>
            <w:tcW w:type="dxa" w:w="3120"/>
          </w:tcPr>
          <w:p>
            <w:pPr>
              <w:spacing w:after="0"/>
            </w:pPr>
            <w:r/>
            <w:r>
              <w:rPr>
                <w:sz w:val="19"/>
              </w:rPr>
              <w:t>figure</w:t>
            </w:r>
          </w:p>
        </w:tc>
        <w:tc>
          <w:tcPr>
            <w:tcW w:type="dxa" w:w="3120"/>
          </w:tcPr>
          <w:p>
            <w:pPr>
              <w:spacing w:after="0"/>
            </w:pPr>
            <w:r/>
            <w:r>
              <w:rPr>
                <w:sz w:val="19"/>
              </w:rPr>
              <w:t>26,984 B</w:t>
            </w:r>
          </w:p>
        </w:tc>
      </w:tr>
      <w:tr>
        <w:tc>
          <w:tcPr>
            <w:tcW w:type="dxa" w:w="3120"/>
            <w:shd w:val="clear" w:color="auto" w:fill="EDF1F5"/>
          </w:tcPr>
          <w:p>
            <w:pPr>
              <w:spacing w:after="0"/>
            </w:pPr>
            <w:r/>
            <w:r>
              <w:rPr>
                <w:sz w:val="19"/>
              </w:rPr>
              <w:t>figure_10.png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188,676 B</w:t>
            </w:r>
          </w:p>
        </w:tc>
      </w:tr>
      <w:tr>
        <w:tc>
          <w:tcPr>
            <w:tcW w:type="dxa" w:w="3120"/>
          </w:tcPr>
          <w:p>
            <w:pPr>
              <w:spacing w:after="0"/>
            </w:pPr>
            <w:r/>
            <w:r>
              <w:rPr>
                <w:sz w:val="19"/>
              </w:rPr>
              <w:t>figure_11.pdf</w:t>
            </w:r>
          </w:p>
        </w:tc>
        <w:tc>
          <w:tcPr>
            <w:tcW w:type="dxa" w:w="3120"/>
          </w:tcPr>
          <w:p>
            <w:pPr>
              <w:spacing w:after="0"/>
            </w:pPr>
            <w:r/>
            <w:r>
              <w:rPr>
                <w:sz w:val="19"/>
              </w:rPr>
              <w:t>figure</w:t>
            </w:r>
          </w:p>
        </w:tc>
        <w:tc>
          <w:tcPr>
            <w:tcW w:type="dxa" w:w="3120"/>
          </w:tcPr>
          <w:p>
            <w:pPr>
              <w:spacing w:after="0"/>
            </w:pPr>
            <w:r/>
            <w:r>
              <w:rPr>
                <w:sz w:val="19"/>
              </w:rPr>
              <w:t>29,272 B</w:t>
            </w:r>
          </w:p>
        </w:tc>
      </w:tr>
      <w:tr>
        <w:tc>
          <w:tcPr>
            <w:tcW w:type="dxa" w:w="3120"/>
            <w:shd w:val="clear" w:color="auto" w:fill="EDF1F5"/>
          </w:tcPr>
          <w:p>
            <w:pPr>
              <w:spacing w:after="0"/>
            </w:pPr>
            <w:r/>
            <w:r>
              <w:rPr>
                <w:sz w:val="19"/>
              </w:rPr>
              <w:t>figure_11.png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384,911 B</w:t>
            </w:r>
          </w:p>
        </w:tc>
      </w:tr>
      <w:tr>
        <w:tc>
          <w:tcPr>
            <w:tcW w:type="dxa" w:w="3120"/>
          </w:tcPr>
          <w:p>
            <w:pPr>
              <w:spacing w:after="0"/>
            </w:pPr>
            <w:r/>
            <w:r>
              <w:rPr>
                <w:sz w:val="19"/>
              </w:rPr>
              <w:t>figure_12.pdf</w:t>
            </w:r>
          </w:p>
        </w:tc>
        <w:tc>
          <w:tcPr>
            <w:tcW w:type="dxa" w:w="3120"/>
          </w:tcPr>
          <w:p>
            <w:pPr>
              <w:spacing w:after="0"/>
            </w:pPr>
            <w:r/>
            <w:r>
              <w:rPr>
                <w:sz w:val="19"/>
              </w:rPr>
              <w:t>figure</w:t>
            </w:r>
          </w:p>
        </w:tc>
        <w:tc>
          <w:tcPr>
            <w:tcW w:type="dxa" w:w="3120"/>
          </w:tcPr>
          <w:p>
            <w:pPr>
              <w:spacing w:after="0"/>
            </w:pPr>
            <w:r/>
            <w:r>
              <w:rPr>
                <w:sz w:val="19"/>
              </w:rPr>
              <w:t>30,242 B</w:t>
            </w:r>
          </w:p>
        </w:tc>
      </w:tr>
      <w:tr>
        <w:tc>
          <w:tcPr>
            <w:tcW w:type="dxa" w:w="3120"/>
            <w:shd w:val="clear" w:color="auto" w:fill="EDF1F5"/>
          </w:tcPr>
          <w:p>
            <w:pPr>
              <w:spacing w:after="0"/>
            </w:pPr>
            <w:r/>
            <w:r>
              <w:rPr>
                <w:sz w:val="19"/>
              </w:rPr>
              <w:t>figure_12.png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271,021 B</w:t>
            </w:r>
          </w:p>
        </w:tc>
      </w:tr>
      <w:tr>
        <w:tc>
          <w:tcPr>
            <w:tcW w:type="dxa" w:w="3120"/>
          </w:tcPr>
          <w:p>
            <w:pPr>
              <w:spacing w:after="0"/>
            </w:pPr>
            <w:r/>
            <w:r>
              <w:rPr>
                <w:sz w:val="19"/>
              </w:rPr>
              <w:t>figure_13.pdf</w:t>
            </w:r>
          </w:p>
        </w:tc>
        <w:tc>
          <w:tcPr>
            <w:tcW w:type="dxa" w:w="3120"/>
          </w:tcPr>
          <w:p>
            <w:pPr>
              <w:spacing w:after="0"/>
            </w:pPr>
            <w:r/>
            <w:r>
              <w:rPr>
                <w:sz w:val="19"/>
              </w:rPr>
              <w:t>figure</w:t>
            </w:r>
          </w:p>
        </w:tc>
        <w:tc>
          <w:tcPr>
            <w:tcW w:type="dxa" w:w="3120"/>
          </w:tcPr>
          <w:p>
            <w:pPr>
              <w:spacing w:after="0"/>
            </w:pPr>
            <w:r/>
            <w:r>
              <w:rPr>
                <w:sz w:val="19"/>
              </w:rPr>
              <w:t>24,930 B</w:t>
            </w:r>
          </w:p>
        </w:tc>
      </w:tr>
      <w:tr>
        <w:tc>
          <w:tcPr>
            <w:tcW w:type="dxa" w:w="3120"/>
            <w:shd w:val="clear" w:color="auto" w:fill="EDF1F5"/>
          </w:tcPr>
          <w:p>
            <w:pPr>
              <w:spacing w:after="0"/>
            </w:pPr>
            <w:r/>
            <w:r>
              <w:rPr>
                <w:sz w:val="19"/>
              </w:rPr>
              <w:t>figure_13.png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320,355 B</w:t>
            </w:r>
          </w:p>
        </w:tc>
      </w:tr>
      <w:tr>
        <w:tc>
          <w:tcPr>
            <w:tcW w:type="dxa" w:w="3120"/>
          </w:tcPr>
          <w:p>
            <w:pPr>
              <w:spacing w:after="0"/>
            </w:pPr>
            <w:r/>
            <w:r>
              <w:rPr>
                <w:sz w:val="19"/>
              </w:rPr>
              <w:t>figure_14.pdf</w:t>
            </w:r>
          </w:p>
        </w:tc>
        <w:tc>
          <w:tcPr>
            <w:tcW w:type="dxa" w:w="3120"/>
          </w:tcPr>
          <w:p>
            <w:pPr>
              <w:spacing w:after="0"/>
            </w:pPr>
            <w:r/>
            <w:r>
              <w:rPr>
                <w:sz w:val="19"/>
              </w:rPr>
              <w:t>figure</w:t>
            </w:r>
          </w:p>
        </w:tc>
        <w:tc>
          <w:tcPr>
            <w:tcW w:type="dxa" w:w="3120"/>
          </w:tcPr>
          <w:p>
            <w:pPr>
              <w:spacing w:after="0"/>
            </w:pPr>
            <w:r/>
            <w:r>
              <w:rPr>
                <w:sz w:val="19"/>
              </w:rPr>
              <w:t>35,269 B</w:t>
            </w:r>
          </w:p>
        </w:tc>
      </w:tr>
      <w:tr>
        <w:tc>
          <w:tcPr>
            <w:tcW w:type="dxa" w:w="3120"/>
            <w:shd w:val="clear" w:color="auto" w:fill="EDF1F5"/>
          </w:tcPr>
          <w:p>
            <w:pPr>
              <w:spacing w:after="0"/>
            </w:pPr>
            <w:r/>
            <w:r>
              <w:rPr>
                <w:sz w:val="19"/>
              </w:rPr>
              <w:t>figure_14.png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400,537 B</w:t>
            </w:r>
          </w:p>
        </w:tc>
      </w:tr>
      <w:tr>
        <w:tc>
          <w:tcPr>
            <w:tcW w:type="dxa" w:w="3120"/>
          </w:tcPr>
          <w:p>
            <w:pPr>
              <w:spacing w:after="0"/>
            </w:pPr>
            <w:r/>
            <w:r>
              <w:rPr>
                <w:sz w:val="19"/>
              </w:rPr>
              <w:t>figure_15.pdf</w:t>
            </w:r>
          </w:p>
        </w:tc>
        <w:tc>
          <w:tcPr>
            <w:tcW w:type="dxa" w:w="3120"/>
          </w:tcPr>
          <w:p>
            <w:pPr>
              <w:spacing w:after="0"/>
            </w:pPr>
            <w:r/>
            <w:r>
              <w:rPr>
                <w:sz w:val="19"/>
              </w:rPr>
              <w:t>figure</w:t>
            </w:r>
          </w:p>
        </w:tc>
        <w:tc>
          <w:tcPr>
            <w:tcW w:type="dxa" w:w="3120"/>
          </w:tcPr>
          <w:p>
            <w:pPr>
              <w:spacing w:after="0"/>
            </w:pPr>
            <w:r/>
            <w:r>
              <w:rPr>
                <w:sz w:val="19"/>
              </w:rPr>
              <w:t>26,717 B</w:t>
            </w:r>
          </w:p>
        </w:tc>
      </w:tr>
      <w:tr>
        <w:tc>
          <w:tcPr>
            <w:tcW w:type="dxa" w:w="3120"/>
            <w:shd w:val="clear" w:color="auto" w:fill="EDF1F5"/>
          </w:tcPr>
          <w:p>
            <w:pPr>
              <w:spacing w:after="0"/>
            </w:pPr>
            <w:r/>
            <w:r>
              <w:rPr>
                <w:sz w:val="19"/>
              </w:rPr>
              <w:t>figure_15.png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248,473 B</w:t>
            </w:r>
          </w:p>
        </w:tc>
      </w:tr>
      <w:tr>
        <w:tc>
          <w:tcPr>
            <w:tcW w:type="dxa" w:w="3120"/>
          </w:tcPr>
          <w:p>
            <w:pPr>
              <w:spacing w:after="0"/>
            </w:pPr>
            <w:r/>
            <w:r>
              <w:rPr>
                <w:sz w:val="19"/>
              </w:rPr>
              <w:t>figure_16.pdf</w:t>
            </w:r>
          </w:p>
        </w:tc>
        <w:tc>
          <w:tcPr>
            <w:tcW w:type="dxa" w:w="3120"/>
          </w:tcPr>
          <w:p>
            <w:pPr>
              <w:spacing w:after="0"/>
            </w:pPr>
            <w:r/>
            <w:r>
              <w:rPr>
                <w:sz w:val="19"/>
              </w:rPr>
              <w:t>figure</w:t>
            </w:r>
          </w:p>
        </w:tc>
        <w:tc>
          <w:tcPr>
            <w:tcW w:type="dxa" w:w="3120"/>
          </w:tcPr>
          <w:p>
            <w:pPr>
              <w:spacing w:after="0"/>
            </w:pPr>
            <w:r/>
            <w:r>
              <w:rPr>
                <w:sz w:val="19"/>
              </w:rPr>
              <w:t>23,018 B</w:t>
            </w:r>
          </w:p>
        </w:tc>
      </w:tr>
      <w:tr>
        <w:tc>
          <w:tcPr>
            <w:tcW w:type="dxa" w:w="3120"/>
            <w:shd w:val="clear" w:color="auto" w:fill="EDF1F5"/>
          </w:tcPr>
          <w:p>
            <w:pPr>
              <w:spacing w:after="0"/>
            </w:pPr>
            <w:r/>
            <w:r>
              <w:rPr>
                <w:sz w:val="19"/>
              </w:rPr>
              <w:t>figure_16.png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152,298 B</w:t>
            </w:r>
          </w:p>
        </w:tc>
      </w:tr>
      <w:tr>
        <w:tc>
          <w:tcPr>
            <w:tcW w:type="dxa" w:w="3120"/>
          </w:tcPr>
          <w:p>
            <w:pPr>
              <w:spacing w:after="0"/>
            </w:pPr>
            <w:r/>
            <w:r>
              <w:rPr>
                <w:sz w:val="19"/>
              </w:rPr>
              <w:t>figure_17.pdf</w:t>
            </w:r>
          </w:p>
        </w:tc>
        <w:tc>
          <w:tcPr>
            <w:tcW w:type="dxa" w:w="3120"/>
          </w:tcPr>
          <w:p>
            <w:pPr>
              <w:spacing w:after="0"/>
            </w:pPr>
            <w:r/>
            <w:r>
              <w:rPr>
                <w:sz w:val="19"/>
              </w:rPr>
              <w:t>figure</w:t>
            </w:r>
          </w:p>
        </w:tc>
        <w:tc>
          <w:tcPr>
            <w:tcW w:type="dxa" w:w="3120"/>
          </w:tcPr>
          <w:p>
            <w:pPr>
              <w:spacing w:after="0"/>
            </w:pPr>
            <w:r/>
            <w:r>
              <w:rPr>
                <w:sz w:val="19"/>
              </w:rPr>
              <w:t>75,467 B</w:t>
            </w:r>
          </w:p>
        </w:tc>
      </w:tr>
      <w:tr>
        <w:tc>
          <w:tcPr>
            <w:tcW w:type="dxa" w:w="3120"/>
            <w:shd w:val="clear" w:color="auto" w:fill="EDF1F5"/>
          </w:tcPr>
          <w:p>
            <w:pPr>
              <w:spacing w:after="0"/>
            </w:pPr>
            <w:r/>
            <w:r>
              <w:rPr>
                <w:sz w:val="19"/>
              </w:rPr>
              <w:t>figure_17.png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1,153,662 B</w:t>
            </w:r>
          </w:p>
        </w:tc>
      </w:tr>
      <w:tr>
        <w:tc>
          <w:tcPr>
            <w:tcW w:type="dxa" w:w="3120"/>
          </w:tcPr>
          <w:p>
            <w:pPr>
              <w:spacing w:after="0"/>
            </w:pPr>
            <w:r/>
            <w:r>
              <w:rPr>
                <w:sz w:val="19"/>
              </w:rPr>
              <w:t>figure_18.pdf</w:t>
            </w:r>
          </w:p>
        </w:tc>
        <w:tc>
          <w:tcPr>
            <w:tcW w:type="dxa" w:w="3120"/>
          </w:tcPr>
          <w:p>
            <w:pPr>
              <w:spacing w:after="0"/>
            </w:pPr>
            <w:r/>
            <w:r>
              <w:rPr>
                <w:sz w:val="19"/>
              </w:rPr>
              <w:t>figure</w:t>
            </w:r>
          </w:p>
        </w:tc>
        <w:tc>
          <w:tcPr>
            <w:tcW w:type="dxa" w:w="3120"/>
          </w:tcPr>
          <w:p>
            <w:pPr>
              <w:spacing w:after="0"/>
            </w:pPr>
            <w:r/>
            <w:r>
              <w:rPr>
                <w:sz w:val="19"/>
              </w:rPr>
              <w:t>30,991 B</w:t>
            </w:r>
          </w:p>
        </w:tc>
      </w:tr>
      <w:tr>
        <w:tc>
          <w:tcPr>
            <w:tcW w:type="dxa" w:w="3120"/>
            <w:shd w:val="clear" w:color="auto" w:fill="EDF1F5"/>
          </w:tcPr>
          <w:p>
            <w:pPr>
              <w:spacing w:after="0"/>
            </w:pPr>
            <w:r/>
            <w:r>
              <w:rPr>
                <w:sz w:val="19"/>
              </w:rPr>
              <w:t>figure_18.png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665,645 B</w:t>
            </w:r>
          </w:p>
        </w:tc>
      </w:tr>
      <w:tr>
        <w:tc>
          <w:tcPr>
            <w:tcW w:type="dxa" w:w="3120"/>
          </w:tcPr>
          <w:p>
            <w:pPr>
              <w:spacing w:after="0"/>
            </w:pPr>
            <w:r/>
            <w:r>
              <w:rPr>
                <w:sz w:val="19"/>
              </w:rPr>
              <w:t>figure_2.pdf</w:t>
            </w:r>
          </w:p>
        </w:tc>
        <w:tc>
          <w:tcPr>
            <w:tcW w:type="dxa" w:w="3120"/>
          </w:tcPr>
          <w:p>
            <w:pPr>
              <w:spacing w:after="0"/>
            </w:pPr>
            <w:r/>
            <w:r>
              <w:rPr>
                <w:sz w:val="19"/>
              </w:rPr>
              <w:t>figure</w:t>
            </w:r>
          </w:p>
        </w:tc>
        <w:tc>
          <w:tcPr>
            <w:tcW w:type="dxa" w:w="3120"/>
          </w:tcPr>
          <w:p>
            <w:pPr>
              <w:spacing w:after="0"/>
            </w:pPr>
            <w:r/>
            <w:r>
              <w:rPr>
                <w:sz w:val="19"/>
              </w:rPr>
              <w:t>27,274 B</w:t>
            </w:r>
          </w:p>
        </w:tc>
      </w:tr>
      <w:tr>
        <w:tc>
          <w:tcPr>
            <w:tcW w:type="dxa" w:w="3120"/>
            <w:shd w:val="clear" w:color="auto" w:fill="EDF1F5"/>
          </w:tcPr>
          <w:p>
            <w:pPr>
              <w:spacing w:after="0"/>
            </w:pPr>
            <w:r/>
            <w:r>
              <w:rPr>
                <w:sz w:val="19"/>
              </w:rPr>
              <w:t>figure_2.png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376,750 B</w:t>
            </w:r>
          </w:p>
        </w:tc>
      </w:tr>
      <w:tr>
        <w:tc>
          <w:tcPr>
            <w:tcW w:type="dxa" w:w="3120"/>
          </w:tcPr>
          <w:p>
            <w:pPr>
              <w:spacing w:after="0"/>
            </w:pPr>
            <w:r/>
            <w:r>
              <w:rPr>
                <w:sz w:val="19"/>
              </w:rPr>
              <w:t>figure_3.pdf</w:t>
            </w:r>
          </w:p>
        </w:tc>
        <w:tc>
          <w:tcPr>
            <w:tcW w:type="dxa" w:w="3120"/>
          </w:tcPr>
          <w:p>
            <w:pPr>
              <w:spacing w:after="0"/>
            </w:pPr>
            <w:r/>
            <w:r>
              <w:rPr>
                <w:sz w:val="19"/>
              </w:rPr>
              <w:t>figure</w:t>
            </w:r>
          </w:p>
        </w:tc>
        <w:tc>
          <w:tcPr>
            <w:tcW w:type="dxa" w:w="3120"/>
          </w:tcPr>
          <w:p>
            <w:pPr>
              <w:spacing w:after="0"/>
            </w:pPr>
            <w:r/>
            <w:r>
              <w:rPr>
                <w:sz w:val="19"/>
              </w:rPr>
              <w:t>28,820 B</w:t>
            </w:r>
          </w:p>
        </w:tc>
      </w:tr>
      <w:tr>
        <w:tc>
          <w:tcPr>
            <w:tcW w:type="dxa" w:w="3120"/>
            <w:shd w:val="clear" w:color="auto" w:fill="EDF1F5"/>
          </w:tcPr>
          <w:p>
            <w:pPr>
              <w:spacing w:after="0"/>
            </w:pPr>
            <w:r/>
            <w:r>
              <w:rPr>
                <w:sz w:val="19"/>
              </w:rPr>
              <w:t>figure_3.png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452,937 B</w:t>
            </w:r>
          </w:p>
        </w:tc>
      </w:tr>
      <w:tr>
        <w:tc>
          <w:tcPr>
            <w:tcW w:type="dxa" w:w="3120"/>
          </w:tcPr>
          <w:p>
            <w:pPr>
              <w:spacing w:after="0"/>
            </w:pPr>
            <w:r/>
            <w:r>
              <w:rPr>
                <w:sz w:val="19"/>
              </w:rPr>
              <w:t>figure_4.pdf</w:t>
            </w:r>
          </w:p>
        </w:tc>
        <w:tc>
          <w:tcPr>
            <w:tcW w:type="dxa" w:w="3120"/>
          </w:tcPr>
          <w:p>
            <w:pPr>
              <w:spacing w:after="0"/>
            </w:pPr>
            <w:r/>
            <w:r>
              <w:rPr>
                <w:sz w:val="19"/>
              </w:rPr>
              <w:t>figure</w:t>
            </w:r>
          </w:p>
        </w:tc>
        <w:tc>
          <w:tcPr>
            <w:tcW w:type="dxa" w:w="3120"/>
          </w:tcPr>
          <w:p>
            <w:pPr>
              <w:spacing w:after="0"/>
            </w:pPr>
            <w:r/>
            <w:r>
              <w:rPr>
                <w:sz w:val="19"/>
              </w:rPr>
              <w:t>25,346 B</w:t>
            </w:r>
          </w:p>
        </w:tc>
      </w:tr>
      <w:tr>
        <w:tc>
          <w:tcPr>
            <w:tcW w:type="dxa" w:w="3120"/>
            <w:shd w:val="clear" w:color="auto" w:fill="EDF1F5"/>
          </w:tcPr>
          <w:p>
            <w:pPr>
              <w:spacing w:after="0"/>
            </w:pPr>
            <w:r/>
            <w:r>
              <w:rPr>
                <w:sz w:val="19"/>
              </w:rPr>
              <w:t>figure_4.png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207,662 B</w:t>
            </w:r>
          </w:p>
        </w:tc>
      </w:tr>
      <w:tr>
        <w:tc>
          <w:tcPr>
            <w:tcW w:type="dxa" w:w="3120"/>
          </w:tcPr>
          <w:p>
            <w:pPr>
              <w:spacing w:after="0"/>
            </w:pPr>
            <w:r/>
            <w:r>
              <w:rPr>
                <w:sz w:val="19"/>
              </w:rPr>
              <w:t>figure_5.pdf</w:t>
            </w:r>
          </w:p>
        </w:tc>
        <w:tc>
          <w:tcPr>
            <w:tcW w:type="dxa" w:w="3120"/>
          </w:tcPr>
          <w:p>
            <w:pPr>
              <w:spacing w:after="0"/>
            </w:pPr>
            <w:r/>
            <w:r>
              <w:rPr>
                <w:sz w:val="19"/>
              </w:rPr>
              <w:t>figure</w:t>
            </w:r>
          </w:p>
        </w:tc>
        <w:tc>
          <w:tcPr>
            <w:tcW w:type="dxa" w:w="3120"/>
          </w:tcPr>
          <w:p>
            <w:pPr>
              <w:spacing w:after="0"/>
            </w:pPr>
            <w:r/>
            <w:r>
              <w:rPr>
                <w:sz w:val="19"/>
              </w:rPr>
              <w:t>125,092 B</w:t>
            </w:r>
          </w:p>
        </w:tc>
      </w:tr>
      <w:tr>
        <w:tc>
          <w:tcPr>
            <w:tcW w:type="dxa" w:w="3120"/>
            <w:shd w:val="clear" w:color="auto" w:fill="EDF1F5"/>
          </w:tcPr>
          <w:p>
            <w:pPr>
              <w:spacing w:after="0"/>
            </w:pPr>
            <w:r/>
            <w:r>
              <w:rPr>
                <w:sz w:val="19"/>
              </w:rPr>
              <w:t>figure_5.png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1,405,740 B</w:t>
            </w:r>
          </w:p>
        </w:tc>
      </w:tr>
      <w:tr>
        <w:tc>
          <w:tcPr>
            <w:tcW w:type="dxa" w:w="3120"/>
          </w:tcPr>
          <w:p>
            <w:pPr>
              <w:spacing w:after="0"/>
            </w:pPr>
            <w:r/>
            <w:r>
              <w:rPr>
                <w:sz w:val="19"/>
              </w:rPr>
              <w:t>figure_6.pdf</w:t>
            </w:r>
          </w:p>
        </w:tc>
        <w:tc>
          <w:tcPr>
            <w:tcW w:type="dxa" w:w="3120"/>
          </w:tcPr>
          <w:p>
            <w:pPr>
              <w:spacing w:after="0"/>
            </w:pPr>
            <w:r/>
            <w:r>
              <w:rPr>
                <w:sz w:val="19"/>
              </w:rPr>
              <w:t>figure</w:t>
            </w:r>
          </w:p>
        </w:tc>
        <w:tc>
          <w:tcPr>
            <w:tcW w:type="dxa" w:w="3120"/>
          </w:tcPr>
          <w:p>
            <w:pPr>
              <w:spacing w:after="0"/>
            </w:pPr>
            <w:r/>
            <w:r>
              <w:rPr>
                <w:sz w:val="19"/>
              </w:rPr>
              <w:t>28,316 B</w:t>
            </w:r>
          </w:p>
        </w:tc>
      </w:tr>
      <w:tr>
        <w:tc>
          <w:tcPr>
            <w:tcW w:type="dxa" w:w="3120"/>
            <w:shd w:val="clear" w:color="auto" w:fill="EDF1F5"/>
          </w:tcPr>
          <w:p>
            <w:pPr>
              <w:spacing w:after="0"/>
            </w:pPr>
            <w:r/>
            <w:r>
              <w:rPr>
                <w:sz w:val="19"/>
              </w:rPr>
              <w:t>figure_6.png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388,038 B</w:t>
            </w:r>
          </w:p>
        </w:tc>
      </w:tr>
      <w:tr>
        <w:tc>
          <w:tcPr>
            <w:tcW w:type="dxa" w:w="3120"/>
          </w:tcPr>
          <w:p>
            <w:pPr>
              <w:spacing w:after="0"/>
            </w:pPr>
            <w:r/>
            <w:r>
              <w:rPr>
                <w:sz w:val="19"/>
              </w:rPr>
              <w:t>figure_7.pdf</w:t>
            </w:r>
          </w:p>
        </w:tc>
        <w:tc>
          <w:tcPr>
            <w:tcW w:type="dxa" w:w="3120"/>
          </w:tcPr>
          <w:p>
            <w:pPr>
              <w:spacing w:after="0"/>
            </w:pPr>
            <w:r/>
            <w:r>
              <w:rPr>
                <w:sz w:val="19"/>
              </w:rPr>
              <w:t>figure</w:t>
            </w:r>
          </w:p>
        </w:tc>
        <w:tc>
          <w:tcPr>
            <w:tcW w:type="dxa" w:w="3120"/>
          </w:tcPr>
          <w:p>
            <w:pPr>
              <w:spacing w:after="0"/>
            </w:pPr>
            <w:r/>
            <w:r>
              <w:rPr>
                <w:sz w:val="19"/>
              </w:rPr>
              <w:t>31,994 B</w:t>
            </w:r>
          </w:p>
        </w:tc>
      </w:tr>
      <w:tr>
        <w:tc>
          <w:tcPr>
            <w:tcW w:type="dxa" w:w="3120"/>
            <w:shd w:val="clear" w:color="auto" w:fill="EDF1F5"/>
          </w:tcPr>
          <w:p>
            <w:pPr>
              <w:spacing w:after="0"/>
            </w:pPr>
            <w:r/>
            <w:r>
              <w:rPr>
                <w:sz w:val="19"/>
              </w:rPr>
              <w:t>figure_7.png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672,948 B</w:t>
            </w:r>
          </w:p>
        </w:tc>
      </w:tr>
      <w:tr>
        <w:tc>
          <w:tcPr>
            <w:tcW w:type="dxa" w:w="3120"/>
          </w:tcPr>
          <w:p>
            <w:pPr>
              <w:spacing w:after="0"/>
            </w:pPr>
            <w:r/>
            <w:r>
              <w:rPr>
                <w:sz w:val="19"/>
              </w:rPr>
              <w:t>figure_8.pdf</w:t>
            </w:r>
          </w:p>
        </w:tc>
        <w:tc>
          <w:tcPr>
            <w:tcW w:type="dxa" w:w="3120"/>
          </w:tcPr>
          <w:p>
            <w:pPr>
              <w:spacing w:after="0"/>
            </w:pPr>
            <w:r/>
            <w:r>
              <w:rPr>
                <w:sz w:val="19"/>
              </w:rPr>
              <w:t>figure</w:t>
            </w:r>
          </w:p>
        </w:tc>
        <w:tc>
          <w:tcPr>
            <w:tcW w:type="dxa" w:w="3120"/>
          </w:tcPr>
          <w:p>
            <w:pPr>
              <w:spacing w:after="0"/>
            </w:pPr>
            <w:r/>
            <w:r>
              <w:rPr>
                <w:sz w:val="19"/>
              </w:rPr>
              <w:t>30,655 B</w:t>
            </w:r>
          </w:p>
        </w:tc>
      </w:tr>
      <w:tr>
        <w:tc>
          <w:tcPr>
            <w:tcW w:type="dxa" w:w="3120"/>
            <w:shd w:val="clear" w:color="auto" w:fill="EDF1F5"/>
          </w:tcPr>
          <w:p>
            <w:pPr>
              <w:spacing w:after="0"/>
            </w:pPr>
            <w:r/>
            <w:r>
              <w:rPr>
                <w:sz w:val="19"/>
              </w:rPr>
              <w:t>figure_8.png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370,114 B</w:t>
            </w:r>
          </w:p>
        </w:tc>
      </w:tr>
      <w:tr>
        <w:tc>
          <w:tcPr>
            <w:tcW w:type="dxa" w:w="3120"/>
          </w:tcPr>
          <w:p>
            <w:pPr>
              <w:spacing w:after="0"/>
            </w:pPr>
            <w:r/>
            <w:r>
              <w:rPr>
                <w:sz w:val="19"/>
              </w:rPr>
              <w:t>figure_9.pdf</w:t>
            </w:r>
          </w:p>
        </w:tc>
        <w:tc>
          <w:tcPr>
            <w:tcW w:type="dxa" w:w="3120"/>
          </w:tcPr>
          <w:p>
            <w:pPr>
              <w:spacing w:after="0"/>
            </w:pPr>
            <w:r/>
            <w:r>
              <w:rPr>
                <w:sz w:val="19"/>
              </w:rPr>
              <w:t>figure</w:t>
            </w:r>
          </w:p>
        </w:tc>
        <w:tc>
          <w:tcPr>
            <w:tcW w:type="dxa" w:w="3120"/>
          </w:tcPr>
          <w:p>
            <w:pPr>
              <w:spacing w:after="0"/>
            </w:pPr>
            <w:r/>
            <w:r>
              <w:rPr>
                <w:sz w:val="19"/>
              </w:rPr>
              <w:t>28,596 B</w:t>
            </w:r>
          </w:p>
        </w:tc>
      </w:tr>
      <w:tr>
        <w:tc>
          <w:tcPr>
            <w:tcW w:type="dxa" w:w="3120"/>
            <w:shd w:val="clear" w:color="auto" w:fill="EDF1F5"/>
          </w:tcPr>
          <w:p>
            <w:pPr>
              <w:spacing w:after="0"/>
            </w:pPr>
            <w:r/>
            <w:r>
              <w:rPr>
                <w:sz w:val="19"/>
              </w:rPr>
              <w:t>figure_9.png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241,437 B</w:t>
            </w:r>
          </w:p>
        </w:tc>
      </w:tr>
      <w:tr>
        <w:tc>
          <w:tcPr>
            <w:tcW w:type="dxa" w:w="3120"/>
          </w:tcPr>
          <w:p>
            <w:pPr>
              <w:spacing w:after="0"/>
            </w:pPr>
            <w:r/>
            <w:r>
              <w:rPr>
                <w:sz w:val="19"/>
              </w:rPr>
              <w:t>figure_captions.md</w:t>
            </w:r>
          </w:p>
        </w:tc>
        <w:tc>
          <w:tcPr>
            <w:tcW w:type="dxa" w:w="3120"/>
          </w:tcPr>
          <w:p>
            <w:pPr>
              <w:spacing w:after="0"/>
            </w:pPr>
            <w:r/>
            <w:r>
              <w:rPr>
                <w:sz w:val="19"/>
              </w:rPr>
              <w:t>figure</w:t>
            </w:r>
          </w:p>
        </w:tc>
        <w:tc>
          <w:tcPr>
            <w:tcW w:type="dxa" w:w="3120"/>
          </w:tcPr>
          <w:p>
            <w:pPr>
              <w:spacing w:after="0"/>
            </w:pPr>
            <w:r/>
            <w:r>
              <w:rPr>
                <w:sz w:val="19"/>
              </w:rPr>
              <w:t>5,190 B</w:t>
            </w:r>
          </w:p>
        </w:tc>
      </w:tr>
      <w:tr>
        <w:tc>
          <w:tcPr>
            <w:tcW w:type="dxa" w:w="3120"/>
            <w:shd w:val="clear" w:color="auto" w:fill="EDF1F5"/>
          </w:tcPr>
          <w:p>
            <w:pPr>
              <w:spacing w:after="0"/>
            </w:pPr>
            <w:r/>
            <w:r>
              <w:rPr>
                <w:sz w:val="19"/>
              </w:rPr>
              <w:t>payoff_matrices_2008.pdf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128,300 B</w:t>
            </w:r>
          </w:p>
        </w:tc>
      </w:tr>
      <w:tr>
        <w:tc>
          <w:tcPr>
            <w:tcW w:type="dxa" w:w="3120"/>
          </w:tcPr>
          <w:p>
            <w:pPr>
              <w:spacing w:after="0"/>
            </w:pPr>
            <w:r/>
            <w:r>
              <w:rPr>
                <w:sz w:val="19"/>
              </w:rPr>
              <w:t>payoff_matrices_2008.png</w:t>
            </w:r>
          </w:p>
        </w:tc>
        <w:tc>
          <w:tcPr>
            <w:tcW w:type="dxa" w:w="3120"/>
          </w:tcPr>
          <w:p>
            <w:pPr>
              <w:spacing w:after="0"/>
            </w:pPr>
            <w:r/>
            <w:r>
              <w:rPr>
                <w:sz w:val="19"/>
              </w:rPr>
              <w:t>figure</w:t>
            </w:r>
          </w:p>
        </w:tc>
        <w:tc>
          <w:tcPr>
            <w:tcW w:type="dxa" w:w="3120"/>
          </w:tcPr>
          <w:p>
            <w:pPr>
              <w:spacing w:after="0"/>
            </w:pPr>
            <w:r/>
            <w:r>
              <w:rPr>
                <w:sz w:val="19"/>
              </w:rPr>
              <w:t>1,000,457 B</w:t>
            </w:r>
          </w:p>
        </w:tc>
      </w:tr>
      <w:tr>
        <w:tc>
          <w:tcPr>
            <w:tcW w:type="dxa" w:w="3120"/>
            <w:shd w:val="clear" w:color="auto" w:fill="EDF1F5"/>
          </w:tcPr>
          <w:p>
            <w:pPr>
              <w:spacing w:after="0"/>
            </w:pPr>
            <w:r/>
            <w:r>
              <w:rPr>
                <w:sz w:val="19"/>
              </w:rPr>
              <w:t>payoff_matrices_telecom.pdf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117,402 B</w:t>
            </w:r>
          </w:p>
        </w:tc>
      </w:tr>
      <w:tr>
        <w:tc>
          <w:tcPr>
            <w:tcW w:type="dxa" w:w="3120"/>
          </w:tcPr>
          <w:p>
            <w:pPr>
              <w:spacing w:after="0"/>
            </w:pPr>
            <w:r/>
            <w:r>
              <w:rPr>
                <w:sz w:val="19"/>
              </w:rPr>
              <w:t>payoff_matrices_telecom.png</w:t>
            </w:r>
          </w:p>
        </w:tc>
        <w:tc>
          <w:tcPr>
            <w:tcW w:type="dxa" w:w="3120"/>
          </w:tcPr>
          <w:p>
            <w:pPr>
              <w:spacing w:after="0"/>
            </w:pPr>
            <w:r/>
            <w:r>
              <w:rPr>
                <w:sz w:val="19"/>
              </w:rPr>
              <w:t>figure</w:t>
            </w:r>
          </w:p>
        </w:tc>
        <w:tc>
          <w:tcPr>
            <w:tcW w:type="dxa" w:w="3120"/>
          </w:tcPr>
          <w:p>
            <w:pPr>
              <w:spacing w:after="0"/>
            </w:pPr>
            <w:r/>
            <w:r>
              <w:rPr>
                <w:sz w:val="19"/>
              </w:rPr>
              <w:t>1,011,022 B</w:t>
            </w:r>
          </w:p>
        </w:tc>
      </w:tr>
      <w:tr>
        <w:tc>
          <w:tcPr>
            <w:tcW w:type="dxa" w:w="3120"/>
            <w:shd w:val="clear" w:color="auto" w:fill="EDF1F5"/>
          </w:tcPr>
          <w:p>
            <w:pPr>
              <w:spacing w:after="0"/>
            </w:pPr>
            <w:r/>
            <w:r>
              <w:rPr>
                <w:sz w:val="19"/>
              </w:rPr>
              <w:t>pred_bubble_policy_bcr.pdf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26,459 B</w:t>
            </w:r>
          </w:p>
        </w:tc>
      </w:tr>
      <w:tr>
        <w:tc>
          <w:tcPr>
            <w:tcW w:type="dxa" w:w="3120"/>
          </w:tcPr>
          <w:p>
            <w:pPr>
              <w:spacing w:after="0"/>
            </w:pPr>
            <w:r/>
            <w:r>
              <w:rPr>
                <w:sz w:val="19"/>
              </w:rPr>
              <w:t>pred_bubble_policy_bcr.png</w:t>
            </w:r>
          </w:p>
        </w:tc>
        <w:tc>
          <w:tcPr>
            <w:tcW w:type="dxa" w:w="3120"/>
          </w:tcPr>
          <w:p>
            <w:pPr>
              <w:spacing w:after="0"/>
            </w:pPr>
            <w:r/>
            <w:r>
              <w:rPr>
                <w:sz w:val="19"/>
              </w:rPr>
              <w:t>figure</w:t>
            </w:r>
          </w:p>
        </w:tc>
        <w:tc>
          <w:tcPr>
            <w:tcW w:type="dxa" w:w="3120"/>
          </w:tcPr>
          <w:p>
            <w:pPr>
              <w:spacing w:after="0"/>
            </w:pPr>
            <w:r/>
            <w:r>
              <w:rPr>
                <w:sz w:val="19"/>
              </w:rPr>
              <w:t>145,195 B</w:t>
            </w:r>
          </w:p>
        </w:tc>
      </w:tr>
      <w:tr>
        <w:tc>
          <w:tcPr>
            <w:tcW w:type="dxa" w:w="3120"/>
            <w:shd w:val="clear" w:color="auto" w:fill="EDF1F5"/>
          </w:tcPr>
          <w:p>
            <w:pPr>
              <w:spacing w:after="0"/>
            </w:pPr>
            <w:r/>
            <w:r>
              <w:rPr>
                <w:sz w:val="19"/>
              </w:rPr>
              <w:t>pred_burst_waterfall.pdf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27,577 B</w:t>
            </w:r>
          </w:p>
        </w:tc>
      </w:tr>
      <w:tr>
        <w:tc>
          <w:tcPr>
            <w:tcW w:type="dxa" w:w="3120"/>
          </w:tcPr>
          <w:p>
            <w:pPr>
              <w:spacing w:after="0"/>
            </w:pPr>
            <w:r/>
            <w:r>
              <w:rPr>
                <w:sz w:val="19"/>
              </w:rPr>
              <w:t>pred_burst_waterfall.png</w:t>
            </w:r>
          </w:p>
        </w:tc>
        <w:tc>
          <w:tcPr>
            <w:tcW w:type="dxa" w:w="3120"/>
          </w:tcPr>
          <w:p>
            <w:pPr>
              <w:spacing w:after="0"/>
            </w:pPr>
            <w:r/>
            <w:r>
              <w:rPr>
                <w:sz w:val="19"/>
              </w:rPr>
              <w:t>figure</w:t>
            </w:r>
          </w:p>
        </w:tc>
        <w:tc>
          <w:tcPr>
            <w:tcW w:type="dxa" w:w="3120"/>
          </w:tcPr>
          <w:p>
            <w:pPr>
              <w:spacing w:after="0"/>
            </w:pPr>
            <w:r/>
            <w:r>
              <w:rPr>
                <w:sz w:val="19"/>
              </w:rPr>
              <w:t>125,742 B</w:t>
            </w:r>
          </w:p>
        </w:tc>
      </w:tr>
      <w:tr>
        <w:tc>
          <w:tcPr>
            <w:tcW w:type="dxa" w:w="3120"/>
            <w:shd w:val="clear" w:color="auto" w:fill="EDF1F5"/>
          </w:tcPr>
          <w:p>
            <w:pPr>
              <w:spacing w:after="0"/>
            </w:pPr>
            <w:r/>
            <w:r>
              <w:rPr>
                <w:sz w:val="19"/>
              </w:rPr>
              <w:t>pred_cascade_stack.pdf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25,841 B</w:t>
            </w:r>
          </w:p>
        </w:tc>
      </w:tr>
      <w:tr>
        <w:tc>
          <w:tcPr>
            <w:tcW w:type="dxa" w:w="3120"/>
          </w:tcPr>
          <w:p>
            <w:pPr>
              <w:spacing w:after="0"/>
            </w:pPr>
            <w:r/>
            <w:r>
              <w:rPr>
                <w:sz w:val="19"/>
              </w:rPr>
              <w:t>pred_cascade_stack.png</w:t>
            </w:r>
          </w:p>
        </w:tc>
        <w:tc>
          <w:tcPr>
            <w:tcW w:type="dxa" w:w="3120"/>
          </w:tcPr>
          <w:p>
            <w:pPr>
              <w:spacing w:after="0"/>
            </w:pPr>
            <w:r/>
            <w:r>
              <w:rPr>
                <w:sz w:val="19"/>
              </w:rPr>
              <w:t>figure</w:t>
            </w:r>
          </w:p>
        </w:tc>
        <w:tc>
          <w:tcPr>
            <w:tcW w:type="dxa" w:w="3120"/>
          </w:tcPr>
          <w:p>
            <w:pPr>
              <w:spacing w:after="0"/>
            </w:pPr>
            <w:r/>
            <w:r>
              <w:rPr>
                <w:sz w:val="19"/>
              </w:rPr>
              <w:t>124,522 B</w:t>
            </w:r>
          </w:p>
        </w:tc>
      </w:tr>
      <w:tr>
        <w:tc>
          <w:tcPr>
            <w:tcW w:type="dxa" w:w="3120"/>
            <w:shd w:val="clear" w:color="auto" w:fill="EDF1F5"/>
          </w:tcPr>
          <w:p>
            <w:pPr>
              <w:spacing w:after="0"/>
            </w:pPr>
            <w:r/>
            <w:r>
              <w:rPr>
                <w:sz w:val="19"/>
              </w:rPr>
              <w:t>pred_company_losses.pdf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26,498 B</w:t>
            </w:r>
          </w:p>
        </w:tc>
      </w:tr>
      <w:tr>
        <w:tc>
          <w:tcPr>
            <w:tcW w:type="dxa" w:w="3120"/>
          </w:tcPr>
          <w:p>
            <w:pPr>
              <w:spacing w:after="0"/>
            </w:pPr>
            <w:r/>
            <w:r>
              <w:rPr>
                <w:sz w:val="19"/>
              </w:rPr>
              <w:t>pred_company_losses.png</w:t>
            </w:r>
          </w:p>
        </w:tc>
        <w:tc>
          <w:tcPr>
            <w:tcW w:type="dxa" w:w="3120"/>
          </w:tcPr>
          <w:p>
            <w:pPr>
              <w:spacing w:after="0"/>
            </w:pPr>
            <w:r/>
            <w:r>
              <w:rPr>
                <w:sz w:val="19"/>
              </w:rPr>
              <w:t>figure</w:t>
            </w:r>
          </w:p>
        </w:tc>
        <w:tc>
          <w:tcPr>
            <w:tcW w:type="dxa" w:w="3120"/>
          </w:tcPr>
          <w:p>
            <w:pPr>
              <w:spacing w:after="0"/>
            </w:pPr>
            <w:r/>
            <w:r>
              <w:rPr>
                <w:sz w:val="19"/>
              </w:rPr>
              <w:t>164,281 B</w:t>
            </w:r>
          </w:p>
        </w:tc>
      </w:tr>
      <w:tr>
        <w:tc>
          <w:tcPr>
            <w:tcW w:type="dxa" w:w="3120"/>
            <w:shd w:val="clear" w:color="auto" w:fill="EDF1F5"/>
          </w:tcPr>
          <w:p>
            <w:pPr>
              <w:spacing w:after="0"/>
            </w:pPr>
            <w:r/>
            <w:r>
              <w:rPr>
                <w:sz w:val="19"/>
              </w:rPr>
              <w:t>pred_concentration.pdf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24,510 B</w:t>
            </w:r>
          </w:p>
        </w:tc>
      </w:tr>
      <w:tr>
        <w:tc>
          <w:tcPr>
            <w:tcW w:type="dxa" w:w="3120"/>
          </w:tcPr>
          <w:p>
            <w:pPr>
              <w:spacing w:after="0"/>
            </w:pPr>
            <w:r/>
            <w:r>
              <w:rPr>
                <w:sz w:val="19"/>
              </w:rPr>
              <w:t>pred_concentration.png</w:t>
            </w:r>
          </w:p>
        </w:tc>
        <w:tc>
          <w:tcPr>
            <w:tcW w:type="dxa" w:w="3120"/>
          </w:tcPr>
          <w:p>
            <w:pPr>
              <w:spacing w:after="0"/>
            </w:pPr>
            <w:r/>
            <w:r>
              <w:rPr>
                <w:sz w:val="19"/>
              </w:rPr>
              <w:t>figure</w:t>
            </w:r>
          </w:p>
        </w:tc>
        <w:tc>
          <w:tcPr>
            <w:tcW w:type="dxa" w:w="3120"/>
          </w:tcPr>
          <w:p>
            <w:pPr>
              <w:spacing w:after="0"/>
            </w:pPr>
            <w:r/>
            <w:r>
              <w:rPr>
                <w:sz w:val="19"/>
              </w:rPr>
              <w:t>132,335 B</w:t>
            </w:r>
          </w:p>
        </w:tc>
      </w:tr>
      <w:tr>
        <w:tc>
          <w:tcPr>
            <w:tcW w:type="dxa" w:w="3120"/>
            <w:shd w:val="clear" w:color="auto" w:fill="EDF1F5"/>
          </w:tcPr>
          <w:p>
            <w:pPr>
              <w:spacing w:after="0"/>
            </w:pPr>
            <w:r/>
            <w:r>
              <w:rPr>
                <w:sz w:val="19"/>
              </w:rPr>
              <w:t>pred_equity_revenue_impact.pdf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26,417 B</w:t>
            </w:r>
          </w:p>
        </w:tc>
      </w:tr>
      <w:tr>
        <w:tc>
          <w:tcPr>
            <w:tcW w:type="dxa" w:w="3120"/>
          </w:tcPr>
          <w:p>
            <w:pPr>
              <w:spacing w:after="0"/>
            </w:pPr>
            <w:r/>
            <w:r>
              <w:rPr>
                <w:sz w:val="19"/>
              </w:rPr>
              <w:t>pred_equity_revenue_impact.png</w:t>
            </w:r>
          </w:p>
        </w:tc>
        <w:tc>
          <w:tcPr>
            <w:tcW w:type="dxa" w:w="3120"/>
          </w:tcPr>
          <w:p>
            <w:pPr>
              <w:spacing w:after="0"/>
            </w:pPr>
            <w:r/>
            <w:r>
              <w:rPr>
                <w:sz w:val="19"/>
              </w:rPr>
              <w:t>figure</w:t>
            </w:r>
          </w:p>
        </w:tc>
        <w:tc>
          <w:tcPr>
            <w:tcW w:type="dxa" w:w="3120"/>
          </w:tcPr>
          <w:p>
            <w:pPr>
              <w:spacing w:after="0"/>
            </w:pPr>
            <w:r/>
            <w:r>
              <w:rPr>
                <w:sz w:val="19"/>
              </w:rPr>
              <w:t>154,054 B</w:t>
            </w:r>
          </w:p>
        </w:tc>
      </w:tr>
      <w:tr>
        <w:tc>
          <w:tcPr>
            <w:tcW w:type="dxa" w:w="3120"/>
            <w:shd w:val="clear" w:color="auto" w:fill="EDF1F5"/>
          </w:tcPr>
          <w:p>
            <w:pPr>
              <w:spacing w:after="0"/>
            </w:pPr>
            <w:r/>
            <w:r>
              <w:rPr>
                <w:sz w:val="19"/>
              </w:rPr>
              <w:t>pred_expected_losses.pdf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26,361 B</w:t>
            </w:r>
          </w:p>
        </w:tc>
      </w:tr>
      <w:tr>
        <w:tc>
          <w:tcPr>
            <w:tcW w:type="dxa" w:w="3120"/>
          </w:tcPr>
          <w:p>
            <w:pPr>
              <w:spacing w:after="0"/>
            </w:pPr>
            <w:r/>
            <w:r>
              <w:rPr>
                <w:sz w:val="19"/>
              </w:rPr>
              <w:t>pred_expected_losses.png</w:t>
            </w:r>
          </w:p>
        </w:tc>
        <w:tc>
          <w:tcPr>
            <w:tcW w:type="dxa" w:w="3120"/>
          </w:tcPr>
          <w:p>
            <w:pPr>
              <w:spacing w:after="0"/>
            </w:pPr>
            <w:r/>
            <w:r>
              <w:rPr>
                <w:sz w:val="19"/>
              </w:rPr>
              <w:t>figure</w:t>
            </w:r>
          </w:p>
        </w:tc>
        <w:tc>
          <w:tcPr>
            <w:tcW w:type="dxa" w:w="3120"/>
          </w:tcPr>
          <w:p>
            <w:pPr>
              <w:spacing w:after="0"/>
            </w:pPr>
            <w:r/>
            <w:r>
              <w:rPr>
                <w:sz w:val="19"/>
              </w:rPr>
              <w:t>165,301 B</w:t>
            </w:r>
          </w:p>
        </w:tc>
      </w:tr>
      <w:tr>
        <w:tc>
          <w:tcPr>
            <w:tcW w:type="dxa" w:w="3120"/>
            <w:shd w:val="clear" w:color="auto" w:fill="EDF1F5"/>
          </w:tcPr>
          <w:p>
            <w:pPr>
              <w:spacing w:after="0"/>
            </w:pPr>
            <w:r/>
            <w:r>
              <w:rPr>
                <w:sz w:val="19"/>
              </w:rPr>
              <w:t>pred_five_pillar.pdf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25,619 B</w:t>
            </w:r>
          </w:p>
        </w:tc>
      </w:tr>
      <w:tr>
        <w:tc>
          <w:tcPr>
            <w:tcW w:type="dxa" w:w="3120"/>
          </w:tcPr>
          <w:p>
            <w:pPr>
              <w:spacing w:after="0"/>
            </w:pPr>
            <w:r/>
            <w:r>
              <w:rPr>
                <w:sz w:val="19"/>
              </w:rPr>
              <w:t>pred_five_pillar.png</w:t>
            </w:r>
          </w:p>
        </w:tc>
        <w:tc>
          <w:tcPr>
            <w:tcW w:type="dxa" w:w="3120"/>
          </w:tcPr>
          <w:p>
            <w:pPr>
              <w:spacing w:after="0"/>
            </w:pPr>
            <w:r/>
            <w:r>
              <w:rPr>
                <w:sz w:val="19"/>
              </w:rPr>
              <w:t>figure</w:t>
            </w:r>
          </w:p>
        </w:tc>
        <w:tc>
          <w:tcPr>
            <w:tcW w:type="dxa" w:w="3120"/>
          </w:tcPr>
          <w:p>
            <w:pPr>
              <w:spacing w:after="0"/>
            </w:pPr>
            <w:r/>
            <w:r>
              <w:rPr>
                <w:sz w:val="19"/>
              </w:rPr>
              <w:t>123,850 B</w:t>
            </w:r>
          </w:p>
        </w:tc>
      </w:tr>
      <w:tr>
        <w:tc>
          <w:tcPr>
            <w:tcW w:type="dxa" w:w="3120"/>
            <w:shd w:val="clear" w:color="auto" w:fill="EDF1F5"/>
          </w:tcPr>
          <w:p>
            <w:pPr>
              <w:spacing w:after="0"/>
            </w:pPr>
            <w:r/>
            <w:r>
              <w:rPr>
                <w:sz w:val="19"/>
              </w:rPr>
              <w:t>pred_formation_bands.pdf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23,393 B</w:t>
            </w:r>
          </w:p>
        </w:tc>
      </w:tr>
      <w:tr>
        <w:tc>
          <w:tcPr>
            <w:tcW w:type="dxa" w:w="3120"/>
          </w:tcPr>
          <w:p>
            <w:pPr>
              <w:spacing w:after="0"/>
            </w:pPr>
            <w:r/>
            <w:r>
              <w:rPr>
                <w:sz w:val="19"/>
              </w:rPr>
              <w:t>pred_formation_bands.png</w:t>
            </w:r>
          </w:p>
        </w:tc>
        <w:tc>
          <w:tcPr>
            <w:tcW w:type="dxa" w:w="3120"/>
          </w:tcPr>
          <w:p>
            <w:pPr>
              <w:spacing w:after="0"/>
            </w:pPr>
            <w:r/>
            <w:r>
              <w:rPr>
                <w:sz w:val="19"/>
              </w:rPr>
              <w:t>figure</w:t>
            </w:r>
          </w:p>
        </w:tc>
        <w:tc>
          <w:tcPr>
            <w:tcW w:type="dxa" w:w="3120"/>
          </w:tcPr>
          <w:p>
            <w:pPr>
              <w:spacing w:after="0"/>
            </w:pPr>
            <w:r/>
            <w:r>
              <w:rPr>
                <w:sz w:val="19"/>
              </w:rPr>
              <w:t>117,476 B</w:t>
            </w:r>
          </w:p>
        </w:tc>
      </w:tr>
      <w:tr>
        <w:tc>
          <w:tcPr>
            <w:tcW w:type="dxa" w:w="3120"/>
            <w:shd w:val="clear" w:color="auto" w:fill="EDF1F5"/>
          </w:tcPr>
          <w:p>
            <w:pPr>
              <w:spacing w:after="0"/>
            </w:pPr>
            <w:r/>
            <w:r>
              <w:rPr>
                <w:sz w:val="19"/>
              </w:rPr>
              <w:t>pred_fragility.pdf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24,885 B</w:t>
            </w:r>
          </w:p>
        </w:tc>
      </w:tr>
      <w:tr>
        <w:tc>
          <w:tcPr>
            <w:tcW w:type="dxa" w:w="3120"/>
          </w:tcPr>
          <w:p>
            <w:pPr>
              <w:spacing w:after="0"/>
            </w:pPr>
            <w:r/>
            <w:r>
              <w:rPr>
                <w:sz w:val="19"/>
              </w:rPr>
              <w:t>pred_fragility.png</w:t>
            </w:r>
          </w:p>
        </w:tc>
        <w:tc>
          <w:tcPr>
            <w:tcW w:type="dxa" w:w="3120"/>
          </w:tcPr>
          <w:p>
            <w:pPr>
              <w:spacing w:after="0"/>
            </w:pPr>
            <w:r/>
            <w:r>
              <w:rPr>
                <w:sz w:val="19"/>
              </w:rPr>
              <w:t>figure</w:t>
            </w:r>
          </w:p>
        </w:tc>
        <w:tc>
          <w:tcPr>
            <w:tcW w:type="dxa" w:w="3120"/>
          </w:tcPr>
          <w:p>
            <w:pPr>
              <w:spacing w:after="0"/>
            </w:pPr>
            <w:r/>
            <w:r>
              <w:rPr>
                <w:sz w:val="19"/>
              </w:rPr>
              <w:t>134,142 B</w:t>
            </w:r>
          </w:p>
        </w:tc>
      </w:tr>
      <w:tr>
        <w:tc>
          <w:tcPr>
            <w:tcW w:type="dxa" w:w="3120"/>
            <w:shd w:val="clear" w:color="auto" w:fill="EDF1F5"/>
          </w:tcPr>
          <w:p>
            <w:pPr>
              <w:spacing w:after="0"/>
            </w:pPr>
            <w:r/>
            <w:r>
              <w:rPr>
                <w:sz w:val="19"/>
              </w:rPr>
              <w:t>pred_gatekeeper.pdf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25,581 B</w:t>
            </w:r>
          </w:p>
        </w:tc>
      </w:tr>
      <w:tr>
        <w:tc>
          <w:tcPr>
            <w:tcW w:type="dxa" w:w="3120"/>
          </w:tcPr>
          <w:p>
            <w:pPr>
              <w:spacing w:after="0"/>
            </w:pPr>
            <w:r/>
            <w:r>
              <w:rPr>
                <w:sz w:val="19"/>
              </w:rPr>
              <w:t>pred_gatekeeper.png</w:t>
            </w:r>
          </w:p>
        </w:tc>
        <w:tc>
          <w:tcPr>
            <w:tcW w:type="dxa" w:w="3120"/>
          </w:tcPr>
          <w:p>
            <w:pPr>
              <w:spacing w:after="0"/>
            </w:pPr>
            <w:r/>
            <w:r>
              <w:rPr>
                <w:sz w:val="19"/>
              </w:rPr>
              <w:t>figure</w:t>
            </w:r>
          </w:p>
        </w:tc>
        <w:tc>
          <w:tcPr>
            <w:tcW w:type="dxa" w:w="3120"/>
          </w:tcPr>
          <w:p>
            <w:pPr>
              <w:spacing w:after="0"/>
            </w:pPr>
            <w:r/>
            <w:r>
              <w:rPr>
                <w:sz w:val="19"/>
              </w:rPr>
              <w:t>147,366 B</w:t>
            </w:r>
          </w:p>
        </w:tc>
      </w:tr>
      <w:tr>
        <w:tc>
          <w:tcPr>
            <w:tcW w:type="dxa" w:w="3120"/>
            <w:shd w:val="clear" w:color="auto" w:fill="EDF1F5"/>
          </w:tcPr>
          <w:p>
            <w:pPr>
              <w:spacing w:after="0"/>
            </w:pPr>
            <w:r/>
            <w:r>
              <w:rPr>
                <w:sz w:val="19"/>
              </w:rPr>
              <w:t>pred_gauge_backtest.pdf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25,356 B</w:t>
            </w:r>
          </w:p>
        </w:tc>
      </w:tr>
      <w:tr>
        <w:tc>
          <w:tcPr>
            <w:tcW w:type="dxa" w:w="3120"/>
          </w:tcPr>
          <w:p>
            <w:pPr>
              <w:spacing w:after="0"/>
            </w:pPr>
            <w:r/>
            <w:r>
              <w:rPr>
                <w:sz w:val="19"/>
              </w:rPr>
              <w:t>pred_gauge_backtest.png</w:t>
            </w:r>
          </w:p>
        </w:tc>
        <w:tc>
          <w:tcPr>
            <w:tcW w:type="dxa" w:w="3120"/>
          </w:tcPr>
          <w:p>
            <w:pPr>
              <w:spacing w:after="0"/>
            </w:pPr>
            <w:r/>
            <w:r>
              <w:rPr>
                <w:sz w:val="19"/>
              </w:rPr>
              <w:t>figure</w:t>
            </w:r>
          </w:p>
        </w:tc>
        <w:tc>
          <w:tcPr>
            <w:tcW w:type="dxa" w:w="3120"/>
          </w:tcPr>
          <w:p>
            <w:pPr>
              <w:spacing w:after="0"/>
            </w:pPr>
            <w:r/>
            <w:r>
              <w:rPr>
                <w:sz w:val="19"/>
              </w:rPr>
              <w:t>184,978 B</w:t>
            </w:r>
          </w:p>
        </w:tc>
      </w:tr>
      <w:tr>
        <w:tc>
          <w:tcPr>
            <w:tcW w:type="dxa" w:w="3120"/>
            <w:shd w:val="clear" w:color="auto" w:fill="EDF1F5"/>
          </w:tcPr>
          <w:p>
            <w:pPr>
              <w:spacing w:after="0"/>
            </w:pPr>
            <w:r/>
            <w:r>
              <w:rPr>
                <w:sz w:val="19"/>
              </w:rPr>
              <w:t>pred_gdp_waterfall.pdf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25,497 B</w:t>
            </w:r>
          </w:p>
        </w:tc>
      </w:tr>
      <w:tr>
        <w:tc>
          <w:tcPr>
            <w:tcW w:type="dxa" w:w="3120"/>
          </w:tcPr>
          <w:p>
            <w:pPr>
              <w:spacing w:after="0"/>
            </w:pPr>
            <w:r/>
            <w:r>
              <w:rPr>
                <w:sz w:val="19"/>
              </w:rPr>
              <w:t>pred_gdp_waterfall.png</w:t>
            </w:r>
          </w:p>
        </w:tc>
        <w:tc>
          <w:tcPr>
            <w:tcW w:type="dxa" w:w="3120"/>
          </w:tcPr>
          <w:p>
            <w:pPr>
              <w:spacing w:after="0"/>
            </w:pPr>
            <w:r/>
            <w:r>
              <w:rPr>
                <w:sz w:val="19"/>
              </w:rPr>
              <w:t>figure</w:t>
            </w:r>
          </w:p>
        </w:tc>
        <w:tc>
          <w:tcPr>
            <w:tcW w:type="dxa" w:w="3120"/>
          </w:tcPr>
          <w:p>
            <w:pPr>
              <w:spacing w:after="0"/>
            </w:pPr>
            <w:r/>
            <w:r>
              <w:rPr>
                <w:sz w:val="19"/>
              </w:rPr>
              <w:t>133,372 B</w:t>
            </w:r>
          </w:p>
        </w:tc>
      </w:tr>
      <w:tr>
        <w:tc>
          <w:tcPr>
            <w:tcW w:type="dxa" w:w="3120"/>
            <w:shd w:val="clear" w:color="auto" w:fill="EDF1F5"/>
          </w:tcPr>
          <w:p>
            <w:pPr>
              <w:spacing w:after="0"/>
            </w:pPr>
            <w:r/>
            <w:r>
              <w:rPr>
                <w:sz w:val="19"/>
              </w:rPr>
              <w:t>pred_geography_bars.pdf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29,292 B</w:t>
            </w:r>
          </w:p>
        </w:tc>
      </w:tr>
      <w:tr>
        <w:tc>
          <w:tcPr>
            <w:tcW w:type="dxa" w:w="3120"/>
          </w:tcPr>
          <w:p>
            <w:pPr>
              <w:spacing w:after="0"/>
            </w:pPr>
            <w:r/>
            <w:r>
              <w:rPr>
                <w:sz w:val="19"/>
              </w:rPr>
              <w:t>pred_geography_bars.png</w:t>
            </w:r>
          </w:p>
        </w:tc>
        <w:tc>
          <w:tcPr>
            <w:tcW w:type="dxa" w:w="3120"/>
          </w:tcPr>
          <w:p>
            <w:pPr>
              <w:spacing w:after="0"/>
            </w:pPr>
            <w:r/>
            <w:r>
              <w:rPr>
                <w:sz w:val="19"/>
              </w:rPr>
              <w:t>figure</w:t>
            </w:r>
          </w:p>
        </w:tc>
        <w:tc>
          <w:tcPr>
            <w:tcW w:type="dxa" w:w="3120"/>
          </w:tcPr>
          <w:p>
            <w:pPr>
              <w:spacing w:after="0"/>
            </w:pPr>
            <w:r/>
            <w:r>
              <w:rPr>
                <w:sz w:val="19"/>
              </w:rPr>
              <w:t>152,684 B</w:t>
            </w:r>
          </w:p>
        </w:tc>
      </w:tr>
      <w:tr>
        <w:tc>
          <w:tcPr>
            <w:tcW w:type="dxa" w:w="3120"/>
            <w:shd w:val="clear" w:color="auto" w:fill="EDF1F5"/>
          </w:tcPr>
          <w:p>
            <w:pPr>
              <w:spacing w:after="0"/>
            </w:pPr>
            <w:r/>
            <w:r>
              <w:rPr>
                <w:sz w:val="19"/>
              </w:rPr>
              <w:t>pred_layer_composition.pdf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31,616 B</w:t>
            </w:r>
          </w:p>
        </w:tc>
      </w:tr>
      <w:tr>
        <w:tc>
          <w:tcPr>
            <w:tcW w:type="dxa" w:w="3120"/>
          </w:tcPr>
          <w:p>
            <w:pPr>
              <w:spacing w:after="0"/>
            </w:pPr>
            <w:r/>
            <w:r>
              <w:rPr>
                <w:sz w:val="19"/>
              </w:rPr>
              <w:t>pred_layer_composition.png</w:t>
            </w:r>
          </w:p>
        </w:tc>
        <w:tc>
          <w:tcPr>
            <w:tcW w:type="dxa" w:w="3120"/>
          </w:tcPr>
          <w:p>
            <w:pPr>
              <w:spacing w:after="0"/>
            </w:pPr>
            <w:r/>
            <w:r>
              <w:rPr>
                <w:sz w:val="19"/>
              </w:rPr>
              <w:t>figure</w:t>
            </w:r>
          </w:p>
        </w:tc>
        <w:tc>
          <w:tcPr>
            <w:tcW w:type="dxa" w:w="3120"/>
          </w:tcPr>
          <w:p>
            <w:pPr>
              <w:spacing w:after="0"/>
            </w:pPr>
            <w:r/>
            <w:r>
              <w:rPr>
                <w:sz w:val="19"/>
              </w:rPr>
              <w:t>191,809 B</w:t>
            </w:r>
          </w:p>
        </w:tc>
      </w:tr>
      <w:tr>
        <w:tc>
          <w:tcPr>
            <w:tcW w:type="dxa" w:w="3120"/>
            <w:shd w:val="clear" w:color="auto" w:fill="EDF1F5"/>
          </w:tcPr>
          <w:p>
            <w:pPr>
              <w:spacing w:after="0"/>
            </w:pPr>
            <w:r/>
            <w:r>
              <w:rPr>
                <w:sz w:val="19"/>
              </w:rPr>
              <w:t>pred_ml_horserace.pdf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23,959 B</w:t>
            </w:r>
          </w:p>
        </w:tc>
      </w:tr>
      <w:tr>
        <w:tc>
          <w:tcPr>
            <w:tcW w:type="dxa" w:w="3120"/>
          </w:tcPr>
          <w:p>
            <w:pPr>
              <w:spacing w:after="0"/>
            </w:pPr>
            <w:r/>
            <w:r>
              <w:rPr>
                <w:sz w:val="19"/>
              </w:rPr>
              <w:t>pred_ml_horserace.png</w:t>
            </w:r>
          </w:p>
        </w:tc>
        <w:tc>
          <w:tcPr>
            <w:tcW w:type="dxa" w:w="3120"/>
          </w:tcPr>
          <w:p>
            <w:pPr>
              <w:spacing w:after="0"/>
            </w:pPr>
            <w:r/>
            <w:r>
              <w:rPr>
                <w:sz w:val="19"/>
              </w:rPr>
              <w:t>figure</w:t>
            </w:r>
          </w:p>
        </w:tc>
        <w:tc>
          <w:tcPr>
            <w:tcW w:type="dxa" w:w="3120"/>
          </w:tcPr>
          <w:p>
            <w:pPr>
              <w:spacing w:after="0"/>
            </w:pPr>
            <w:r/>
            <w:r>
              <w:rPr>
                <w:sz w:val="19"/>
              </w:rPr>
              <w:t>140,950 B</w:t>
            </w:r>
          </w:p>
        </w:tc>
      </w:tr>
      <w:tr>
        <w:tc>
          <w:tcPr>
            <w:tcW w:type="dxa" w:w="3120"/>
            <w:shd w:val="clear" w:color="auto" w:fill="EDF1F5"/>
          </w:tcPr>
          <w:p>
            <w:pPr>
              <w:spacing w:after="0"/>
            </w:pPr>
            <w:r/>
            <w:r>
              <w:rPr>
                <w:sz w:val="19"/>
              </w:rPr>
              <w:t>pred_open_weights.pdf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27,232 B</w:t>
            </w:r>
          </w:p>
        </w:tc>
      </w:tr>
      <w:tr>
        <w:tc>
          <w:tcPr>
            <w:tcW w:type="dxa" w:w="3120"/>
          </w:tcPr>
          <w:p>
            <w:pPr>
              <w:spacing w:after="0"/>
            </w:pPr>
            <w:r/>
            <w:r>
              <w:rPr>
                <w:sz w:val="19"/>
              </w:rPr>
              <w:t>pred_open_weights.png</w:t>
            </w:r>
          </w:p>
        </w:tc>
        <w:tc>
          <w:tcPr>
            <w:tcW w:type="dxa" w:w="3120"/>
          </w:tcPr>
          <w:p>
            <w:pPr>
              <w:spacing w:after="0"/>
            </w:pPr>
            <w:r/>
            <w:r>
              <w:rPr>
                <w:sz w:val="19"/>
              </w:rPr>
              <w:t>figure</w:t>
            </w:r>
          </w:p>
        </w:tc>
        <w:tc>
          <w:tcPr>
            <w:tcW w:type="dxa" w:w="3120"/>
          </w:tcPr>
          <w:p>
            <w:pPr>
              <w:spacing w:after="0"/>
            </w:pPr>
            <w:r/>
            <w:r>
              <w:rPr>
                <w:sz w:val="19"/>
              </w:rPr>
              <w:t>145,837 B</w:t>
            </w:r>
          </w:p>
        </w:tc>
      </w:tr>
      <w:tr>
        <w:tc>
          <w:tcPr>
            <w:tcW w:type="dxa" w:w="3120"/>
            <w:shd w:val="clear" w:color="auto" w:fill="EDF1F5"/>
          </w:tcPr>
          <w:p>
            <w:pPr>
              <w:spacing w:after="0"/>
            </w:pPr>
            <w:r/>
            <w:r>
              <w:rPr>
                <w:sz w:val="19"/>
              </w:rPr>
              <w:t>pred_robustness_survival.pdf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25,991 B</w:t>
            </w:r>
          </w:p>
        </w:tc>
      </w:tr>
      <w:tr>
        <w:tc>
          <w:tcPr>
            <w:tcW w:type="dxa" w:w="3120"/>
          </w:tcPr>
          <w:p>
            <w:pPr>
              <w:spacing w:after="0"/>
            </w:pPr>
            <w:r/>
            <w:r>
              <w:rPr>
                <w:sz w:val="19"/>
              </w:rPr>
              <w:t>pred_robustness_survival.png</w:t>
            </w:r>
          </w:p>
        </w:tc>
        <w:tc>
          <w:tcPr>
            <w:tcW w:type="dxa" w:w="3120"/>
          </w:tcPr>
          <w:p>
            <w:pPr>
              <w:spacing w:after="0"/>
            </w:pPr>
            <w:r/>
            <w:r>
              <w:rPr>
                <w:sz w:val="19"/>
              </w:rPr>
              <w:t>figure</w:t>
            </w:r>
          </w:p>
        </w:tc>
        <w:tc>
          <w:tcPr>
            <w:tcW w:type="dxa" w:w="3120"/>
          </w:tcPr>
          <w:p>
            <w:pPr>
              <w:spacing w:after="0"/>
            </w:pPr>
            <w:r/>
            <w:r>
              <w:rPr>
                <w:sz w:val="19"/>
              </w:rPr>
              <w:t>151,167 B</w:t>
            </w:r>
          </w:p>
        </w:tc>
      </w:tr>
      <w:tr>
        <w:tc>
          <w:tcPr>
            <w:tcW w:type="dxa" w:w="3120"/>
            <w:shd w:val="clear" w:color="auto" w:fill="EDF1F5"/>
          </w:tcPr>
          <w:p>
            <w:pPr>
              <w:spacing w:after="0"/>
            </w:pPr>
            <w:r/>
            <w:r>
              <w:rPr>
                <w:sz w:val="19"/>
              </w:rPr>
              <w:t>pred_scenario_ladder.pdf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29,149 B</w:t>
            </w:r>
          </w:p>
        </w:tc>
      </w:tr>
      <w:tr>
        <w:tc>
          <w:tcPr>
            <w:tcW w:type="dxa" w:w="3120"/>
          </w:tcPr>
          <w:p>
            <w:pPr>
              <w:spacing w:after="0"/>
            </w:pPr>
            <w:r/>
            <w:r>
              <w:rPr>
                <w:sz w:val="19"/>
              </w:rPr>
              <w:t>pred_scenario_ladder.png</w:t>
            </w:r>
          </w:p>
        </w:tc>
        <w:tc>
          <w:tcPr>
            <w:tcW w:type="dxa" w:w="3120"/>
          </w:tcPr>
          <w:p>
            <w:pPr>
              <w:spacing w:after="0"/>
            </w:pPr>
            <w:r/>
            <w:r>
              <w:rPr>
                <w:sz w:val="19"/>
              </w:rPr>
              <w:t>figure</w:t>
            </w:r>
          </w:p>
        </w:tc>
        <w:tc>
          <w:tcPr>
            <w:tcW w:type="dxa" w:w="3120"/>
          </w:tcPr>
          <w:p>
            <w:pPr>
              <w:spacing w:after="0"/>
            </w:pPr>
            <w:r/>
            <w:r>
              <w:rPr>
                <w:sz w:val="19"/>
              </w:rPr>
              <w:t>148,253 B</w:t>
            </w:r>
          </w:p>
        </w:tc>
      </w:tr>
      <w:tr>
        <w:tc>
          <w:tcPr>
            <w:tcW w:type="dxa" w:w="3120"/>
            <w:shd w:val="clear" w:color="auto" w:fill="EDF1F5"/>
          </w:tcPr>
          <w:p>
            <w:pPr>
              <w:spacing w:after="0"/>
            </w:pPr>
            <w:r/>
            <w:r>
              <w:rPr>
                <w:sz w:val="19"/>
              </w:rPr>
              <w:t>pred_screen_flags.pdf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23,471 B</w:t>
            </w:r>
          </w:p>
        </w:tc>
      </w:tr>
      <w:tr>
        <w:tc>
          <w:tcPr>
            <w:tcW w:type="dxa" w:w="3120"/>
          </w:tcPr>
          <w:p>
            <w:pPr>
              <w:spacing w:after="0"/>
            </w:pPr>
            <w:r/>
            <w:r>
              <w:rPr>
                <w:sz w:val="19"/>
              </w:rPr>
              <w:t>pred_screen_flags.png</w:t>
            </w:r>
          </w:p>
        </w:tc>
        <w:tc>
          <w:tcPr>
            <w:tcW w:type="dxa" w:w="3120"/>
          </w:tcPr>
          <w:p>
            <w:pPr>
              <w:spacing w:after="0"/>
            </w:pPr>
            <w:r/>
            <w:r>
              <w:rPr>
                <w:sz w:val="19"/>
              </w:rPr>
              <w:t>figure</w:t>
            </w:r>
          </w:p>
        </w:tc>
        <w:tc>
          <w:tcPr>
            <w:tcW w:type="dxa" w:w="3120"/>
          </w:tcPr>
          <w:p>
            <w:pPr>
              <w:spacing w:after="0"/>
            </w:pPr>
            <w:r/>
            <w:r>
              <w:rPr>
                <w:sz w:val="19"/>
              </w:rPr>
              <w:t>129,404 B</w:t>
            </w:r>
          </w:p>
        </w:tc>
      </w:tr>
      <w:tr>
        <w:tc>
          <w:tcPr>
            <w:tcW w:type="dxa" w:w="3120"/>
            <w:shd w:val="clear" w:color="auto" w:fill="EDF1F5"/>
          </w:tcPr>
          <w:p>
            <w:pPr>
              <w:spacing w:after="0"/>
            </w:pPr>
            <w:r/>
            <w:r>
              <w:rPr>
                <w:sz w:val="19"/>
              </w:rPr>
              <w:t>pred_stability_pockets.pdf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26,365 B</w:t>
            </w:r>
          </w:p>
        </w:tc>
      </w:tr>
      <w:tr>
        <w:tc>
          <w:tcPr>
            <w:tcW w:type="dxa" w:w="3120"/>
          </w:tcPr>
          <w:p>
            <w:pPr>
              <w:spacing w:after="0"/>
            </w:pPr>
            <w:r/>
            <w:r>
              <w:rPr>
                <w:sz w:val="19"/>
              </w:rPr>
              <w:t>pred_stability_pockets.png</w:t>
            </w:r>
          </w:p>
        </w:tc>
        <w:tc>
          <w:tcPr>
            <w:tcW w:type="dxa" w:w="3120"/>
          </w:tcPr>
          <w:p>
            <w:pPr>
              <w:spacing w:after="0"/>
            </w:pPr>
            <w:r/>
            <w:r>
              <w:rPr>
                <w:sz w:val="19"/>
              </w:rPr>
              <w:t>figure</w:t>
            </w:r>
          </w:p>
        </w:tc>
        <w:tc>
          <w:tcPr>
            <w:tcW w:type="dxa" w:w="3120"/>
          </w:tcPr>
          <w:p>
            <w:pPr>
              <w:spacing w:after="0"/>
            </w:pPr>
            <w:r/>
            <w:r>
              <w:rPr>
                <w:sz w:val="19"/>
              </w:rPr>
              <w:t>194,800 B</w:t>
            </w:r>
          </w:p>
        </w:tc>
      </w:tr>
      <w:tr>
        <w:tc>
          <w:tcPr>
            <w:tcW w:type="dxa" w:w="3120"/>
            <w:shd w:val="clear" w:color="auto" w:fill="EDF1F5"/>
          </w:tcPr>
          <w:p>
            <w:pPr>
              <w:spacing w:after="0"/>
            </w:pPr>
            <w:r/>
            <w:r>
              <w:rPr>
                <w:sz w:val="19"/>
              </w:rPr>
              <w:t>pred_timing_call.pdf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24,176 B</w:t>
            </w:r>
          </w:p>
        </w:tc>
      </w:tr>
      <w:tr>
        <w:tc>
          <w:tcPr>
            <w:tcW w:type="dxa" w:w="3120"/>
          </w:tcPr>
          <w:p>
            <w:pPr>
              <w:spacing w:after="0"/>
            </w:pPr>
            <w:r/>
            <w:r>
              <w:rPr>
                <w:sz w:val="19"/>
              </w:rPr>
              <w:t>pred_timing_call.png</w:t>
            </w:r>
          </w:p>
        </w:tc>
        <w:tc>
          <w:tcPr>
            <w:tcW w:type="dxa" w:w="3120"/>
          </w:tcPr>
          <w:p>
            <w:pPr>
              <w:spacing w:after="0"/>
            </w:pPr>
            <w:r/>
            <w:r>
              <w:rPr>
                <w:sz w:val="19"/>
              </w:rPr>
              <w:t>figure</w:t>
            </w:r>
          </w:p>
        </w:tc>
        <w:tc>
          <w:tcPr>
            <w:tcW w:type="dxa" w:w="3120"/>
          </w:tcPr>
          <w:p>
            <w:pPr>
              <w:spacing w:after="0"/>
            </w:pPr>
            <w:r/>
            <w:r>
              <w:rPr>
                <w:sz w:val="19"/>
              </w:rPr>
              <w:t>118,198 B</w:t>
            </w:r>
          </w:p>
        </w:tc>
      </w:tr>
      <w:tr>
        <w:tc>
          <w:tcPr>
            <w:tcW w:type="dxa" w:w="3120"/>
            <w:shd w:val="clear" w:color="auto" w:fill="EDF1F5"/>
          </w:tcPr>
          <w:p>
            <w:pPr>
              <w:spacing w:after="0"/>
            </w:pPr>
            <w:r/>
            <w:r>
              <w:rPr>
                <w:sz w:val="19"/>
              </w:rPr>
              <w:t>pred_timing_window.pdf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26,458 B</w:t>
            </w:r>
          </w:p>
        </w:tc>
      </w:tr>
      <w:tr>
        <w:tc>
          <w:tcPr>
            <w:tcW w:type="dxa" w:w="3120"/>
          </w:tcPr>
          <w:p>
            <w:pPr>
              <w:spacing w:after="0"/>
            </w:pPr>
            <w:r/>
            <w:r>
              <w:rPr>
                <w:sz w:val="19"/>
              </w:rPr>
              <w:t>pred_timing_window.png</w:t>
            </w:r>
          </w:p>
        </w:tc>
        <w:tc>
          <w:tcPr>
            <w:tcW w:type="dxa" w:w="3120"/>
          </w:tcPr>
          <w:p>
            <w:pPr>
              <w:spacing w:after="0"/>
            </w:pPr>
            <w:r/>
            <w:r>
              <w:rPr>
                <w:sz w:val="19"/>
              </w:rPr>
              <w:t>figure</w:t>
            </w:r>
          </w:p>
        </w:tc>
        <w:tc>
          <w:tcPr>
            <w:tcW w:type="dxa" w:w="3120"/>
          </w:tcPr>
          <w:p>
            <w:pPr>
              <w:spacing w:after="0"/>
            </w:pPr>
            <w:r/>
            <w:r>
              <w:rPr>
                <w:sz w:val="19"/>
              </w:rPr>
              <w:t>146,111 B</w:t>
            </w:r>
          </w:p>
        </w:tc>
      </w:tr>
      <w:tr>
        <w:tc>
          <w:tcPr>
            <w:tcW w:type="dxa" w:w="3120"/>
            <w:shd w:val="clear" w:color="auto" w:fill="EDF1F5"/>
          </w:tcPr>
          <w:p>
            <w:pPr>
              <w:spacing w:after="0"/>
            </w:pPr>
            <w:r/>
            <w:r>
              <w:rPr>
                <w:sz w:val="19"/>
              </w:rPr>
              <w:t>pred_trapped_vs_efficiency.pdf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27,594 B</w:t>
            </w:r>
          </w:p>
        </w:tc>
      </w:tr>
      <w:tr>
        <w:tc>
          <w:tcPr>
            <w:tcW w:type="dxa" w:w="3120"/>
          </w:tcPr>
          <w:p>
            <w:pPr>
              <w:spacing w:after="0"/>
            </w:pPr>
            <w:r/>
            <w:r>
              <w:rPr>
                <w:sz w:val="19"/>
              </w:rPr>
              <w:t>pred_trapped_vs_efficiency.png</w:t>
            </w:r>
          </w:p>
        </w:tc>
        <w:tc>
          <w:tcPr>
            <w:tcW w:type="dxa" w:w="3120"/>
          </w:tcPr>
          <w:p>
            <w:pPr>
              <w:spacing w:after="0"/>
            </w:pPr>
            <w:r/>
            <w:r>
              <w:rPr>
                <w:sz w:val="19"/>
              </w:rPr>
              <w:t>figure</w:t>
            </w:r>
          </w:p>
        </w:tc>
        <w:tc>
          <w:tcPr>
            <w:tcW w:type="dxa" w:w="3120"/>
          </w:tcPr>
          <w:p>
            <w:pPr>
              <w:spacing w:after="0"/>
            </w:pPr>
            <w:r/>
            <w:r>
              <w:rPr>
                <w:sz w:val="19"/>
              </w:rPr>
              <w:t>156,378 B</w:t>
            </w:r>
          </w:p>
        </w:tc>
      </w:tr>
      <w:tr>
        <w:tc>
          <w:tcPr>
            <w:tcW w:type="dxa" w:w="3120"/>
            <w:shd w:val="clear" w:color="auto" w:fill="EDF1F5"/>
          </w:tcPr>
          <w:p>
            <w:pPr>
              <w:spacing w:after="0"/>
            </w:pPr>
            <w:r/>
            <w:r>
              <w:rPr>
                <w:sz w:val="19"/>
              </w:rPr>
              <w:t>pred_valuation_scatter.pdf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27,886 B</w:t>
            </w:r>
          </w:p>
        </w:tc>
      </w:tr>
      <w:tr>
        <w:tc>
          <w:tcPr>
            <w:tcW w:type="dxa" w:w="3120"/>
          </w:tcPr>
          <w:p>
            <w:pPr>
              <w:spacing w:after="0"/>
            </w:pPr>
            <w:r/>
            <w:r>
              <w:rPr>
                <w:sz w:val="19"/>
              </w:rPr>
              <w:t>pred_valuation_scatter.png</w:t>
            </w:r>
          </w:p>
        </w:tc>
        <w:tc>
          <w:tcPr>
            <w:tcW w:type="dxa" w:w="3120"/>
          </w:tcPr>
          <w:p>
            <w:pPr>
              <w:spacing w:after="0"/>
            </w:pPr>
            <w:r/>
            <w:r>
              <w:rPr>
                <w:sz w:val="19"/>
              </w:rPr>
              <w:t>figure</w:t>
            </w:r>
          </w:p>
        </w:tc>
        <w:tc>
          <w:tcPr>
            <w:tcW w:type="dxa" w:w="3120"/>
          </w:tcPr>
          <w:p>
            <w:pPr>
              <w:spacing w:after="0"/>
            </w:pPr>
            <w:r/>
            <w:r>
              <w:rPr>
                <w:sz w:val="19"/>
              </w:rPr>
              <w:t>178,167 B</w:t>
            </w:r>
          </w:p>
        </w:tc>
      </w:tr>
      <w:tr>
        <w:tc>
          <w:tcPr>
            <w:tcW w:type="dxa" w:w="3120"/>
            <w:shd w:val="clear" w:color="auto" w:fill="EDF1F5"/>
          </w:tcPr>
          <w:p>
            <w:pPr>
              <w:spacing w:after="0"/>
            </w:pPr>
            <w:r/>
            <w:r>
              <w:rPr>
                <w:sz w:val="19"/>
              </w:rPr>
              <w:t>retirement_exposure.pdf</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28,748 B</w:t>
            </w:r>
          </w:p>
        </w:tc>
      </w:tr>
      <w:tr>
        <w:tc>
          <w:tcPr>
            <w:tcW w:type="dxa" w:w="3120"/>
          </w:tcPr>
          <w:p>
            <w:pPr>
              <w:spacing w:after="0"/>
            </w:pPr>
            <w:r/>
            <w:r>
              <w:rPr>
                <w:sz w:val="19"/>
              </w:rPr>
              <w:t>retirement_exposure.png</w:t>
            </w:r>
          </w:p>
        </w:tc>
        <w:tc>
          <w:tcPr>
            <w:tcW w:type="dxa" w:w="3120"/>
          </w:tcPr>
          <w:p>
            <w:pPr>
              <w:spacing w:after="0"/>
            </w:pPr>
            <w:r/>
            <w:r>
              <w:rPr>
                <w:sz w:val="19"/>
              </w:rPr>
              <w:t>figure</w:t>
            </w:r>
          </w:p>
        </w:tc>
        <w:tc>
          <w:tcPr>
            <w:tcW w:type="dxa" w:w="3120"/>
          </w:tcPr>
          <w:p>
            <w:pPr>
              <w:spacing w:after="0"/>
            </w:pPr>
            <w:r/>
            <w:r>
              <w:rPr>
                <w:sz w:val="19"/>
              </w:rPr>
              <w:t>123,253 B</w:t>
            </w:r>
          </w:p>
        </w:tc>
      </w:tr>
      <w:tr>
        <w:tc>
          <w:tcPr>
            <w:tcW w:type="dxa" w:w="3120"/>
            <w:shd w:val="clear" w:color="auto" w:fill="EDF1F5"/>
          </w:tcPr>
          <w:p>
            <w:pPr>
              <w:spacing w:after="0"/>
            </w:pPr>
            <w:r/>
            <w:r>
              <w:rPr>
                <w:sz w:val="19"/>
              </w:rPr>
              <w:t>supplemental</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384 B</w:t>
            </w:r>
          </w:p>
        </w:tc>
      </w:tr>
      <w:tr>
        <w:tc>
          <w:tcPr>
            <w:tcW w:type="dxa" w:w="3120"/>
          </w:tcPr>
          <w:p>
            <w:pPr>
              <w:spacing w:after="0"/>
            </w:pPr>
            <w:r/>
            <w:r>
              <w:rPr>
                <w:sz w:val="19"/>
              </w:rPr>
              <w:t>telecom_games.pdf</w:t>
            </w:r>
          </w:p>
        </w:tc>
        <w:tc>
          <w:tcPr>
            <w:tcW w:type="dxa" w:w="3120"/>
          </w:tcPr>
          <w:p>
            <w:pPr>
              <w:spacing w:after="0"/>
            </w:pPr>
            <w:r/>
            <w:r>
              <w:rPr>
                <w:sz w:val="19"/>
              </w:rPr>
              <w:t>figure</w:t>
            </w:r>
          </w:p>
        </w:tc>
        <w:tc>
          <w:tcPr>
            <w:tcW w:type="dxa" w:w="3120"/>
          </w:tcPr>
          <w:p>
            <w:pPr>
              <w:spacing w:after="0"/>
            </w:pPr>
            <w:r/>
            <w:r>
              <w:rPr>
                <w:sz w:val="19"/>
              </w:rPr>
              <w:t>25,190 B</w:t>
            </w:r>
          </w:p>
        </w:tc>
      </w:tr>
      <w:tr>
        <w:tc>
          <w:tcPr>
            <w:tcW w:type="dxa" w:w="3120"/>
            <w:shd w:val="clear" w:color="auto" w:fill="EDF1F5"/>
          </w:tcPr>
          <w:p>
            <w:pPr>
              <w:spacing w:after="0"/>
            </w:pPr>
            <w:r/>
            <w:r>
              <w:rPr>
                <w:sz w:val="19"/>
              </w:rPr>
              <w:t>telecom_games.png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157,020 B</w:t>
            </w:r>
          </w:p>
        </w:tc>
      </w:tr>
      <w:tr>
        <w:tc>
          <w:tcPr>
            <w:tcW w:type="dxa" w:w="3120"/>
          </w:tcPr>
          <w:p>
            <w:pPr>
              <w:spacing w:after="0"/>
            </w:pPr>
            <w:r/>
            <w:r>
              <w:rPr>
                <w:sz w:val="19"/>
              </w:rPr>
              <w:t>telecom_overview.pdf</w:t>
            </w:r>
          </w:p>
        </w:tc>
        <w:tc>
          <w:tcPr>
            <w:tcW w:type="dxa" w:w="3120"/>
          </w:tcPr>
          <w:p>
            <w:pPr>
              <w:spacing w:after="0"/>
            </w:pPr>
            <w:r/>
            <w:r>
              <w:rPr>
                <w:sz w:val="19"/>
              </w:rPr>
              <w:t>figure</w:t>
            </w:r>
          </w:p>
        </w:tc>
        <w:tc>
          <w:tcPr>
            <w:tcW w:type="dxa" w:w="3120"/>
          </w:tcPr>
          <w:p>
            <w:pPr>
              <w:spacing w:after="0"/>
            </w:pPr>
            <w:r/>
            <w:r>
              <w:rPr>
                <w:sz w:val="19"/>
              </w:rPr>
              <w:t>24,797 B</w:t>
            </w:r>
          </w:p>
        </w:tc>
      </w:tr>
      <w:tr>
        <w:tc>
          <w:tcPr>
            <w:tcW w:type="dxa" w:w="3120"/>
            <w:shd w:val="clear" w:color="auto" w:fill="EDF1F5"/>
          </w:tcPr>
          <w:p>
            <w:pPr>
              <w:spacing w:after="0"/>
            </w:pPr>
            <w:r/>
            <w:r>
              <w:rPr>
                <w:sz w:val="19"/>
              </w:rPr>
              <w:t>telecom_overview.png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160,941 B</w:t>
            </w:r>
          </w:p>
        </w:tc>
      </w:tr>
      <w:tr>
        <w:tc>
          <w:tcPr>
            <w:tcW w:type="dxa" w:w="3120"/>
          </w:tcPr>
          <w:p>
            <w:pPr>
              <w:spacing w:after="0"/>
            </w:pPr>
            <w:r/>
            <w:r>
              <w:rPr>
                <w:sz w:val="19"/>
              </w:rPr>
              <w:t>telecom_rank.pdf</w:t>
            </w:r>
          </w:p>
        </w:tc>
        <w:tc>
          <w:tcPr>
            <w:tcW w:type="dxa" w:w="3120"/>
          </w:tcPr>
          <w:p>
            <w:pPr>
              <w:spacing w:after="0"/>
            </w:pPr>
            <w:r/>
            <w:r>
              <w:rPr>
                <w:sz w:val="19"/>
              </w:rPr>
              <w:t>figure</w:t>
            </w:r>
          </w:p>
        </w:tc>
        <w:tc>
          <w:tcPr>
            <w:tcW w:type="dxa" w:w="3120"/>
          </w:tcPr>
          <w:p>
            <w:pPr>
              <w:spacing w:after="0"/>
            </w:pPr>
            <w:r/>
            <w:r>
              <w:rPr>
                <w:sz w:val="19"/>
              </w:rPr>
              <w:t>22,451 B</w:t>
            </w:r>
          </w:p>
        </w:tc>
      </w:tr>
      <w:tr>
        <w:tc>
          <w:tcPr>
            <w:tcW w:type="dxa" w:w="3120"/>
            <w:shd w:val="clear" w:color="auto" w:fill="EDF1F5"/>
          </w:tcPr>
          <w:p>
            <w:pPr>
              <w:spacing w:after="0"/>
            </w:pPr>
            <w:r/>
            <w:r>
              <w:rPr>
                <w:sz w:val="19"/>
              </w:rPr>
              <w:t>telecom_rank.png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135,997 B</w:t>
            </w:r>
          </w:p>
        </w:tc>
      </w:tr>
      <w:tr>
        <w:tc>
          <w:tcPr>
            <w:tcW w:type="dxa" w:w="3120"/>
          </w:tcPr>
          <w:p>
            <w:pPr>
              <w:spacing w:after="0"/>
            </w:pPr>
            <w:r/>
            <w:r>
              <w:rPr>
                <w:sz w:val="19"/>
              </w:rPr>
              <w:t>telecom_saltelli.pdf</w:t>
            </w:r>
          </w:p>
        </w:tc>
        <w:tc>
          <w:tcPr>
            <w:tcW w:type="dxa" w:w="3120"/>
          </w:tcPr>
          <w:p>
            <w:pPr>
              <w:spacing w:after="0"/>
            </w:pPr>
            <w:r/>
            <w:r>
              <w:rPr>
                <w:sz w:val="19"/>
              </w:rPr>
              <w:t>figure</w:t>
            </w:r>
          </w:p>
        </w:tc>
        <w:tc>
          <w:tcPr>
            <w:tcW w:type="dxa" w:w="3120"/>
          </w:tcPr>
          <w:p>
            <w:pPr>
              <w:spacing w:after="0"/>
            </w:pPr>
            <w:r/>
            <w:r>
              <w:rPr>
                <w:sz w:val="19"/>
              </w:rPr>
              <w:t>25,237 B</w:t>
            </w:r>
          </w:p>
        </w:tc>
      </w:tr>
      <w:tr>
        <w:tc>
          <w:tcPr>
            <w:tcW w:type="dxa" w:w="3120"/>
            <w:shd w:val="clear" w:color="auto" w:fill="EDF1F5"/>
          </w:tcPr>
          <w:p>
            <w:pPr>
              <w:spacing w:after="0"/>
            </w:pPr>
            <w:r/>
            <w:r>
              <w:rPr>
                <w:sz w:val="19"/>
              </w:rPr>
              <w:t>telecom_saltelli.png</w:t>
            </w:r>
          </w:p>
        </w:tc>
        <w:tc>
          <w:tcPr>
            <w:tcW w:type="dxa" w:w="3120"/>
            <w:shd w:val="clear" w:color="auto" w:fill="EDF1F5"/>
          </w:tcPr>
          <w:p>
            <w:pPr>
              <w:spacing w:after="0"/>
            </w:pPr>
            <w:r/>
            <w:r>
              <w:rPr>
                <w:sz w:val="19"/>
              </w:rPr>
              <w:t>figure</w:t>
            </w:r>
          </w:p>
        </w:tc>
        <w:tc>
          <w:tcPr>
            <w:tcW w:type="dxa" w:w="3120"/>
            <w:shd w:val="clear" w:color="auto" w:fill="EDF1F5"/>
          </w:tcPr>
          <w:p>
            <w:pPr>
              <w:spacing w:after="0"/>
            </w:pPr>
            <w:r/>
            <w:r>
              <w:rPr>
                <w:sz w:val="19"/>
              </w:rPr>
              <w:t>160,315 B</w:t>
            </w:r>
          </w:p>
        </w:tc>
      </w:tr>
    </w:tbl>
    <w:p>
      <w:pPr>
        <w:spacing w:after="80"/>
      </w:pPr>
      <w:r>
        <w:rPr>
          <w:sz w:val="4"/>
        </w:rPr>
      </w:r>
    </w:p>
    <w:p>
      <w:pPr>
        <w:pStyle w:val="Heading2"/>
      </w:pPr>
      <w:r>
        <w:t>10.5  Artifact placement register</w:t>
      </w:r>
    </w:p>
    <w:p>
      <w:pPr>
        <w:keepNext/>
        <w:spacing w:before="200" w:after="40"/>
      </w:pPr>
      <w:r>
        <w:rPr>
          <w:b/>
          <w:color w:val="2C3E50"/>
          <w:sz w:val="20"/>
        </w:rPr>
        <w:t>Exhibit 10.3  Placement of ai_ecosystem_model.py outputs in this report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Kind</w:t>
            </w:r>
          </w:p>
        </w:tc>
        <w:tc>
          <w:tcPr>
            <w:tcW w:type="dxa" w:w="1872"/>
            <w:tblHeader w:val="true"/>
            <w:shd w:val="clear" w:color="auto" w:fill="2C3E50"/>
          </w:tcPr>
          <w:p>
            <w:pPr>
              <w:jc w:val="center"/>
            </w:pPr>
            <w:r/>
            <w:r>
              <w:rPr>
                <w:b/>
                <w:color w:val="FFFFFF"/>
                <w:sz w:val="18"/>
              </w:rPr>
              <w:t>Label</w:t>
            </w:r>
          </w:p>
        </w:tc>
        <w:tc>
          <w:tcPr>
            <w:tcW w:type="dxa" w:w="1872"/>
            <w:tblHeader w:val="true"/>
            <w:shd w:val="clear" w:color="auto" w:fill="2C3E50"/>
          </w:tcPr>
          <w:p>
            <w:pPr>
              <w:jc w:val="center"/>
            </w:pPr>
            <w:r/>
            <w:r>
              <w:rPr>
                <w:b/>
                <w:color w:val="FFFFFF"/>
                <w:sz w:val="18"/>
              </w:rPr>
              <w:t>Source file</w:t>
            </w:r>
          </w:p>
        </w:tc>
        <w:tc>
          <w:tcPr>
            <w:tcW w:type="dxa" w:w="1872"/>
            <w:tblHeader w:val="true"/>
            <w:shd w:val="clear" w:color="auto" w:fill="2C3E50"/>
          </w:tcPr>
          <w:p>
            <w:pPr>
              <w:jc w:val="center"/>
            </w:pPr>
            <w:r/>
            <w:r>
              <w:rPr>
                <w:b/>
                <w:color w:val="FFFFFF"/>
                <w:sz w:val="18"/>
              </w:rPr>
              <w:t>Report section</w:t>
            </w:r>
          </w:p>
        </w:tc>
        <w:tc>
          <w:tcPr>
            <w:tcW w:type="dxa" w:w="1872"/>
            <w:tblHeader w:val="true"/>
            <w:shd w:val="clear" w:color="auto" w:fill="2C3E50"/>
          </w:tcPr>
          <w:p>
            <w:pPr>
              <w:jc w:val="center"/>
            </w:pPr>
            <w:r/>
            <w:r>
              <w:rPr>
                <w:b/>
                <w:color w:val="FFFFFF"/>
                <w:sz w:val="18"/>
              </w:rPr>
              <w:t>Embedded</w:t>
            </w:r>
          </w:p>
        </w:tc>
      </w:tr>
      <w:tr>
        <w:tc>
          <w:tcPr>
            <w:tcW w:type="dxa" w:w="1872"/>
          </w:tcPr>
          <w:p>
            <w:pPr>
              <w:spacing w:after="0"/>
            </w:pPr>
            <w:r/>
            <w:r>
              <w:rPr>
                <w:sz w:val="17"/>
              </w:rPr>
              <w:t>Table</w:t>
            </w:r>
          </w:p>
        </w:tc>
        <w:tc>
          <w:tcPr>
            <w:tcW w:type="dxa" w:w="1872"/>
          </w:tcPr>
          <w:p>
            <w:pPr>
              <w:spacing w:after="0"/>
            </w:pPr>
            <w:r/>
            <w:r>
              <w:rPr>
                <w:sz w:val="17"/>
              </w:rPr>
              <w:t>Table 8.5: Assumption Register</w:t>
            </w:r>
          </w:p>
        </w:tc>
        <w:tc>
          <w:tcPr>
            <w:tcW w:type="dxa" w:w="1872"/>
          </w:tcPr>
          <w:p>
            <w:pPr>
              <w:spacing w:after="0"/>
            </w:pPr>
            <w:r/>
            <w:r>
              <w:rPr>
                <w:sz w:val="17"/>
              </w:rPr>
              <w:t>table_8.5.csv</w:t>
            </w:r>
          </w:p>
        </w:tc>
        <w:tc>
          <w:tcPr>
            <w:tcW w:type="dxa" w:w="1872"/>
          </w:tcPr>
          <w:p>
            <w:pPr>
              <w:spacing w:after="0"/>
            </w:pPr>
            <w:r/>
            <w:r>
              <w:rPr>
                <w:sz w:val="17"/>
              </w:rPr>
              <w:t>Section 2</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2.4: Player Categories</w:t>
            </w:r>
          </w:p>
        </w:tc>
        <w:tc>
          <w:tcPr>
            <w:tcW w:type="dxa" w:w="1872"/>
            <w:shd w:val="clear" w:color="auto" w:fill="EDF1F5"/>
          </w:tcPr>
          <w:p>
            <w:pPr>
              <w:spacing w:after="0"/>
            </w:pPr>
            <w:r/>
            <w:r>
              <w:rPr>
                <w:sz w:val="17"/>
              </w:rPr>
              <w:t>table_2.4.csv</w:t>
            </w:r>
          </w:p>
        </w:tc>
        <w:tc>
          <w:tcPr>
            <w:tcW w:type="dxa" w:w="1872"/>
            <w:shd w:val="clear" w:color="auto" w:fill="EDF1F5"/>
          </w:tcPr>
          <w:p>
            <w:pPr>
              <w:spacing w:after="0"/>
            </w:pPr>
            <w:r/>
            <w:r>
              <w:rPr>
                <w:sz w:val="17"/>
              </w:rPr>
              <w:t>Section 2</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8.6: Validated Inputs Register</w:t>
            </w:r>
          </w:p>
        </w:tc>
        <w:tc>
          <w:tcPr>
            <w:tcW w:type="dxa" w:w="1872"/>
          </w:tcPr>
          <w:p>
            <w:pPr>
              <w:spacing w:after="0"/>
            </w:pPr>
            <w:r/>
            <w:r>
              <w:rPr>
                <w:sz w:val="17"/>
              </w:rPr>
              <w:t>table_8.6.csv</w:t>
            </w:r>
          </w:p>
        </w:tc>
        <w:tc>
          <w:tcPr>
            <w:tcW w:type="dxa" w:w="1872"/>
          </w:tcPr>
          <w:p>
            <w:pPr>
              <w:spacing w:after="0"/>
            </w:pPr>
            <w:r/>
            <w:r>
              <w:rPr>
                <w:sz w:val="17"/>
              </w:rPr>
              <w:t>Section 2</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1: Framework &amp; Literature Map (schematic)</w:t>
            </w:r>
          </w:p>
        </w:tc>
        <w:tc>
          <w:tcPr>
            <w:tcW w:type="dxa" w:w="1872"/>
            <w:shd w:val="clear" w:color="auto" w:fill="EDF1F5"/>
          </w:tcPr>
          <w:p>
            <w:pPr>
              <w:spacing w:after="0"/>
            </w:pPr>
            <w:r/>
            <w:r>
              <w:rPr>
                <w:sz w:val="17"/>
              </w:rPr>
              <w:t>figure_1.png</w:t>
            </w:r>
          </w:p>
        </w:tc>
        <w:tc>
          <w:tcPr>
            <w:tcW w:type="dxa" w:w="1872"/>
            <w:shd w:val="clear" w:color="auto" w:fill="EDF1F5"/>
          </w:tcPr>
          <w:p>
            <w:pPr>
              <w:spacing w:after="0"/>
            </w:pPr>
            <w:r/>
            <w:r>
              <w:rPr>
                <w:sz w:val="17"/>
              </w:rPr>
              <w:t>Section 2</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Figure 2: Research Design &amp; Stages (schematic)</w:t>
            </w:r>
          </w:p>
        </w:tc>
        <w:tc>
          <w:tcPr>
            <w:tcW w:type="dxa" w:w="1872"/>
          </w:tcPr>
          <w:p>
            <w:pPr>
              <w:spacing w:after="0"/>
            </w:pPr>
            <w:r/>
            <w:r>
              <w:rPr>
                <w:sz w:val="17"/>
              </w:rPr>
              <w:t>figure_2.png</w:t>
            </w:r>
          </w:p>
        </w:tc>
        <w:tc>
          <w:tcPr>
            <w:tcW w:type="dxa" w:w="1872"/>
          </w:tcPr>
          <w:p>
            <w:pPr>
              <w:spacing w:after="0"/>
            </w:pPr>
            <w:r/>
            <w:r>
              <w:rPr>
                <w:sz w:val="17"/>
              </w:rPr>
              <w:t>Section 2</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4: Value Chain (schematic)</w:t>
            </w:r>
          </w:p>
        </w:tc>
        <w:tc>
          <w:tcPr>
            <w:tcW w:type="dxa" w:w="1872"/>
            <w:shd w:val="clear" w:color="auto" w:fill="EDF1F5"/>
          </w:tcPr>
          <w:p>
            <w:pPr>
              <w:spacing w:after="0"/>
            </w:pPr>
            <w:r/>
            <w:r>
              <w:rPr>
                <w:sz w:val="17"/>
              </w:rPr>
              <w:t>figure_4.png</w:t>
            </w:r>
          </w:p>
        </w:tc>
        <w:tc>
          <w:tcPr>
            <w:tcW w:type="dxa" w:w="1872"/>
            <w:shd w:val="clear" w:color="auto" w:fill="EDF1F5"/>
          </w:tcPr>
          <w:p>
            <w:pPr>
              <w:spacing w:after="0"/>
            </w:pPr>
            <w:r/>
            <w:r>
              <w:rPr>
                <w:sz w:val="17"/>
              </w:rPr>
              <w:t>Section 2</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7.17: Lerner Index &amp; Markup Summary with Uncertainty Bands</w:t>
            </w:r>
          </w:p>
        </w:tc>
        <w:tc>
          <w:tcPr>
            <w:tcW w:type="dxa" w:w="1872"/>
          </w:tcPr>
          <w:p>
            <w:pPr>
              <w:spacing w:after="0"/>
            </w:pPr>
            <w:r/>
            <w:r>
              <w:rPr>
                <w:sz w:val="17"/>
              </w:rPr>
              <w:t>table_7.17.lerner.markup.summary.csv</w:t>
            </w:r>
          </w:p>
        </w:tc>
        <w:tc>
          <w:tcPr>
            <w:tcW w:type="dxa" w:w="1872"/>
          </w:tcPr>
          <w:p>
            <w:pPr>
              <w:spacing w:after="0"/>
            </w:pPr>
            <w:r/>
            <w:r>
              <w:rPr>
                <w:sz w:val="17"/>
              </w:rPr>
              <w:t>Section 3</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Supplemental S2 — Lerner Index with Uncertainty Bands</w:t>
            </w:r>
          </w:p>
        </w:tc>
        <w:tc>
          <w:tcPr>
            <w:tcW w:type="dxa" w:w="1872"/>
            <w:shd w:val="clear" w:color="auto" w:fill="EDF1F5"/>
          </w:tcPr>
          <w:p>
            <w:pPr>
              <w:spacing w:after="0"/>
            </w:pPr>
            <w:r/>
            <w:r>
              <w:rPr>
                <w:sz w:val="17"/>
              </w:rPr>
              <w:t>supplemental/s2_lerner_markup_bands.png</w:t>
            </w:r>
          </w:p>
        </w:tc>
        <w:tc>
          <w:tcPr>
            <w:tcW w:type="dxa" w:w="1872"/>
            <w:shd w:val="clear" w:color="auto" w:fill="EDF1F5"/>
          </w:tcPr>
          <w:p>
            <w:pPr>
              <w:spacing w:after="0"/>
            </w:pPr>
            <w:r/>
            <w:r>
              <w:rPr>
                <w:sz w:val="17"/>
              </w:rPr>
              <w:t>Section 3</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1.1: Market Structure Metrics</w:t>
            </w:r>
          </w:p>
        </w:tc>
        <w:tc>
          <w:tcPr>
            <w:tcW w:type="dxa" w:w="1872"/>
          </w:tcPr>
          <w:p>
            <w:pPr>
              <w:spacing w:after="0"/>
            </w:pPr>
            <w:r/>
            <w:r>
              <w:rPr>
                <w:sz w:val="17"/>
              </w:rPr>
              <w:t>table_1.1.csv</w:t>
            </w:r>
          </w:p>
        </w:tc>
        <w:tc>
          <w:tcPr>
            <w:tcW w:type="dxa" w:w="1872"/>
          </w:tcPr>
          <w:p>
            <w:pPr>
              <w:spacing w:after="0"/>
            </w:pPr>
            <w:r/>
            <w:r>
              <w:rPr>
                <w:sz w:val="17"/>
              </w:rPr>
              <w:t>Section 3</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1.3: Revenue Projections</w:t>
            </w:r>
          </w:p>
        </w:tc>
        <w:tc>
          <w:tcPr>
            <w:tcW w:type="dxa" w:w="1872"/>
            <w:shd w:val="clear" w:color="auto" w:fill="EDF1F5"/>
          </w:tcPr>
          <w:p>
            <w:pPr>
              <w:spacing w:after="0"/>
            </w:pPr>
            <w:r/>
            <w:r>
              <w:rPr>
                <w:sz w:val="17"/>
              </w:rPr>
              <w:t>table_1.3.proj.csv</w:t>
            </w:r>
          </w:p>
        </w:tc>
        <w:tc>
          <w:tcPr>
            <w:tcW w:type="dxa" w:w="1872"/>
            <w:shd w:val="clear" w:color="auto" w:fill="EDF1F5"/>
          </w:tcPr>
          <w:p>
            <w:pPr>
              <w:spacing w:after="0"/>
            </w:pPr>
            <w:r/>
            <w:r>
              <w:rPr>
                <w:sz w:val="17"/>
              </w:rPr>
              <w:t>Section 3</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7.16: Market-Share Evolution 2025 vs 2030 (Revenue Projections)</w:t>
            </w:r>
          </w:p>
        </w:tc>
        <w:tc>
          <w:tcPr>
            <w:tcW w:type="dxa" w:w="1872"/>
          </w:tcPr>
          <w:p>
            <w:pPr>
              <w:spacing w:after="0"/>
            </w:pPr>
            <w:r/>
            <w:r>
              <w:rPr>
                <w:sz w:val="17"/>
              </w:rPr>
              <w:t>table_7.16.market.share.evolution.csv</w:t>
            </w:r>
          </w:p>
        </w:tc>
        <w:tc>
          <w:tcPr>
            <w:tcW w:type="dxa" w:w="1872"/>
          </w:tcPr>
          <w:p>
            <w:pPr>
              <w:spacing w:after="0"/>
            </w:pPr>
            <w:r/>
            <w:r>
              <w:rPr>
                <w:sz w:val="17"/>
              </w:rPr>
              <w:t>Section 3</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Supplemental S1 — Revenue Levels 2025 vs 2030</w:t>
            </w:r>
          </w:p>
        </w:tc>
        <w:tc>
          <w:tcPr>
            <w:tcW w:type="dxa" w:w="1872"/>
            <w:shd w:val="clear" w:color="auto" w:fill="EDF1F5"/>
          </w:tcPr>
          <w:p>
            <w:pPr>
              <w:spacing w:after="0"/>
            </w:pPr>
            <w:r/>
            <w:r>
              <w:rPr>
                <w:sz w:val="17"/>
              </w:rPr>
              <w:t>supplemental/s1_market_share_levels.png</w:t>
            </w:r>
          </w:p>
        </w:tc>
        <w:tc>
          <w:tcPr>
            <w:tcW w:type="dxa" w:w="1872"/>
            <w:shd w:val="clear" w:color="auto" w:fill="EDF1F5"/>
          </w:tcPr>
          <w:p>
            <w:pPr>
              <w:spacing w:after="0"/>
            </w:pPr>
            <w:r/>
            <w:r>
              <w:rPr>
                <w:sz w:val="17"/>
              </w:rPr>
              <w:t>Section 3</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Figure 3: Market Size, Concentration &amp; Shares [Panels: (a), (b), (c)]</w:t>
            </w:r>
          </w:p>
        </w:tc>
        <w:tc>
          <w:tcPr>
            <w:tcW w:type="dxa" w:w="1872"/>
          </w:tcPr>
          <w:p>
            <w:pPr>
              <w:spacing w:after="0"/>
            </w:pPr>
            <w:r/>
            <w:r>
              <w:rPr>
                <w:sz w:val="17"/>
              </w:rPr>
              <w:t>figure_3.png</w:t>
            </w:r>
          </w:p>
        </w:tc>
        <w:tc>
          <w:tcPr>
            <w:tcW w:type="dxa" w:w="1872"/>
          </w:tcPr>
          <w:p>
            <w:pPr>
              <w:spacing w:after="0"/>
            </w:pPr>
            <w:r/>
            <w:r>
              <w:rPr>
                <w:sz w:val="17"/>
              </w:rPr>
              <w:t>Section 3</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13: Revenue Projections (schematic)</w:t>
            </w:r>
          </w:p>
        </w:tc>
        <w:tc>
          <w:tcPr>
            <w:tcW w:type="dxa" w:w="1872"/>
            <w:shd w:val="clear" w:color="auto" w:fill="EDF1F5"/>
          </w:tcPr>
          <w:p>
            <w:pPr>
              <w:spacing w:after="0"/>
            </w:pPr>
            <w:r/>
            <w:r>
              <w:rPr>
                <w:sz w:val="17"/>
              </w:rPr>
              <w:t>figure_13.png</w:t>
            </w:r>
          </w:p>
        </w:tc>
        <w:tc>
          <w:tcPr>
            <w:tcW w:type="dxa" w:w="1872"/>
            <w:shd w:val="clear" w:color="auto" w:fill="EDF1F5"/>
          </w:tcPr>
          <w:p>
            <w:pPr>
              <w:spacing w:after="0"/>
            </w:pPr>
            <w:r/>
            <w:r>
              <w:rPr>
                <w:sz w:val="17"/>
              </w:rPr>
              <w:t>Section 3</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Supplemental S5 — Joint Gains and Minimum Transfers by Game</w:t>
            </w:r>
          </w:p>
        </w:tc>
        <w:tc>
          <w:tcPr>
            <w:tcW w:type="dxa" w:w="1872"/>
          </w:tcPr>
          <w:p>
            <w:pPr>
              <w:spacing w:after="0"/>
            </w:pPr>
            <w:r/>
            <w:r>
              <w:rPr>
                <w:sz w:val="17"/>
              </w:rPr>
              <w:t>supplemental/s5_joint_gains_transfers.png</w:t>
            </w:r>
          </w:p>
        </w:tc>
        <w:tc>
          <w:tcPr>
            <w:tcW w:type="dxa" w:w="1872"/>
          </w:tcPr>
          <w:p>
            <w:pPr>
              <w:spacing w:after="0"/>
            </w:pPr>
            <w:r/>
            <w:r>
              <w:rPr>
                <w:sz w:val="17"/>
              </w:rPr>
              <w:t>Section 4</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3.1: Cloud vs Foundation Payoff Matrix</w:t>
            </w:r>
          </w:p>
        </w:tc>
        <w:tc>
          <w:tcPr>
            <w:tcW w:type="dxa" w:w="1872"/>
            <w:shd w:val="clear" w:color="auto" w:fill="EDF1F5"/>
          </w:tcPr>
          <w:p>
            <w:pPr>
              <w:spacing w:after="0"/>
            </w:pPr>
            <w:r/>
            <w:r>
              <w:rPr>
                <w:sz w:val="17"/>
              </w:rPr>
              <w:t>table_3.1.csv</w:t>
            </w:r>
          </w:p>
        </w:tc>
        <w:tc>
          <w:tcPr>
            <w:tcW w:type="dxa" w:w="1872"/>
            <w:shd w:val="clear" w:color="auto" w:fill="EDF1F5"/>
          </w:tcPr>
          <w:p>
            <w:pPr>
              <w:spacing w:after="0"/>
            </w:pPr>
            <w:r/>
            <w:r>
              <w:rPr>
                <w:sz w:val="17"/>
              </w:rPr>
              <w:t>Section 4</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3.2: Hardware vs Cloud Payoff Matrix</w:t>
            </w:r>
          </w:p>
        </w:tc>
        <w:tc>
          <w:tcPr>
            <w:tcW w:type="dxa" w:w="1872"/>
          </w:tcPr>
          <w:p>
            <w:pPr>
              <w:spacing w:after="0"/>
            </w:pPr>
            <w:r/>
            <w:r>
              <w:rPr>
                <w:sz w:val="17"/>
              </w:rPr>
              <w:t>table_3.2.csv</w:t>
            </w:r>
          </w:p>
        </w:tc>
        <w:tc>
          <w:tcPr>
            <w:tcW w:type="dxa" w:w="1872"/>
          </w:tcPr>
          <w:p>
            <w:pPr>
              <w:spacing w:after="0"/>
            </w:pPr>
            <w:r/>
            <w:r>
              <w:rPr>
                <w:sz w:val="17"/>
              </w:rPr>
              <w:t>Section 4</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3.4: Core-Game Equilibrium, Coordination &amp; DWL</w:t>
            </w:r>
          </w:p>
        </w:tc>
        <w:tc>
          <w:tcPr>
            <w:tcW w:type="dxa" w:w="1872"/>
            <w:shd w:val="clear" w:color="auto" w:fill="EDF1F5"/>
          </w:tcPr>
          <w:p>
            <w:pPr>
              <w:spacing w:after="0"/>
            </w:pPr>
            <w:r/>
            <w:r>
              <w:rPr>
                <w:sz w:val="17"/>
              </w:rPr>
              <w:t>table_3.4.csv</w:t>
            </w:r>
          </w:p>
        </w:tc>
        <w:tc>
          <w:tcPr>
            <w:tcW w:type="dxa" w:w="1872"/>
            <w:shd w:val="clear" w:color="auto" w:fill="EDF1F5"/>
          </w:tcPr>
          <w:p>
            <w:pPr>
              <w:spacing w:after="0"/>
            </w:pPr>
            <w:r/>
            <w:r>
              <w:rPr>
                <w:sz w:val="17"/>
              </w:rPr>
              <w:t>Section 4</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Figure 5: Complete Matrices (schematic)</w:t>
            </w:r>
          </w:p>
        </w:tc>
        <w:tc>
          <w:tcPr>
            <w:tcW w:type="dxa" w:w="1872"/>
          </w:tcPr>
          <w:p>
            <w:pPr>
              <w:spacing w:after="0"/>
            </w:pPr>
            <w:r/>
            <w:r>
              <w:rPr>
                <w:sz w:val="17"/>
              </w:rPr>
              <w:t>figure_5.png</w:t>
            </w:r>
          </w:p>
        </w:tc>
        <w:tc>
          <w:tcPr>
            <w:tcW w:type="dxa" w:w="1872"/>
          </w:tcPr>
          <w:p>
            <w:pPr>
              <w:spacing w:after="0"/>
            </w:pPr>
            <w:r/>
            <w:r>
              <w:rPr>
                <w:sz w:val="17"/>
              </w:rPr>
              <w:t>Section 4</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6: Core Game: Equilibrium &amp; Payoffs (schematic)</w:t>
            </w:r>
          </w:p>
        </w:tc>
        <w:tc>
          <w:tcPr>
            <w:tcW w:type="dxa" w:w="1872"/>
            <w:shd w:val="clear" w:color="auto" w:fill="EDF1F5"/>
          </w:tcPr>
          <w:p>
            <w:pPr>
              <w:spacing w:after="0"/>
            </w:pPr>
            <w:r/>
            <w:r>
              <w:rPr>
                <w:sz w:val="17"/>
              </w:rPr>
              <w:t>figure_6.png</w:t>
            </w:r>
          </w:p>
        </w:tc>
        <w:tc>
          <w:tcPr>
            <w:tcW w:type="dxa" w:w="1872"/>
            <w:shd w:val="clear" w:color="auto" w:fill="EDF1F5"/>
          </w:tcPr>
          <w:p>
            <w:pPr>
              <w:spacing w:after="0"/>
            </w:pPr>
            <w:r/>
            <w:r>
              <w:rPr>
                <w:sz w:val="17"/>
              </w:rPr>
              <w:t>Section 4</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Figure 11: Dynamics &amp; Stability [Panels: (a), (b)]</w:t>
            </w:r>
          </w:p>
        </w:tc>
        <w:tc>
          <w:tcPr>
            <w:tcW w:type="dxa" w:w="1872"/>
          </w:tcPr>
          <w:p>
            <w:pPr>
              <w:spacing w:after="0"/>
            </w:pPr>
            <w:r/>
            <w:r>
              <w:rPr>
                <w:sz w:val="17"/>
              </w:rPr>
              <w:t>figure_11.png</w:t>
            </w:r>
          </w:p>
        </w:tc>
        <w:tc>
          <w:tcPr>
            <w:tcW w:type="dxa" w:w="1872"/>
          </w:tcPr>
          <w:p>
            <w:pPr>
              <w:spacing w:after="0"/>
            </w:pPr>
            <w:r/>
            <w:r>
              <w:rPr>
                <w:sz w:val="17"/>
              </w:rPr>
              <w:t>Section 4</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5.3: Welfare Decomposition</w:t>
            </w:r>
          </w:p>
        </w:tc>
        <w:tc>
          <w:tcPr>
            <w:tcW w:type="dxa" w:w="1872"/>
            <w:shd w:val="clear" w:color="auto" w:fill="EDF1F5"/>
          </w:tcPr>
          <w:p>
            <w:pPr>
              <w:spacing w:after="0"/>
            </w:pPr>
            <w:r/>
            <w:r>
              <w:rPr>
                <w:sz w:val="17"/>
              </w:rPr>
              <w:t>table_5.3.csv</w:t>
            </w:r>
          </w:p>
        </w:tc>
        <w:tc>
          <w:tcPr>
            <w:tcW w:type="dxa" w:w="1872"/>
            <w:shd w:val="clear" w:color="auto" w:fill="EDF1F5"/>
          </w:tcPr>
          <w:p>
            <w:pPr>
              <w:spacing w:after="0"/>
            </w:pPr>
            <w:r/>
            <w:r>
              <w:rPr>
                <w:sz w:val="17"/>
              </w:rPr>
              <w:t>Section 5</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5.4: Dynamic Game Analysis (Short vs Long-term)</w:t>
            </w:r>
          </w:p>
        </w:tc>
        <w:tc>
          <w:tcPr>
            <w:tcW w:type="dxa" w:w="1872"/>
          </w:tcPr>
          <w:p>
            <w:pPr>
              <w:spacing w:after="0"/>
            </w:pPr>
            <w:r/>
            <w:r>
              <w:rPr>
                <w:sz w:val="17"/>
              </w:rPr>
              <w:t>table_5.4.csv</w:t>
            </w:r>
          </w:p>
        </w:tc>
        <w:tc>
          <w:tcPr>
            <w:tcW w:type="dxa" w:w="1872"/>
          </w:tcPr>
          <w:p>
            <w:pPr>
              <w:spacing w:after="0"/>
            </w:pPr>
            <w:r/>
            <w:r>
              <w:rPr>
                <w:sz w:val="17"/>
              </w:rPr>
              <w:t>Section 5</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6.1–6.3: Policy Simulation Summary (v4.0)</w:t>
            </w:r>
          </w:p>
        </w:tc>
        <w:tc>
          <w:tcPr>
            <w:tcW w:type="dxa" w:w="1872"/>
            <w:shd w:val="clear" w:color="auto" w:fill="EDF1F5"/>
          </w:tcPr>
          <w:p>
            <w:pPr>
              <w:spacing w:after="0"/>
            </w:pPr>
            <w:r/>
            <w:r>
              <w:rPr>
                <w:sz w:val="17"/>
              </w:rPr>
              <w:t>table_6.1.6.3.csv</w:t>
            </w:r>
          </w:p>
        </w:tc>
        <w:tc>
          <w:tcPr>
            <w:tcW w:type="dxa" w:w="1872"/>
            <w:shd w:val="clear" w:color="auto" w:fill="EDF1F5"/>
          </w:tcPr>
          <w:p>
            <w:pPr>
              <w:spacing w:after="0"/>
            </w:pPr>
            <w:r/>
            <w:r>
              <w:rPr>
                <w:sz w:val="17"/>
              </w:rPr>
              <w:t>Section 5</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Figure 7: Welfare Composite [Panels: (a), (b), (c), (d)]</w:t>
            </w:r>
          </w:p>
        </w:tc>
        <w:tc>
          <w:tcPr>
            <w:tcW w:type="dxa" w:w="1872"/>
          </w:tcPr>
          <w:p>
            <w:pPr>
              <w:spacing w:after="0"/>
            </w:pPr>
            <w:r/>
            <w:r>
              <w:rPr>
                <w:sz w:val="17"/>
              </w:rPr>
              <w:t>figure_7.png</w:t>
            </w:r>
          </w:p>
        </w:tc>
        <w:tc>
          <w:tcPr>
            <w:tcW w:type="dxa" w:w="1872"/>
          </w:tcPr>
          <w:p>
            <w:pPr>
              <w:spacing w:after="0"/>
            </w:pPr>
            <w:r/>
            <w:r>
              <w:rPr>
                <w:sz w:val="17"/>
              </w:rPr>
              <w:t>Section 5</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12: Policy Simulation (schematic)</w:t>
            </w:r>
          </w:p>
        </w:tc>
        <w:tc>
          <w:tcPr>
            <w:tcW w:type="dxa" w:w="1872"/>
            <w:shd w:val="clear" w:color="auto" w:fill="EDF1F5"/>
          </w:tcPr>
          <w:p>
            <w:pPr>
              <w:spacing w:after="0"/>
            </w:pPr>
            <w:r/>
            <w:r>
              <w:rPr>
                <w:sz w:val="17"/>
              </w:rPr>
              <w:t>figure_12.png</w:t>
            </w:r>
          </w:p>
        </w:tc>
        <w:tc>
          <w:tcPr>
            <w:tcW w:type="dxa" w:w="1872"/>
            <w:shd w:val="clear" w:color="auto" w:fill="EDF1F5"/>
          </w:tcPr>
          <w:p>
            <w:pPr>
              <w:spacing w:after="0"/>
            </w:pPr>
            <w:r/>
            <w:r>
              <w:rPr>
                <w:sz w:val="17"/>
              </w:rPr>
              <w:t>Section 5</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4.1: Monte Carlo &amp; Sensitivity Summary</w:t>
            </w:r>
          </w:p>
        </w:tc>
        <w:tc>
          <w:tcPr>
            <w:tcW w:type="dxa" w:w="1872"/>
          </w:tcPr>
          <w:p>
            <w:pPr>
              <w:spacing w:after="0"/>
            </w:pPr>
            <w:r/>
            <w:r>
              <w:rPr>
                <w:sz w:val="17"/>
              </w:rPr>
              <w:t>table_4.1.csv</w:t>
            </w:r>
          </w:p>
        </w:tc>
        <w:tc>
          <w:tcPr>
            <w:tcW w:type="dxa" w:w="1872"/>
          </w:tcPr>
          <w:p>
            <w:pPr>
              <w:spacing w:after="0"/>
            </w:pPr>
            <w:r/>
            <w:r>
              <w:rPr>
                <w:sz w:val="17"/>
              </w:rPr>
              <w:t>Section 6</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8.1: Stationarity Diagnostics (Geweke)</w:t>
            </w:r>
          </w:p>
        </w:tc>
        <w:tc>
          <w:tcPr>
            <w:tcW w:type="dxa" w:w="1872"/>
            <w:shd w:val="clear" w:color="auto" w:fill="EDF1F5"/>
          </w:tcPr>
          <w:p>
            <w:pPr>
              <w:spacing w:after="0"/>
            </w:pPr>
            <w:r/>
            <w:r>
              <w:rPr>
                <w:sz w:val="17"/>
              </w:rPr>
              <w:t>table_8.1.csv</w:t>
            </w:r>
          </w:p>
        </w:tc>
        <w:tc>
          <w:tcPr>
            <w:tcW w:type="dxa" w:w="1872"/>
            <w:shd w:val="clear" w:color="auto" w:fill="EDF1F5"/>
          </w:tcPr>
          <w:p>
            <w:pPr>
              <w:spacing w:after="0"/>
            </w:pPr>
            <w:r/>
            <w:r>
              <w:rPr>
                <w:sz w:val="17"/>
              </w:rPr>
              <w:t>Section 6</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8.2: Multi-Seed Replicability</w:t>
            </w:r>
          </w:p>
        </w:tc>
        <w:tc>
          <w:tcPr>
            <w:tcW w:type="dxa" w:w="1872"/>
          </w:tcPr>
          <w:p>
            <w:pPr>
              <w:spacing w:after="0"/>
            </w:pPr>
            <w:r/>
            <w:r>
              <w:rPr>
                <w:sz w:val="17"/>
              </w:rPr>
              <w:t>table_8.2.csv</w:t>
            </w:r>
          </w:p>
        </w:tc>
        <w:tc>
          <w:tcPr>
            <w:tcW w:type="dxa" w:w="1872"/>
          </w:tcPr>
          <w:p>
            <w:pPr>
              <w:spacing w:after="0"/>
            </w:pPr>
            <w:r/>
            <w:r>
              <w:rPr>
                <w:sz w:val="17"/>
              </w:rPr>
              <w:t>Section 6</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8.3: Noise-Level Robustness</w:t>
            </w:r>
          </w:p>
        </w:tc>
        <w:tc>
          <w:tcPr>
            <w:tcW w:type="dxa" w:w="1872"/>
            <w:shd w:val="clear" w:color="auto" w:fill="EDF1F5"/>
          </w:tcPr>
          <w:p>
            <w:pPr>
              <w:spacing w:after="0"/>
            </w:pPr>
            <w:r/>
            <w:r>
              <w:rPr>
                <w:sz w:val="17"/>
              </w:rPr>
              <w:t>table_8.3.csv</w:t>
            </w:r>
          </w:p>
        </w:tc>
        <w:tc>
          <w:tcPr>
            <w:tcW w:type="dxa" w:w="1872"/>
            <w:shd w:val="clear" w:color="auto" w:fill="EDF1F5"/>
          </w:tcPr>
          <w:p>
            <w:pPr>
              <w:spacing w:after="0"/>
            </w:pPr>
            <w:r/>
            <w:r>
              <w:rPr>
                <w:sz w:val="17"/>
              </w:rPr>
              <w:t>Section 6</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8.4: Saltelli Variance Decomposition</w:t>
            </w:r>
          </w:p>
        </w:tc>
        <w:tc>
          <w:tcPr>
            <w:tcW w:type="dxa" w:w="1872"/>
          </w:tcPr>
          <w:p>
            <w:pPr>
              <w:spacing w:after="0"/>
            </w:pPr>
            <w:r/>
            <w:r>
              <w:rPr>
                <w:sz w:val="17"/>
              </w:rPr>
              <w:t>table_8.4.csv</w:t>
            </w:r>
          </w:p>
        </w:tc>
        <w:tc>
          <w:tcPr>
            <w:tcW w:type="dxa" w:w="1872"/>
          </w:tcPr>
          <w:p>
            <w:pPr>
              <w:spacing w:after="0"/>
            </w:pPr>
            <w:r/>
            <w:r>
              <w:rPr>
                <w:sz w:val="17"/>
              </w:rPr>
              <w:t>Section 6</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8: Monte Carlo Convergence [Panels: (a), (b)]</w:t>
            </w:r>
          </w:p>
        </w:tc>
        <w:tc>
          <w:tcPr>
            <w:tcW w:type="dxa" w:w="1872"/>
            <w:shd w:val="clear" w:color="auto" w:fill="EDF1F5"/>
          </w:tcPr>
          <w:p>
            <w:pPr>
              <w:spacing w:after="0"/>
            </w:pPr>
            <w:r/>
            <w:r>
              <w:rPr>
                <w:sz w:val="17"/>
              </w:rPr>
              <w:t>figure_8.png</w:t>
            </w:r>
          </w:p>
        </w:tc>
        <w:tc>
          <w:tcPr>
            <w:tcW w:type="dxa" w:w="1872"/>
            <w:shd w:val="clear" w:color="auto" w:fill="EDF1F5"/>
          </w:tcPr>
          <w:p>
            <w:pPr>
              <w:spacing w:after="0"/>
            </w:pPr>
            <w:r/>
            <w:r>
              <w:rPr>
                <w:sz w:val="17"/>
              </w:rPr>
              <w:t>Section 6</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Figure 9: Sensitivity Response (schematic)</w:t>
            </w:r>
          </w:p>
        </w:tc>
        <w:tc>
          <w:tcPr>
            <w:tcW w:type="dxa" w:w="1872"/>
          </w:tcPr>
          <w:p>
            <w:pPr>
              <w:spacing w:after="0"/>
            </w:pPr>
            <w:r/>
            <w:r>
              <w:rPr>
                <w:sz w:val="17"/>
              </w:rPr>
              <w:t>figure_9.png</w:t>
            </w:r>
          </w:p>
        </w:tc>
        <w:tc>
          <w:tcPr>
            <w:tcW w:type="dxa" w:w="1872"/>
          </w:tcPr>
          <w:p>
            <w:pPr>
              <w:spacing w:after="0"/>
            </w:pPr>
            <w:r/>
            <w:r>
              <w:rPr>
                <w:sz w:val="17"/>
              </w:rPr>
              <w:t>Section 6</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10: Sobol Indices (schematic)</w:t>
            </w:r>
          </w:p>
        </w:tc>
        <w:tc>
          <w:tcPr>
            <w:tcW w:type="dxa" w:w="1872"/>
            <w:shd w:val="clear" w:color="auto" w:fill="EDF1F5"/>
          </w:tcPr>
          <w:p>
            <w:pPr>
              <w:spacing w:after="0"/>
            </w:pPr>
            <w:r/>
            <w:r>
              <w:rPr>
                <w:sz w:val="17"/>
              </w:rPr>
              <w:t>figure_10.png</w:t>
            </w:r>
          </w:p>
        </w:tc>
        <w:tc>
          <w:tcPr>
            <w:tcW w:type="dxa" w:w="1872"/>
            <w:shd w:val="clear" w:color="auto" w:fill="EDF1F5"/>
          </w:tcPr>
          <w:p>
            <w:pPr>
              <w:spacing w:after="0"/>
            </w:pPr>
            <w:r/>
            <w:r>
              <w:rPr>
                <w:sz w:val="17"/>
              </w:rPr>
              <w:t>Section 6</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5.4b: Shapley Value Allocation (Cooperative Game)</w:t>
            </w:r>
          </w:p>
        </w:tc>
        <w:tc>
          <w:tcPr>
            <w:tcW w:type="dxa" w:w="1872"/>
          </w:tcPr>
          <w:p>
            <w:pPr>
              <w:spacing w:after="0"/>
            </w:pPr>
            <w:r/>
            <w:r>
              <w:rPr>
                <w:sz w:val="17"/>
              </w:rPr>
              <w:t>table_5.4.coop.csv</w:t>
            </w:r>
          </w:p>
        </w:tc>
        <w:tc>
          <w:tcPr>
            <w:tcW w:type="dxa" w:w="1872"/>
          </w:tcPr>
          <w:p>
            <w:pPr>
              <w:spacing w:after="0"/>
            </w:pPr>
            <w:r/>
            <w:r>
              <w:rPr>
                <w:sz w:val="17"/>
              </w:rPr>
              <w:t>Section 7</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7.18: Shapley Share vs Revenue Share (Bargaining vs Size)</w:t>
            </w:r>
          </w:p>
        </w:tc>
        <w:tc>
          <w:tcPr>
            <w:tcW w:type="dxa" w:w="1872"/>
            <w:shd w:val="clear" w:color="auto" w:fill="EDF1F5"/>
          </w:tcPr>
          <w:p>
            <w:pPr>
              <w:spacing w:after="0"/>
            </w:pPr>
            <w:r/>
            <w:r>
              <w:rPr>
                <w:sz w:val="17"/>
              </w:rPr>
              <w:t>table_7.18.shapley.vs.revenue.share.csv</w:t>
            </w:r>
          </w:p>
        </w:tc>
        <w:tc>
          <w:tcPr>
            <w:tcW w:type="dxa" w:w="1872"/>
            <w:shd w:val="clear" w:color="auto" w:fill="EDF1F5"/>
          </w:tcPr>
          <w:p>
            <w:pPr>
              <w:spacing w:after="0"/>
            </w:pPr>
            <w:r/>
            <w:r>
              <w:rPr>
                <w:sz w:val="17"/>
              </w:rPr>
              <w:t>Section 7</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Supplemental S3 — Shapley Share vs Revenue Share</w:t>
            </w:r>
          </w:p>
        </w:tc>
        <w:tc>
          <w:tcPr>
            <w:tcW w:type="dxa" w:w="1872"/>
          </w:tcPr>
          <w:p>
            <w:pPr>
              <w:spacing w:after="0"/>
            </w:pPr>
            <w:r/>
            <w:r>
              <w:rPr>
                <w:sz w:val="17"/>
              </w:rPr>
              <w:t>supplemental/s3_shapley_vs_revenue.png</w:t>
            </w:r>
          </w:p>
        </w:tc>
        <w:tc>
          <w:tcPr>
            <w:tcW w:type="dxa" w:w="1872"/>
          </w:tcPr>
          <w:p>
            <w:pPr>
              <w:spacing w:after="0"/>
            </w:pPr>
            <w:r/>
            <w:r>
              <w:rPr>
                <w:sz w:val="17"/>
              </w:rPr>
              <w:t>Section 7</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A.0: Network Centrality (Appendix)</w:t>
            </w:r>
          </w:p>
        </w:tc>
        <w:tc>
          <w:tcPr>
            <w:tcW w:type="dxa" w:w="1872"/>
            <w:shd w:val="clear" w:color="auto" w:fill="EDF1F5"/>
          </w:tcPr>
          <w:p>
            <w:pPr>
              <w:spacing w:after="0"/>
            </w:pPr>
            <w:r/>
            <w:r>
              <w:rPr>
                <w:sz w:val="17"/>
              </w:rPr>
              <w:t>table_A.0.network.csv</w:t>
            </w:r>
          </w:p>
        </w:tc>
        <w:tc>
          <w:tcPr>
            <w:tcW w:type="dxa" w:w="1872"/>
            <w:shd w:val="clear" w:color="auto" w:fill="EDF1F5"/>
          </w:tcPr>
          <w:p>
            <w:pPr>
              <w:spacing w:after="0"/>
            </w:pPr>
            <w:r/>
            <w:r>
              <w:rPr>
                <w:sz w:val="17"/>
              </w:rPr>
              <w:t>Section 7</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A.1: Network Risk Metrics</w:t>
            </w:r>
          </w:p>
        </w:tc>
        <w:tc>
          <w:tcPr>
            <w:tcW w:type="dxa" w:w="1872"/>
          </w:tcPr>
          <w:p>
            <w:pPr>
              <w:spacing w:after="0"/>
            </w:pPr>
            <w:r/>
            <w:r>
              <w:rPr>
                <w:sz w:val="17"/>
              </w:rPr>
              <w:t>table_A.1.network.risk.csv</w:t>
            </w:r>
          </w:p>
        </w:tc>
        <w:tc>
          <w:tcPr>
            <w:tcW w:type="dxa" w:w="1872"/>
          </w:tcPr>
          <w:p>
            <w:pPr>
              <w:spacing w:after="0"/>
            </w:pPr>
            <w:r/>
            <w:r>
              <w:rPr>
                <w:sz w:val="17"/>
              </w:rPr>
              <w:t>Section 7</w:t>
            </w:r>
          </w:p>
        </w:tc>
        <w:tc>
          <w:tcPr>
            <w:tcW w:type="dxa" w:w="1872"/>
          </w:tcPr>
          <w:p>
            <w:pPr>
              <w:spacing w:after="0"/>
            </w:pPr>
            <w:r/>
            <w:r>
              <w:rPr>
                <w:sz w:val="17"/>
              </w:rPr>
              <w:t>Yes</w:t>
            </w:r>
          </w:p>
        </w:tc>
      </w:tr>
      <w:tr>
        <w:tc>
          <w:tcPr>
            <w:tcW w:type="dxa" w:w="1872"/>
            <w:shd w:val="clear" w:color="auto" w:fill="EDF1F5"/>
          </w:tcPr>
          <w:p>
            <w:pPr>
              <w:spacing w:after="0"/>
            </w:pPr>
            <w:r/>
            <w:r>
              <w:rPr>
                <w:sz w:val="17"/>
              </w:rPr>
              <w:t>Table</w:t>
            </w:r>
          </w:p>
        </w:tc>
        <w:tc>
          <w:tcPr>
            <w:tcW w:type="dxa" w:w="1872"/>
            <w:shd w:val="clear" w:color="auto" w:fill="EDF1F5"/>
          </w:tcPr>
          <w:p>
            <w:pPr>
              <w:spacing w:after="0"/>
            </w:pPr>
            <w:r/>
            <w:r>
              <w:rPr>
                <w:sz w:val="17"/>
              </w:rPr>
              <w:t>Table A.2: Portfolio Risk Metrics</w:t>
            </w:r>
          </w:p>
        </w:tc>
        <w:tc>
          <w:tcPr>
            <w:tcW w:type="dxa" w:w="1872"/>
            <w:shd w:val="clear" w:color="auto" w:fill="EDF1F5"/>
          </w:tcPr>
          <w:p>
            <w:pPr>
              <w:spacing w:after="0"/>
            </w:pPr>
            <w:r/>
            <w:r>
              <w:rPr>
                <w:sz w:val="17"/>
              </w:rPr>
              <w:t>table_A.2.portfolio.risk.csv</w:t>
            </w:r>
          </w:p>
        </w:tc>
        <w:tc>
          <w:tcPr>
            <w:tcW w:type="dxa" w:w="1872"/>
            <w:shd w:val="clear" w:color="auto" w:fill="EDF1F5"/>
          </w:tcPr>
          <w:p>
            <w:pPr>
              <w:spacing w:after="0"/>
            </w:pPr>
            <w:r/>
            <w:r>
              <w:rPr>
                <w:sz w:val="17"/>
              </w:rPr>
              <w:t>Section 7</w:t>
            </w:r>
          </w:p>
        </w:tc>
        <w:tc>
          <w:tcPr>
            <w:tcW w:type="dxa" w:w="1872"/>
            <w:shd w:val="clear" w:color="auto" w:fill="EDF1F5"/>
          </w:tcPr>
          <w:p>
            <w:pPr>
              <w:spacing w:after="0"/>
            </w:pPr>
            <w:r/>
            <w:r>
              <w:rPr>
                <w:sz w:val="17"/>
              </w:rPr>
              <w:t>Yes</w:t>
            </w:r>
          </w:p>
        </w:tc>
      </w:tr>
      <w:tr>
        <w:tc>
          <w:tcPr>
            <w:tcW w:type="dxa" w:w="1872"/>
          </w:tcPr>
          <w:p>
            <w:pPr>
              <w:spacing w:after="0"/>
            </w:pPr>
            <w:r/>
            <w:r>
              <w:rPr>
                <w:sz w:val="17"/>
              </w:rPr>
              <w:t>Table</w:t>
            </w:r>
          </w:p>
        </w:tc>
        <w:tc>
          <w:tcPr>
            <w:tcW w:type="dxa" w:w="1872"/>
          </w:tcPr>
          <w:p>
            <w:pPr>
              <w:spacing w:after="0"/>
            </w:pPr>
            <w:r/>
            <w:r>
              <w:rPr>
                <w:sz w:val="17"/>
              </w:rPr>
              <w:t>Table A.3: Success Probability Scores</w:t>
            </w:r>
          </w:p>
        </w:tc>
        <w:tc>
          <w:tcPr>
            <w:tcW w:type="dxa" w:w="1872"/>
          </w:tcPr>
          <w:p>
            <w:pPr>
              <w:spacing w:after="0"/>
            </w:pPr>
            <w:r/>
            <w:r>
              <w:rPr>
                <w:sz w:val="17"/>
              </w:rPr>
              <w:t>table_A.3.success.scores.csv</w:t>
            </w:r>
          </w:p>
        </w:tc>
        <w:tc>
          <w:tcPr>
            <w:tcW w:type="dxa" w:w="1872"/>
          </w:tcPr>
          <w:p>
            <w:pPr>
              <w:spacing w:after="0"/>
            </w:pPr>
            <w:r/>
            <w:r>
              <w:rPr>
                <w:sz w:val="17"/>
              </w:rPr>
              <w:t>Section 7</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14: Network Risk (schematic)</w:t>
            </w:r>
          </w:p>
        </w:tc>
        <w:tc>
          <w:tcPr>
            <w:tcW w:type="dxa" w:w="1872"/>
            <w:shd w:val="clear" w:color="auto" w:fill="EDF1F5"/>
          </w:tcPr>
          <w:p>
            <w:pPr>
              <w:spacing w:after="0"/>
            </w:pPr>
            <w:r/>
            <w:r>
              <w:rPr>
                <w:sz w:val="17"/>
              </w:rPr>
              <w:t>figure_14.png</w:t>
            </w:r>
          </w:p>
        </w:tc>
        <w:tc>
          <w:tcPr>
            <w:tcW w:type="dxa" w:w="1872"/>
            <w:shd w:val="clear" w:color="auto" w:fill="EDF1F5"/>
          </w:tcPr>
          <w:p>
            <w:pPr>
              <w:spacing w:after="0"/>
            </w:pPr>
            <w:r/>
            <w:r>
              <w:rPr>
                <w:sz w:val="17"/>
              </w:rPr>
              <w:t>Section 7</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Figure 15: Portfolio Risk (schematic)</w:t>
            </w:r>
          </w:p>
        </w:tc>
        <w:tc>
          <w:tcPr>
            <w:tcW w:type="dxa" w:w="1872"/>
          </w:tcPr>
          <w:p>
            <w:pPr>
              <w:spacing w:after="0"/>
            </w:pPr>
            <w:r/>
            <w:r>
              <w:rPr>
                <w:sz w:val="17"/>
              </w:rPr>
              <w:t>figure_15.png</w:t>
            </w:r>
          </w:p>
        </w:tc>
        <w:tc>
          <w:tcPr>
            <w:tcW w:type="dxa" w:w="1872"/>
          </w:tcPr>
          <w:p>
            <w:pPr>
              <w:spacing w:after="0"/>
            </w:pPr>
            <w:r/>
            <w:r>
              <w:rPr>
                <w:sz w:val="17"/>
              </w:rPr>
              <w:t>Section 7</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16: Shapley Values (schematic)</w:t>
            </w:r>
          </w:p>
        </w:tc>
        <w:tc>
          <w:tcPr>
            <w:tcW w:type="dxa" w:w="1872"/>
            <w:shd w:val="clear" w:color="auto" w:fill="EDF1F5"/>
          </w:tcPr>
          <w:p>
            <w:pPr>
              <w:spacing w:after="0"/>
            </w:pPr>
            <w:r/>
            <w:r>
              <w:rPr>
                <w:sz w:val="17"/>
              </w:rPr>
              <w:t>figure_16.png</w:t>
            </w:r>
          </w:p>
        </w:tc>
        <w:tc>
          <w:tcPr>
            <w:tcW w:type="dxa" w:w="1872"/>
            <w:shd w:val="clear" w:color="auto" w:fill="EDF1F5"/>
          </w:tcPr>
          <w:p>
            <w:pPr>
              <w:spacing w:after="0"/>
            </w:pPr>
            <w:r/>
            <w:r>
              <w:rPr>
                <w:sz w:val="17"/>
              </w:rPr>
              <w:t>Section 7</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Supplemental S4 — Direct vs Second-Round Losses (DebtRank)</w:t>
            </w:r>
          </w:p>
        </w:tc>
        <w:tc>
          <w:tcPr>
            <w:tcW w:type="dxa" w:w="1872"/>
          </w:tcPr>
          <w:p>
            <w:pPr>
              <w:spacing w:after="0"/>
            </w:pPr>
            <w:r/>
            <w:r>
              <w:rPr>
                <w:sz w:val="17"/>
              </w:rPr>
              <w:t>supplemental/s4_debtrank_losses.png</w:t>
            </w:r>
          </w:p>
        </w:tc>
        <w:tc>
          <w:tcPr>
            <w:tcW w:type="dxa" w:w="1872"/>
          </w:tcPr>
          <w:p>
            <w:pPr>
              <w:spacing w:after="0"/>
            </w:pPr>
            <w:r/>
            <w:r>
              <w:rPr>
                <w:sz w:val="17"/>
              </w:rPr>
              <w:t>Section 7</w:t>
            </w:r>
          </w:p>
        </w:tc>
        <w:tc>
          <w:tcPr>
            <w:tcW w:type="dxa" w:w="1872"/>
          </w:tcPr>
          <w:p>
            <w:pPr>
              <w:spacing w:after="0"/>
            </w:pPr>
            <w:r/>
            <w:r>
              <w:rPr>
                <w:sz w:val="17"/>
              </w:rPr>
              <w:t>Yes</w:t>
            </w:r>
          </w:p>
        </w:tc>
      </w:tr>
      <w:tr>
        <w:tc>
          <w:tcPr>
            <w:tcW w:type="dxa" w:w="1872"/>
            <w:shd w:val="clear" w:color="auto" w:fill="EDF1F5"/>
          </w:tcPr>
          <w:p>
            <w:pPr>
              <w:spacing w:after="0"/>
            </w:pPr>
            <w:r/>
            <w:r>
              <w:rPr>
                <w:sz w:val="17"/>
              </w:rPr>
              <w:t>Figure</w:t>
            </w:r>
          </w:p>
        </w:tc>
        <w:tc>
          <w:tcPr>
            <w:tcW w:type="dxa" w:w="1872"/>
            <w:shd w:val="clear" w:color="auto" w:fill="EDF1F5"/>
          </w:tcPr>
          <w:p>
            <w:pPr>
              <w:spacing w:after="0"/>
            </w:pPr>
            <w:r/>
            <w:r>
              <w:rPr>
                <w:sz w:val="17"/>
              </w:rPr>
              <w:t>Figure 17: Company Valuation Dashboard (schematic)</w:t>
            </w:r>
          </w:p>
        </w:tc>
        <w:tc>
          <w:tcPr>
            <w:tcW w:type="dxa" w:w="1872"/>
            <w:shd w:val="clear" w:color="auto" w:fill="EDF1F5"/>
          </w:tcPr>
          <w:p>
            <w:pPr>
              <w:spacing w:after="0"/>
            </w:pPr>
            <w:r/>
            <w:r>
              <w:rPr>
                <w:sz w:val="17"/>
              </w:rPr>
              <w:t>figure_17.png</w:t>
            </w:r>
          </w:p>
        </w:tc>
        <w:tc>
          <w:tcPr>
            <w:tcW w:type="dxa" w:w="1872"/>
            <w:shd w:val="clear" w:color="auto" w:fill="EDF1F5"/>
          </w:tcPr>
          <w:p>
            <w:pPr>
              <w:spacing w:after="0"/>
            </w:pPr>
            <w:r/>
            <w:r>
              <w:rPr>
                <w:sz w:val="17"/>
              </w:rPr>
              <w:t>Section 8</w:t>
            </w:r>
          </w:p>
        </w:tc>
        <w:tc>
          <w:tcPr>
            <w:tcW w:type="dxa" w:w="1872"/>
            <w:shd w:val="clear" w:color="auto" w:fill="EDF1F5"/>
          </w:tcPr>
          <w:p>
            <w:pPr>
              <w:spacing w:after="0"/>
            </w:pPr>
            <w:r/>
            <w:r>
              <w:rPr>
                <w:sz w:val="17"/>
              </w:rPr>
              <w:t>Yes</w:t>
            </w:r>
          </w:p>
        </w:tc>
      </w:tr>
      <w:tr>
        <w:tc>
          <w:tcPr>
            <w:tcW w:type="dxa" w:w="1872"/>
          </w:tcPr>
          <w:p>
            <w:pPr>
              <w:spacing w:after="0"/>
            </w:pPr>
            <w:r/>
            <w:r>
              <w:rPr>
                <w:sz w:val="17"/>
              </w:rPr>
              <w:t>Figure</w:t>
            </w:r>
          </w:p>
        </w:tc>
        <w:tc>
          <w:tcPr>
            <w:tcW w:type="dxa" w:w="1872"/>
          </w:tcPr>
          <w:p>
            <w:pPr>
              <w:spacing w:after="0"/>
            </w:pPr>
            <w:r/>
            <w:r>
              <w:rPr>
                <w:sz w:val="17"/>
              </w:rPr>
              <w:t>Figure 18: Company Valuation Metrics Table (schematic)</w:t>
            </w:r>
          </w:p>
        </w:tc>
        <w:tc>
          <w:tcPr>
            <w:tcW w:type="dxa" w:w="1872"/>
          </w:tcPr>
          <w:p>
            <w:pPr>
              <w:spacing w:after="0"/>
            </w:pPr>
            <w:r/>
            <w:r>
              <w:rPr>
                <w:sz w:val="17"/>
              </w:rPr>
              <w:t>figure_18.png</w:t>
            </w:r>
          </w:p>
        </w:tc>
        <w:tc>
          <w:tcPr>
            <w:tcW w:type="dxa" w:w="1872"/>
          </w:tcPr>
          <w:p>
            <w:pPr>
              <w:spacing w:after="0"/>
            </w:pPr>
            <w:r/>
            <w:r>
              <w:rPr>
                <w:sz w:val="17"/>
              </w:rPr>
              <w:t>Section 8</w:t>
            </w:r>
          </w:p>
        </w:tc>
        <w:tc>
          <w:tcPr>
            <w:tcW w:type="dxa" w:w="1872"/>
          </w:tcPr>
          <w:p>
            <w:pPr>
              <w:spacing w:after="0"/>
            </w:pPr>
            <w:r/>
            <w:r>
              <w:rPr>
                <w:sz w:val="17"/>
              </w:rPr>
              <w:t>Yes</w:t>
            </w:r>
          </w:p>
        </w:tc>
      </w:tr>
    </w:tbl>
    <w:p>
      <w:pPr>
        <w:spacing w:after="80"/>
      </w:pPr>
      <w:r>
        <w:rPr>
          <w:sz w:val="4"/>
        </w:rPr>
      </w:r>
    </w:p>
    <w:p>
      <w:r>
        <w:br w:type="page"/>
      </w:r>
    </w:p>
    <w:p>
      <w:pPr>
        <w:pStyle w:val="Heading1"/>
      </w:pPr>
      <w:r>
        <w:t>References</w:t>
      </w:r>
    </w:p>
    <w:p>
      <w:pPr>
        <w:spacing w:after="60"/>
        <w:ind w:left="360" w:hanging="360"/>
      </w:pPr>
      <w:r>
        <w:rPr>
          <w:sz w:val="20"/>
        </w:rPr>
        <w:t>Aldasoro, I., Doerr, S., &amp; Rees, D. (2026). Financing the AI boom: from cash flows to debt. BIS Bulletin, No. 120. Bank for International Settlements.</w:t>
      </w:r>
    </w:p>
    <w:p>
      <w:pPr>
        <w:spacing w:after="60"/>
        <w:ind w:left="360" w:hanging="360"/>
      </w:pPr>
      <w:r>
        <w:rPr>
          <w:sz w:val="20"/>
        </w:rPr>
        <w:t>Baker, J. B. (2019). The antitrust paradigm. Harvard University Press.</w:t>
      </w:r>
    </w:p>
    <w:p>
      <w:pPr>
        <w:spacing w:after="60"/>
        <w:ind w:left="360" w:hanging="360"/>
      </w:pPr>
      <w:r>
        <w:rPr>
          <w:sz w:val="20"/>
        </w:rPr>
        <w:t>Bichler, M., et al. (2025). Algorithmic pricing and algorithmic collusion. Business &amp; Information Systems Engineering, 67(6), 971–979.</w:t>
      </w:r>
    </w:p>
    <w:p>
      <w:pPr>
        <w:spacing w:after="60"/>
        <w:ind w:left="360" w:hanging="360"/>
      </w:pPr>
      <w:r>
        <w:rPr>
          <w:sz w:val="20"/>
        </w:rPr>
        <w:t>European Commission. (2022). Regulation (EU) 2022/1925 on contestable and fair markets in the digital sector (Digital Markets Act). Official Journal of the European Union.</w:t>
      </w:r>
    </w:p>
    <w:p>
      <w:pPr>
        <w:spacing w:after="60"/>
        <w:ind w:left="360" w:hanging="360"/>
      </w:pPr>
      <w:r>
        <w:rPr>
          <w:sz w:val="20"/>
        </w:rPr>
        <w:t>Farrell, J., &amp; Klemperer, P. (2007). Coordination and lock-in: Competition with switching costs and network effects. In M. Armstrong &amp; R. Porter (Eds.), Handbook of industrial organization (Vol. 3, pp. 1967–2072). Elsevier.</w:t>
      </w:r>
    </w:p>
    <w:p>
      <w:pPr>
        <w:spacing w:after="60"/>
        <w:ind w:left="360" w:hanging="360"/>
      </w:pPr>
      <w:r>
        <w:rPr>
          <w:sz w:val="20"/>
        </w:rPr>
        <w:t>Federal Trade Commission. (2025). Partnerships between cloud service providers and AI developers (staff report, 6(b) study).</w:t>
      </w:r>
    </w:p>
    <w:p>
      <w:pPr>
        <w:spacing w:after="60"/>
        <w:ind w:left="360" w:hanging="360"/>
      </w:pPr>
      <w:r>
        <w:rPr>
          <w:sz w:val="20"/>
        </w:rPr>
        <w:t>U.S. Department of Justice &amp; Federal Trade Commission. (2023). Merger guidelines (2023 vintage HHI thresholds).</w:t>
      </w:r>
    </w:p>
    <w:p>
      <w:pPr>
        <w:spacing w:after="60"/>
        <w:ind w:left="360" w:hanging="360"/>
      </w:pPr>
      <w:r>
        <w:rPr>
          <w:sz w:val="20"/>
        </w:rPr>
        <w:t>Harberger, A. C. (1954). Monopoly and resource allocation. American Economic Review, 44(2), 77–87.</w:t>
      </w:r>
    </w:p>
    <w:p>
      <w:pPr>
        <w:spacing w:after="60"/>
        <w:ind w:left="360" w:hanging="360"/>
      </w:pPr>
      <w:r>
        <w:rPr>
          <w:sz w:val="20"/>
        </w:rPr>
        <w:t>Katz, M. L., &amp; Shapiro, C. (1985). Network externalities, competition, and compatibility. American Economic Review, 75(3), 424–440.</w:t>
      </w:r>
    </w:p>
    <w:p>
      <w:pPr>
        <w:spacing w:after="60"/>
        <w:ind w:left="360" w:hanging="360"/>
      </w:pPr>
      <w:r>
        <w:rPr>
          <w:sz w:val="20"/>
        </w:rPr>
        <w:t>Lipsey, R. G., &amp; Lancaster, K. (1956). The general theory of second best. Review of Economic Studies, 24(1), 11–32.</w:t>
      </w:r>
    </w:p>
    <w:p>
      <w:pPr>
        <w:spacing w:after="60"/>
        <w:ind w:left="360" w:hanging="360"/>
      </w:pPr>
      <w:r>
        <w:rPr>
          <w:sz w:val="20"/>
        </w:rPr>
        <w:t>Hagiu, A., &amp; Wright, J. (2025). Artificial intelligence and competition policy. International Journal of Industrial Organization, 103(PA). https://doi.org/10.1016/j.ijindorg.2025.103134</w:t>
      </w:r>
    </w:p>
    <w:p>
      <w:pPr>
        <w:spacing w:after="60"/>
        <w:ind w:left="360" w:hanging="360"/>
      </w:pPr>
      <w:r>
        <w:rPr>
          <w:sz w:val="20"/>
        </w:rPr>
        <w:t>Korinek, A., &amp; Vipra, J. (2025). Concentrating intelligence: Scaling and market structure in artificial intelligence. Economic Policy, 40(121), 225–256. https://doi.org/10.1093/epolic/eiae057</w:t>
      </w:r>
    </w:p>
    <w:p>
      <w:pPr>
        <w:spacing w:after="60"/>
        <w:ind w:left="360" w:hanging="360"/>
      </w:pPr>
      <w:r>
        <w:rPr>
          <w:sz w:val="20"/>
        </w:rPr>
        <w:t>Nash, J. F. (1950). Equilibrium points in n-person games. Proceedings of the National Academy of Sciences, 36(1), 48–49.</w:t>
      </w:r>
    </w:p>
    <w:p>
      <w:pPr>
        <w:spacing w:after="60"/>
        <w:ind w:left="360" w:hanging="360"/>
      </w:pPr>
      <w:r>
        <w:rPr>
          <w:sz w:val="20"/>
        </w:rPr>
        <w:t>OECD. (2025). Artificial intelligence and competitive dynamics in downstream markets. OECD Publishing.</w:t>
      </w:r>
    </w:p>
    <w:p>
      <w:pPr>
        <w:spacing w:after="60"/>
        <w:ind w:left="360" w:hanging="360"/>
      </w:pPr>
      <w:r>
        <w:rPr>
          <w:sz w:val="20"/>
        </w:rPr>
        <w:t>Ofcom. Mandated interoperability in digital markets. Discussion paper.</w:t>
      </w:r>
    </w:p>
    <w:p>
      <w:pPr>
        <w:spacing w:after="60"/>
        <w:ind w:left="360" w:hanging="360"/>
      </w:pPr>
      <w:r>
        <w:rPr>
          <w:sz w:val="20"/>
        </w:rPr>
        <w:t>Ofek, E., &amp; Richardson, M. (2003). DotCom mania: The rise and fall of Internet stock prices. Journal of Finance, 58(3), 1113–1137.</w:t>
      </w:r>
    </w:p>
    <w:p>
      <w:pPr>
        <w:spacing w:after="60"/>
        <w:ind w:left="360" w:hanging="360"/>
      </w:pPr>
      <w:r>
        <w:rPr>
          <w:sz w:val="20"/>
        </w:rPr>
        <w:t>Greenwood, R., Shleifer, A., &amp; You, Y. (2019). Bubbles for Fama. Journal of Financial Economics, 131(1), 20–43.</w:t>
      </w:r>
    </w:p>
    <w:p>
      <w:pPr>
        <w:spacing w:after="60"/>
        <w:ind w:left="360" w:hanging="360"/>
      </w:pPr>
      <w:r>
        <w:rPr>
          <w:sz w:val="20"/>
        </w:rPr>
        <w:t>World Bank. (2026). Competition in AI markets.</w:t>
      </w:r>
    </w:p>
    <w:p>
      <w:r>
        <w:br w:type="page"/>
      </w:r>
    </w:p>
    <w:p>
      <w:pPr>
        <w:pStyle w:val="Heading1"/>
      </w:pPr>
      <w:r>
        <w:t>Appendix A.  Complete Table Set</w:t>
      </w:r>
    </w:p>
    <w:p>
      <w:pPr>
        <w:keepNext/>
        <w:spacing w:before="200" w:after="40"/>
      </w:pPr>
      <w:r>
        <w:rPr>
          <w:b/>
          <w:color w:val="2C3E50"/>
          <w:sz w:val="20"/>
        </w:rPr>
        <w:t>Table 1.1: Market Structure Metrics (also in Section 3)</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Metric</w:t>
            </w:r>
          </w:p>
        </w:tc>
        <w:tc>
          <w:tcPr>
            <w:tcW w:type="dxa" w:w="3120"/>
            <w:tblHeader w:val="true"/>
            <w:shd w:val="clear" w:color="auto" w:fill="2C3E50"/>
          </w:tcPr>
          <w:p>
            <w:pPr>
              <w:jc w:val="center"/>
            </w:pPr>
            <w:r/>
            <w:r>
              <w:rPr>
                <w:b/>
                <w:color w:val="FFFFFF"/>
                <w:sz w:val="20"/>
              </w:rPr>
              <w:t>Value</w:t>
            </w:r>
          </w:p>
        </w:tc>
        <w:tc>
          <w:tcPr>
            <w:tcW w:type="dxa" w:w="3120"/>
            <w:tblHeader w:val="true"/>
            <w:shd w:val="clear" w:color="auto" w:fill="2C3E50"/>
          </w:tcPr>
          <w:p>
            <w:pPr>
              <w:jc w:val="center"/>
            </w:pPr>
            <w:r/>
            <w:r>
              <w:rPr>
                <w:b/>
                <w:color w:val="FFFFFF"/>
                <w:sz w:val="20"/>
              </w:rPr>
              <w:t>Interpretation</w:t>
            </w:r>
          </w:p>
        </w:tc>
      </w:tr>
      <w:tr>
        <w:tc>
          <w:tcPr>
            <w:tcW w:type="dxa" w:w="3120"/>
          </w:tcPr>
          <w:p>
            <w:pPr>
              <w:spacing w:after="0"/>
            </w:pPr>
            <w:r/>
            <w:r>
              <w:rPr>
                <w:sz w:val="19"/>
              </w:rPr>
              <w:t>Total Market Value ($B)</w:t>
            </w:r>
          </w:p>
        </w:tc>
        <w:tc>
          <w:tcPr>
            <w:tcW w:type="dxa" w:w="3120"/>
          </w:tcPr>
          <w:p>
            <w:pPr>
              <w:spacing w:after="0"/>
            </w:pPr>
            <w:r/>
            <w:r>
              <w:rPr>
                <w:sz w:val="19"/>
              </w:rPr>
              <w:t>1,034.50</w:t>
            </w:r>
          </w:p>
        </w:tc>
        <w:tc>
          <w:tcPr>
            <w:tcW w:type="dxa" w:w="3120"/>
          </w:tcPr>
          <w:p>
            <w:pPr>
              <w:spacing w:after="0"/>
            </w:pPr>
            <w:r/>
            <w:r>
              <w:rPr>
                <w:sz w:val="19"/>
              </w:rPr>
              <w:t>-</w:t>
            </w:r>
          </w:p>
        </w:tc>
      </w:tr>
      <w:tr>
        <w:tc>
          <w:tcPr>
            <w:tcW w:type="dxa" w:w="3120"/>
            <w:shd w:val="clear" w:color="auto" w:fill="EDF1F5"/>
          </w:tcPr>
          <w:p>
            <w:pPr>
              <w:spacing w:after="0"/>
            </w:pPr>
            <w:r/>
            <w:r>
              <w:rPr>
                <w:sz w:val="19"/>
              </w:rPr>
              <w:t>HHI</w:t>
            </w:r>
          </w:p>
        </w:tc>
        <w:tc>
          <w:tcPr>
            <w:tcW w:type="dxa" w:w="3120"/>
            <w:shd w:val="clear" w:color="auto" w:fill="EDF1F5"/>
          </w:tcPr>
          <w:p>
            <w:pPr>
              <w:spacing w:after="0"/>
            </w:pPr>
            <w:r/>
            <w:r>
              <w:rPr>
                <w:sz w:val="19"/>
              </w:rPr>
              <w:t>3,851.21</w:t>
            </w:r>
          </w:p>
        </w:tc>
        <w:tc>
          <w:tcPr>
            <w:tcW w:type="dxa" w:w="3120"/>
            <w:shd w:val="clear" w:color="auto" w:fill="EDF1F5"/>
          </w:tcPr>
          <w:p>
            <w:pPr>
              <w:spacing w:after="0"/>
            </w:pPr>
            <w:r/>
            <w:r>
              <w:rPr>
                <w:sz w:val="19"/>
              </w:rPr>
              <w:t>Highly Concentrated</w:t>
            </w:r>
          </w:p>
        </w:tc>
      </w:tr>
      <w:tr>
        <w:tc>
          <w:tcPr>
            <w:tcW w:type="dxa" w:w="3120"/>
          </w:tcPr>
          <w:p>
            <w:pPr>
              <w:spacing w:after="0"/>
            </w:pPr>
            <w:r/>
            <w:r>
              <w:rPr>
                <w:sz w:val="19"/>
              </w:rPr>
              <w:t>Gini Coefficient</w:t>
            </w:r>
          </w:p>
        </w:tc>
        <w:tc>
          <w:tcPr>
            <w:tcW w:type="dxa" w:w="3120"/>
          </w:tcPr>
          <w:p>
            <w:pPr>
              <w:spacing w:after="0"/>
            </w:pPr>
            <w:r/>
            <w:r>
              <w:rPr>
                <w:sz w:val="19"/>
              </w:rPr>
              <w:t>0.39</w:t>
            </w:r>
          </w:p>
        </w:tc>
        <w:tc>
          <w:tcPr>
            <w:tcW w:type="dxa" w:w="3120"/>
          </w:tcPr>
          <w:p>
            <w:pPr>
              <w:spacing w:after="0"/>
            </w:pPr>
            <w:r/>
            <w:r>
              <w:rPr>
                <w:sz w:val="19"/>
              </w:rPr>
              <w:t>Moderate</w:t>
            </w:r>
          </w:p>
        </w:tc>
      </w:tr>
      <w:tr>
        <w:tc>
          <w:tcPr>
            <w:tcW w:type="dxa" w:w="3120"/>
            <w:shd w:val="clear" w:color="auto" w:fill="EDF1F5"/>
          </w:tcPr>
          <w:p>
            <w:pPr>
              <w:spacing w:after="0"/>
            </w:pPr>
            <w:r/>
            <w:r>
              <w:rPr>
                <w:sz w:val="19"/>
              </w:rPr>
              <w:t>CR4 (%)</w:t>
            </w:r>
          </w:p>
        </w:tc>
        <w:tc>
          <w:tcPr>
            <w:tcW w:type="dxa" w:w="3120"/>
            <w:shd w:val="clear" w:color="auto" w:fill="EDF1F5"/>
          </w:tcPr>
          <w:p>
            <w:pPr>
              <w:spacing w:after="0"/>
            </w:pPr>
            <w:r/>
            <w:r>
              <w:rPr>
                <w:sz w:val="19"/>
              </w:rPr>
              <w:t>100</w:t>
            </w:r>
          </w:p>
        </w:tc>
        <w:tc>
          <w:tcPr>
            <w:tcW w:type="dxa" w:w="3120"/>
            <w:shd w:val="clear" w:color="auto" w:fill="EDF1F5"/>
          </w:tcPr>
          <w:p>
            <w:pPr>
              <w:spacing w:after="0"/>
            </w:pPr>
            <w:r/>
            <w:r>
              <w:rPr>
                <w:sz w:val="19"/>
              </w:rPr>
              <w:t>Top 4 Dominated</w:t>
            </w:r>
          </w:p>
        </w:tc>
      </w:tr>
    </w:tbl>
    <w:p>
      <w:pPr>
        <w:spacing w:after="80"/>
      </w:pPr>
      <w:r>
        <w:rPr>
          <w:sz w:val="4"/>
        </w:rPr>
      </w:r>
    </w:p>
    <w:p>
      <w:pPr>
        <w:keepNext/>
        <w:spacing w:before="200" w:after="40"/>
      </w:pPr>
      <w:r>
        <w:rPr>
          <w:b/>
          <w:color w:val="2C3E50"/>
          <w:sz w:val="20"/>
        </w:rPr>
        <w:t>Table 1.3: Revenue Projections (also in Section 3)</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CAGR (%)</w:t>
            </w:r>
          </w:p>
        </w:tc>
        <w:tc>
          <w:tcPr>
            <w:tcW w:type="dxa" w:w="3120"/>
            <w:tblHeader w:val="true"/>
            <w:shd w:val="clear" w:color="auto" w:fill="2C3E50"/>
          </w:tcPr>
          <w:p>
            <w:pPr>
              <w:jc w:val="center"/>
            </w:pPr>
            <w:r/>
            <w:r>
              <w:rPr>
                <w:b/>
                <w:color w:val="FFFFFF"/>
                <w:sz w:val="20"/>
              </w:rPr>
              <w:t>Revenue 2025 ($B)</w:t>
            </w:r>
          </w:p>
        </w:tc>
        <w:tc>
          <w:tcPr>
            <w:tcW w:type="dxa" w:w="3120"/>
            <w:tblHeader w:val="true"/>
            <w:shd w:val="clear" w:color="auto" w:fill="2C3E50"/>
          </w:tcPr>
          <w:p>
            <w:pPr>
              <w:jc w:val="center"/>
            </w:pPr>
            <w:r/>
            <w:r>
              <w:rPr>
                <w:b/>
                <w:color w:val="FFFFFF"/>
                <w:sz w:val="20"/>
              </w:rPr>
              <w:t>Projected Revenue 2030 ($B)</w:t>
            </w:r>
          </w:p>
        </w:tc>
      </w:tr>
      <w:tr>
        <w:tc>
          <w:tcPr>
            <w:tcW w:type="dxa" w:w="3120"/>
          </w:tcPr>
          <w:p>
            <w:pPr>
              <w:spacing w:after="0"/>
            </w:pPr>
            <w:r/>
            <w:r>
              <w:rPr>
                <w:sz w:val="19"/>
              </w:rPr>
              <w:t>29</w:t>
            </w:r>
          </w:p>
        </w:tc>
        <w:tc>
          <w:tcPr>
            <w:tcW w:type="dxa" w:w="3120"/>
          </w:tcPr>
          <w:p>
            <w:pPr>
              <w:spacing w:after="0"/>
            </w:pPr>
            <w:r/>
            <w:r>
              <w:rPr>
                <w:sz w:val="19"/>
              </w:rPr>
              <w:t>475</w:t>
            </w:r>
          </w:p>
        </w:tc>
        <w:tc>
          <w:tcPr>
            <w:tcW w:type="dxa" w:w="3120"/>
          </w:tcPr>
          <w:p>
            <w:pPr>
              <w:spacing w:after="0"/>
            </w:pPr>
            <w:r/>
            <w:r>
              <w:rPr>
                <w:sz w:val="19"/>
              </w:rPr>
              <w:t>1,585.30</w:t>
            </w:r>
          </w:p>
        </w:tc>
      </w:tr>
      <w:tr>
        <w:tc>
          <w:tcPr>
            <w:tcW w:type="dxa" w:w="3120"/>
            <w:shd w:val="clear" w:color="auto" w:fill="EDF1F5"/>
          </w:tcPr>
          <w:p>
            <w:pPr>
              <w:spacing w:after="0"/>
            </w:pPr>
            <w:r/>
            <w:r>
              <w:rPr>
                <w:sz w:val="19"/>
              </w:rPr>
              <w:t>28</w:t>
            </w:r>
          </w:p>
        </w:tc>
        <w:tc>
          <w:tcPr>
            <w:tcW w:type="dxa" w:w="3120"/>
            <w:shd w:val="clear" w:color="auto" w:fill="EDF1F5"/>
          </w:tcPr>
          <w:p>
            <w:pPr>
              <w:spacing w:after="0"/>
            </w:pPr>
            <w:r/>
            <w:r>
              <w:rPr>
                <w:sz w:val="19"/>
              </w:rPr>
              <w:t>417</w:t>
            </w:r>
          </w:p>
        </w:tc>
        <w:tc>
          <w:tcPr>
            <w:tcW w:type="dxa" w:w="3120"/>
            <w:shd w:val="clear" w:color="auto" w:fill="EDF1F5"/>
          </w:tcPr>
          <w:p>
            <w:pPr>
              <w:spacing w:after="0"/>
            </w:pPr>
            <w:r/>
            <w:r>
              <w:rPr>
                <w:sz w:val="19"/>
              </w:rPr>
              <w:t>1,341.10</w:t>
            </w:r>
          </w:p>
        </w:tc>
      </w:tr>
      <w:tr>
        <w:tc>
          <w:tcPr>
            <w:tcW w:type="dxa" w:w="3120"/>
          </w:tcPr>
          <w:p>
            <w:pPr>
              <w:spacing w:after="0"/>
            </w:pPr>
            <w:r/>
            <w:r>
              <w:rPr>
                <w:sz w:val="19"/>
              </w:rPr>
              <w:t>35</w:t>
            </w:r>
          </w:p>
        </w:tc>
        <w:tc>
          <w:tcPr>
            <w:tcW w:type="dxa" w:w="3120"/>
          </w:tcPr>
          <w:p>
            <w:pPr>
              <w:spacing w:after="0"/>
            </w:pPr>
            <w:r/>
            <w:r>
              <w:rPr>
                <w:sz w:val="19"/>
              </w:rPr>
              <w:t>106.50</w:t>
            </w:r>
          </w:p>
        </w:tc>
        <w:tc>
          <w:tcPr>
            <w:tcW w:type="dxa" w:w="3120"/>
          </w:tcPr>
          <w:p>
            <w:pPr>
              <w:spacing w:after="0"/>
            </w:pPr>
            <w:r/>
            <w:r>
              <w:rPr>
                <w:sz w:val="19"/>
              </w:rPr>
              <w:t>441.50</w:t>
            </w:r>
          </w:p>
        </w:tc>
      </w:tr>
      <w:tr>
        <w:tc>
          <w:tcPr>
            <w:tcW w:type="dxa" w:w="3120"/>
            <w:shd w:val="clear" w:color="auto" w:fill="EDF1F5"/>
          </w:tcPr>
          <w:p>
            <w:pPr>
              <w:spacing w:after="0"/>
            </w:pPr>
            <w:r/>
            <w:r>
              <w:rPr>
                <w:sz w:val="19"/>
              </w:rPr>
              <w:t>30</w:t>
            </w:r>
          </w:p>
        </w:tc>
        <w:tc>
          <w:tcPr>
            <w:tcW w:type="dxa" w:w="3120"/>
            <w:shd w:val="clear" w:color="auto" w:fill="EDF1F5"/>
          </w:tcPr>
          <w:p>
            <w:pPr>
              <w:spacing w:after="0"/>
            </w:pPr>
            <w:r/>
            <w:r>
              <w:rPr>
                <w:sz w:val="19"/>
              </w:rPr>
              <w:t>36</w:t>
            </w:r>
          </w:p>
        </w:tc>
        <w:tc>
          <w:tcPr>
            <w:tcW w:type="dxa" w:w="3120"/>
            <w:shd w:val="clear" w:color="auto" w:fill="EDF1F5"/>
          </w:tcPr>
          <w:p>
            <w:pPr>
              <w:spacing w:after="0"/>
            </w:pPr>
            <w:r/>
            <w:r>
              <w:rPr>
                <w:sz w:val="19"/>
              </w:rPr>
              <w:t>124.70</w:t>
            </w:r>
          </w:p>
        </w:tc>
      </w:tr>
    </w:tbl>
    <w:p>
      <w:pPr>
        <w:spacing w:after="80"/>
      </w:pPr>
      <w:r>
        <w:rPr>
          <w:sz w:val="4"/>
        </w:rPr>
      </w:r>
    </w:p>
    <w:p>
      <w:pPr>
        <w:keepNext/>
        <w:spacing w:before="200" w:after="40"/>
      </w:pPr>
      <w:r>
        <w:rPr>
          <w:b/>
          <w:color w:val="2C3E50"/>
          <w:sz w:val="20"/>
        </w:rPr>
        <w:t>Table 2.4: Player Categories (also in Section 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Player_Category</w:t>
            </w:r>
          </w:p>
        </w:tc>
        <w:tc>
          <w:tcPr>
            <w:tcW w:type="dxa" w:w="2340"/>
            <w:tblHeader w:val="true"/>
            <w:shd w:val="clear" w:color="auto" w:fill="2C3E50"/>
          </w:tcPr>
          <w:p>
            <w:pPr>
              <w:jc w:val="center"/>
            </w:pPr>
            <w:r/>
            <w:r>
              <w:rPr>
                <w:b/>
                <w:color w:val="FFFFFF"/>
                <w:sz w:val="20"/>
              </w:rPr>
              <w:t>Revenue ($B)</w:t>
            </w:r>
          </w:p>
        </w:tc>
        <w:tc>
          <w:tcPr>
            <w:tcW w:type="dxa" w:w="2340"/>
            <w:tblHeader w:val="true"/>
            <w:shd w:val="clear" w:color="auto" w:fill="2C3E50"/>
          </w:tcPr>
          <w:p>
            <w:pPr>
              <w:jc w:val="center"/>
            </w:pPr>
            <w:r/>
            <w:r>
              <w:rPr>
                <w:b/>
                <w:color w:val="FFFFFF"/>
                <w:sz w:val="20"/>
              </w:rPr>
              <w:t>Market Share (%)</w:t>
            </w:r>
          </w:p>
        </w:tc>
        <w:tc>
          <w:tcPr>
            <w:tcW w:type="dxa" w:w="2340"/>
            <w:tblHeader w:val="true"/>
            <w:shd w:val="clear" w:color="auto" w:fill="2C3E50"/>
          </w:tcPr>
          <w:p>
            <w:pPr>
              <w:jc w:val="center"/>
            </w:pPr>
            <w:r/>
            <w:r>
              <w:rPr>
                <w:b/>
                <w:color w:val="FFFFFF"/>
                <w:sz w:val="20"/>
              </w:rPr>
              <w:t>Strategic_Risk</w:t>
            </w:r>
          </w:p>
        </w:tc>
      </w:tr>
      <w:tr>
        <w:tc>
          <w:tcPr>
            <w:tcW w:type="dxa" w:w="2340"/>
          </w:tcPr>
          <w:p>
            <w:pPr>
              <w:spacing w:after="0"/>
            </w:pPr>
            <w:r/>
            <w:r>
              <w:rPr>
                <w:sz w:val="19"/>
              </w:rPr>
              <w:t>Hardware</w:t>
            </w:r>
          </w:p>
        </w:tc>
        <w:tc>
          <w:tcPr>
            <w:tcW w:type="dxa" w:w="2340"/>
          </w:tcPr>
          <w:p>
            <w:pPr>
              <w:spacing w:after="0"/>
            </w:pPr>
            <w:r/>
            <w:r>
              <w:rPr>
                <w:sz w:val="19"/>
              </w:rPr>
              <w:t>475</w:t>
            </w:r>
          </w:p>
        </w:tc>
        <w:tc>
          <w:tcPr>
            <w:tcW w:type="dxa" w:w="2340"/>
          </w:tcPr>
          <w:p>
            <w:pPr>
              <w:spacing w:after="0"/>
            </w:pPr>
            <w:r/>
            <w:r>
              <w:rPr>
                <w:sz w:val="19"/>
              </w:rPr>
              <w:t>45.92%</w:t>
            </w:r>
          </w:p>
        </w:tc>
        <w:tc>
          <w:tcPr>
            <w:tcW w:type="dxa" w:w="2340"/>
          </w:tcPr>
          <w:p>
            <w:pPr>
              <w:spacing w:after="0"/>
            </w:pPr>
            <w:r/>
            <w:r>
              <w:rPr>
                <w:sz w:val="19"/>
              </w:rPr>
              <w:t>Medium</w:t>
            </w:r>
          </w:p>
        </w:tc>
      </w:tr>
      <w:tr>
        <w:tc>
          <w:tcPr>
            <w:tcW w:type="dxa" w:w="2340"/>
            <w:shd w:val="clear" w:color="auto" w:fill="EDF1F5"/>
          </w:tcPr>
          <w:p>
            <w:pPr>
              <w:spacing w:after="0"/>
            </w:pPr>
            <w:r/>
            <w:r>
              <w:rPr>
                <w:sz w:val="19"/>
              </w:rPr>
              <w:t>Cloud Providers</w:t>
            </w:r>
          </w:p>
        </w:tc>
        <w:tc>
          <w:tcPr>
            <w:tcW w:type="dxa" w:w="2340"/>
            <w:shd w:val="clear" w:color="auto" w:fill="EDF1F5"/>
          </w:tcPr>
          <w:p>
            <w:pPr>
              <w:spacing w:after="0"/>
            </w:pPr>
            <w:r/>
            <w:r>
              <w:rPr>
                <w:sz w:val="19"/>
              </w:rPr>
              <w:t>417</w:t>
            </w:r>
          </w:p>
        </w:tc>
        <w:tc>
          <w:tcPr>
            <w:tcW w:type="dxa" w:w="2340"/>
            <w:shd w:val="clear" w:color="auto" w:fill="EDF1F5"/>
          </w:tcPr>
          <w:p>
            <w:pPr>
              <w:spacing w:after="0"/>
            </w:pPr>
            <w:r/>
            <w:r>
              <w:rPr>
                <w:sz w:val="19"/>
              </w:rPr>
              <w:t>40.31%</w:t>
            </w:r>
          </w:p>
        </w:tc>
        <w:tc>
          <w:tcPr>
            <w:tcW w:type="dxa" w:w="2340"/>
            <w:shd w:val="clear" w:color="auto" w:fill="EDF1F5"/>
          </w:tcPr>
          <w:p>
            <w:pPr>
              <w:spacing w:after="0"/>
            </w:pPr>
            <w:r/>
            <w:r>
              <w:rPr>
                <w:sz w:val="19"/>
              </w:rPr>
              <w:t>Medium</w:t>
            </w:r>
          </w:p>
        </w:tc>
      </w:tr>
      <w:tr>
        <w:tc>
          <w:tcPr>
            <w:tcW w:type="dxa" w:w="2340"/>
          </w:tcPr>
          <w:p>
            <w:pPr>
              <w:spacing w:after="0"/>
            </w:pPr>
            <w:r/>
            <w:r>
              <w:rPr>
                <w:sz w:val="19"/>
              </w:rPr>
              <w:t>Foundation Models</w:t>
            </w:r>
          </w:p>
        </w:tc>
        <w:tc>
          <w:tcPr>
            <w:tcW w:type="dxa" w:w="2340"/>
          </w:tcPr>
          <w:p>
            <w:pPr>
              <w:spacing w:after="0"/>
            </w:pPr>
            <w:r/>
            <w:r>
              <w:rPr>
                <w:sz w:val="19"/>
              </w:rPr>
              <w:t>106.50</w:t>
            </w:r>
          </w:p>
        </w:tc>
        <w:tc>
          <w:tcPr>
            <w:tcW w:type="dxa" w:w="2340"/>
          </w:tcPr>
          <w:p>
            <w:pPr>
              <w:spacing w:after="0"/>
            </w:pPr>
            <w:r/>
            <w:r>
              <w:rPr>
                <w:sz w:val="19"/>
              </w:rPr>
              <w:t>10.29%</w:t>
            </w:r>
          </w:p>
        </w:tc>
        <w:tc>
          <w:tcPr>
            <w:tcW w:type="dxa" w:w="2340"/>
          </w:tcPr>
          <w:p>
            <w:pPr>
              <w:spacing w:after="0"/>
            </w:pPr>
            <w:r/>
            <w:r>
              <w:rPr>
                <w:sz w:val="19"/>
              </w:rPr>
              <w:t>High</w:t>
            </w:r>
          </w:p>
        </w:tc>
      </w:tr>
      <w:tr>
        <w:tc>
          <w:tcPr>
            <w:tcW w:type="dxa" w:w="2340"/>
            <w:shd w:val="clear" w:color="auto" w:fill="EDF1F5"/>
          </w:tcPr>
          <w:p>
            <w:pPr>
              <w:spacing w:after="0"/>
            </w:pPr>
            <w:r/>
            <w:r>
              <w:rPr>
                <w:sz w:val="19"/>
              </w:rPr>
              <w:t>LLM Wrappers</w:t>
            </w:r>
          </w:p>
        </w:tc>
        <w:tc>
          <w:tcPr>
            <w:tcW w:type="dxa" w:w="2340"/>
            <w:shd w:val="clear" w:color="auto" w:fill="EDF1F5"/>
          </w:tcPr>
          <w:p>
            <w:pPr>
              <w:spacing w:after="0"/>
            </w:pPr>
            <w:r/>
            <w:r>
              <w:rPr>
                <w:sz w:val="19"/>
              </w:rPr>
              <w:t>36</w:t>
            </w:r>
          </w:p>
        </w:tc>
        <w:tc>
          <w:tcPr>
            <w:tcW w:type="dxa" w:w="2340"/>
            <w:shd w:val="clear" w:color="auto" w:fill="EDF1F5"/>
          </w:tcPr>
          <w:p>
            <w:pPr>
              <w:spacing w:after="0"/>
            </w:pPr>
            <w:r/>
            <w:r>
              <w:rPr>
                <w:sz w:val="19"/>
              </w:rPr>
              <w:t>3.48%</w:t>
            </w:r>
          </w:p>
        </w:tc>
        <w:tc>
          <w:tcPr>
            <w:tcW w:type="dxa" w:w="2340"/>
            <w:shd w:val="clear" w:color="auto" w:fill="EDF1F5"/>
          </w:tcPr>
          <w:p>
            <w:pPr>
              <w:spacing w:after="0"/>
            </w:pPr>
            <w:r/>
            <w:r>
              <w:rPr>
                <w:sz w:val="19"/>
              </w:rPr>
              <w:t>High</w:t>
            </w:r>
          </w:p>
        </w:tc>
      </w:tr>
    </w:tbl>
    <w:p>
      <w:pPr>
        <w:spacing w:after="80"/>
      </w:pPr>
      <w:r>
        <w:rPr>
          <w:sz w:val="4"/>
        </w:rPr>
      </w:r>
    </w:p>
    <w:p>
      <w:pPr>
        <w:keepNext/>
        <w:spacing w:before="200" w:after="40"/>
      </w:pPr>
      <w:r>
        <w:rPr>
          <w:b/>
          <w:color w:val="2C3E50"/>
          <w:sz w:val="20"/>
        </w:rPr>
        <w:t>Table 3.1: Cloud vs Foundation Payoff Matrix (also in Section 4)</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P1_Strategy (Cloud Providers)</w:t>
            </w:r>
          </w:p>
        </w:tc>
        <w:tc>
          <w:tcPr>
            <w:tcW w:type="dxa" w:w="3120"/>
            <w:tblHeader w:val="true"/>
            <w:shd w:val="clear" w:color="auto" w:fill="2C3E50"/>
          </w:tcPr>
          <w:p>
            <w:pPr>
              <w:jc w:val="center"/>
            </w:pPr>
            <w:r/>
            <w:r>
              <w:rPr>
                <w:b/>
                <w:color w:val="FFFFFF"/>
                <w:sz w:val="20"/>
              </w:rPr>
              <w:t>P2: Collaborate API (P1, P2)</w:t>
            </w:r>
          </w:p>
        </w:tc>
        <w:tc>
          <w:tcPr>
            <w:tcW w:type="dxa" w:w="3120"/>
            <w:tblHeader w:val="true"/>
            <w:shd w:val="clear" w:color="auto" w:fill="2C3E50"/>
          </w:tcPr>
          <w:p>
            <w:pPr>
              <w:jc w:val="center"/>
            </w:pPr>
            <w:r/>
            <w:r>
              <w:rPr>
                <w:b/>
                <w:color w:val="FFFFFF"/>
                <w:sz w:val="20"/>
              </w:rPr>
              <w:t>P2: Exclusive Model (P1, P2)</w:t>
            </w:r>
          </w:p>
        </w:tc>
      </w:tr>
      <w:tr>
        <w:tc>
          <w:tcPr>
            <w:tcW w:type="dxa" w:w="3120"/>
          </w:tcPr>
          <w:p>
            <w:pPr>
              <w:spacing w:after="0"/>
            </w:pPr>
            <w:r/>
            <w:r>
              <w:rPr>
                <w:sz w:val="19"/>
              </w:rPr>
              <w:t>Interoperable Stack</w:t>
            </w:r>
          </w:p>
        </w:tc>
        <w:tc>
          <w:tcPr>
            <w:tcW w:type="dxa" w:w="3120"/>
          </w:tcPr>
          <w:p>
            <w:pPr>
              <w:spacing w:after="0"/>
            </w:pPr>
            <w:r/>
            <w:r>
              <w:rPr>
                <w:sz w:val="19"/>
              </w:rPr>
              <w:t>(523.1, 133.6)</w:t>
            </w:r>
          </w:p>
        </w:tc>
        <w:tc>
          <w:tcPr>
            <w:tcW w:type="dxa" w:w="3120"/>
          </w:tcPr>
          <w:p>
            <w:pPr>
              <w:spacing w:after="0"/>
            </w:pPr>
            <w:r/>
            <w:r>
              <w:rPr>
                <w:sz w:val="19"/>
              </w:rPr>
              <w:t>(459.0, 145.1)</w:t>
            </w:r>
          </w:p>
        </w:tc>
      </w:tr>
      <w:tr>
        <w:tc>
          <w:tcPr>
            <w:tcW w:type="dxa" w:w="3120"/>
            <w:shd w:val="clear" w:color="auto" w:fill="EDF1F5"/>
          </w:tcPr>
          <w:p>
            <w:pPr>
              <w:spacing w:after="0"/>
            </w:pPr>
            <w:r/>
            <w:r>
              <w:rPr>
                <w:sz w:val="19"/>
              </w:rPr>
              <w:t>Proprietary Stack</w:t>
            </w:r>
          </w:p>
        </w:tc>
        <w:tc>
          <w:tcPr>
            <w:tcW w:type="dxa" w:w="3120"/>
            <w:shd w:val="clear" w:color="auto" w:fill="EDF1F5"/>
          </w:tcPr>
          <w:p>
            <w:pPr>
              <w:spacing w:after="0"/>
            </w:pPr>
            <w:r/>
            <w:r>
              <w:rPr>
                <w:sz w:val="19"/>
              </w:rPr>
              <w:t>(646.5, 98.9)</w:t>
            </w:r>
          </w:p>
        </w:tc>
        <w:tc>
          <w:tcPr>
            <w:tcW w:type="dxa" w:w="3120"/>
            <w:shd w:val="clear" w:color="auto" w:fill="EDF1F5"/>
          </w:tcPr>
          <w:p>
            <w:pPr>
              <w:spacing w:after="0"/>
            </w:pPr>
            <w:r/>
            <w:r>
              <w:rPr>
                <w:sz w:val="19"/>
              </w:rPr>
              <w:t>(417.0, 106.5)</w:t>
            </w:r>
          </w:p>
        </w:tc>
      </w:tr>
    </w:tbl>
    <w:p>
      <w:pPr>
        <w:spacing w:after="80"/>
      </w:pPr>
      <w:r>
        <w:rPr>
          <w:sz w:val="4"/>
        </w:rPr>
      </w:r>
    </w:p>
    <w:p>
      <w:pPr>
        <w:keepNext/>
        <w:spacing w:before="200" w:after="40"/>
      </w:pPr>
      <w:r>
        <w:rPr>
          <w:b/>
          <w:color w:val="2C3E50"/>
          <w:sz w:val="20"/>
        </w:rPr>
        <w:t>Table 3.2: Hardware vs Cloud Payoff Matrix (also in Section 4)</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P1_Strategy (Hardware)</w:t>
            </w:r>
          </w:p>
        </w:tc>
        <w:tc>
          <w:tcPr>
            <w:tcW w:type="dxa" w:w="3120"/>
            <w:tblHeader w:val="true"/>
            <w:shd w:val="clear" w:color="auto" w:fill="2C3E50"/>
          </w:tcPr>
          <w:p>
            <w:pPr>
              <w:jc w:val="center"/>
            </w:pPr>
            <w:r/>
            <w:r>
              <w:rPr>
                <w:b/>
                <w:color w:val="FFFFFF"/>
                <w:sz w:val="20"/>
              </w:rPr>
              <w:t>P2: Interoperable Stack (P1, P2)</w:t>
            </w:r>
          </w:p>
        </w:tc>
        <w:tc>
          <w:tcPr>
            <w:tcW w:type="dxa" w:w="3120"/>
            <w:tblHeader w:val="true"/>
            <w:shd w:val="clear" w:color="auto" w:fill="2C3E50"/>
          </w:tcPr>
          <w:p>
            <w:pPr>
              <w:jc w:val="center"/>
            </w:pPr>
            <w:r/>
            <w:r>
              <w:rPr>
                <w:b/>
                <w:color w:val="FFFFFF"/>
                <w:sz w:val="20"/>
              </w:rPr>
              <w:t>P2: Proprietary Stack (P1, P2)</w:t>
            </w:r>
          </w:p>
        </w:tc>
      </w:tr>
      <w:tr>
        <w:tc>
          <w:tcPr>
            <w:tcW w:type="dxa" w:w="3120"/>
          </w:tcPr>
          <w:p>
            <w:pPr>
              <w:spacing w:after="0"/>
            </w:pPr>
            <w:r/>
            <w:r>
              <w:rPr>
                <w:sz w:val="19"/>
              </w:rPr>
              <w:t>Open Access</w:t>
            </w:r>
          </w:p>
        </w:tc>
        <w:tc>
          <w:tcPr>
            <w:tcW w:type="dxa" w:w="3120"/>
          </w:tcPr>
          <w:p>
            <w:pPr>
              <w:spacing w:after="0"/>
            </w:pPr>
            <w:r/>
            <w:r>
              <w:rPr>
                <w:sz w:val="19"/>
              </w:rPr>
              <w:t>(559.2, 491.0)</w:t>
            </w:r>
          </w:p>
        </w:tc>
        <w:tc>
          <w:tcPr>
            <w:tcW w:type="dxa" w:w="3120"/>
          </w:tcPr>
          <w:p>
            <w:pPr>
              <w:spacing w:after="0"/>
            </w:pPr>
            <w:r/>
            <w:r>
              <w:rPr>
                <w:sz w:val="19"/>
              </w:rPr>
              <w:t>(487.9, 606.8)</w:t>
            </w:r>
          </w:p>
        </w:tc>
      </w:tr>
      <w:tr>
        <w:tc>
          <w:tcPr>
            <w:tcW w:type="dxa" w:w="3120"/>
            <w:shd w:val="clear" w:color="auto" w:fill="EDF1F5"/>
          </w:tcPr>
          <w:p>
            <w:pPr>
              <w:spacing w:after="0"/>
            </w:pPr>
            <w:r/>
            <w:r>
              <w:rPr>
                <w:sz w:val="19"/>
              </w:rPr>
              <w:t>Walled Garden</w:t>
            </w:r>
          </w:p>
        </w:tc>
        <w:tc>
          <w:tcPr>
            <w:tcW w:type="dxa" w:w="3120"/>
            <w:shd w:val="clear" w:color="auto" w:fill="EDF1F5"/>
          </w:tcPr>
          <w:p>
            <w:pPr>
              <w:spacing w:after="0"/>
            </w:pPr>
            <w:r/>
            <w:r>
              <w:rPr>
                <w:sz w:val="19"/>
              </w:rPr>
              <w:t>(722.5, 430.8)</w:t>
            </w:r>
          </w:p>
        </w:tc>
        <w:tc>
          <w:tcPr>
            <w:tcW w:type="dxa" w:w="3120"/>
            <w:shd w:val="clear" w:color="auto" w:fill="EDF1F5"/>
          </w:tcPr>
          <w:p>
            <w:pPr>
              <w:spacing w:after="0"/>
            </w:pPr>
            <w:r/>
            <w:r>
              <w:rPr>
                <w:sz w:val="19"/>
              </w:rPr>
              <w:t>(475.0, 417.0)</w:t>
            </w:r>
          </w:p>
        </w:tc>
      </w:tr>
    </w:tbl>
    <w:p>
      <w:pPr>
        <w:spacing w:after="80"/>
      </w:pPr>
      <w:r>
        <w:rPr>
          <w:sz w:val="4"/>
        </w:rPr>
      </w:r>
    </w:p>
    <w:p>
      <w:pPr>
        <w:keepNext/>
        <w:spacing w:before="200" w:after="40"/>
      </w:pPr>
      <w:r>
        <w:rPr>
          <w:b/>
          <w:color w:val="2C3E50"/>
          <w:sz w:val="20"/>
        </w:rPr>
        <w:t>Table 3.4: Core-Game Equilibrium, Coordination &amp; DWL (also in Section 4)</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Core Game Nash Strategies (P1, P2)</w:t>
            </w:r>
          </w:p>
        </w:tc>
        <w:tc>
          <w:tcPr>
            <w:tcW w:type="dxa" w:w="4680"/>
          </w:tcPr>
          <w:p>
            <w:pPr>
              <w:spacing w:after="0"/>
            </w:pPr>
            <w:r/>
            <w:r>
              <w:rPr>
                <w:sz w:val="19"/>
              </w:rPr>
              <w:t>(Open Access, Proprietary Stack)</w:t>
            </w:r>
          </w:p>
        </w:tc>
      </w:tr>
      <w:tr>
        <w:tc>
          <w:tcPr>
            <w:tcW w:type="dxa" w:w="4680"/>
            <w:shd w:val="clear" w:color="auto" w:fill="EDF1F5"/>
          </w:tcPr>
          <w:p>
            <w:pPr>
              <w:spacing w:after="0"/>
            </w:pPr>
            <w:r/>
            <w:r>
              <w:rPr>
                <w:sz w:val="19"/>
              </w:rPr>
              <w:t>Core Game Nash Payoffs ($B, P1, P2)</w:t>
            </w:r>
          </w:p>
        </w:tc>
        <w:tc>
          <w:tcPr>
            <w:tcW w:type="dxa" w:w="4680"/>
            <w:shd w:val="clear" w:color="auto" w:fill="EDF1F5"/>
          </w:tcPr>
          <w:p>
            <w:pPr>
              <w:spacing w:after="0"/>
            </w:pPr>
            <w:r/>
            <w:r>
              <w:rPr>
                <w:sz w:val="19"/>
              </w:rPr>
              <w:t>(487.94, 606.82)</w:t>
            </w:r>
          </w:p>
        </w:tc>
      </w:tr>
      <w:tr>
        <w:tc>
          <w:tcPr>
            <w:tcW w:type="dxa" w:w="4680"/>
          </w:tcPr>
          <w:p>
            <w:pPr>
              <w:spacing w:after="0"/>
            </w:pPr>
            <w:r/>
            <w:r>
              <w:rPr>
                <w:sz w:val="19"/>
              </w:rPr>
              <w:t>Core Game Nash Total Welfare ($B)</w:t>
            </w:r>
          </w:p>
        </w:tc>
        <w:tc>
          <w:tcPr>
            <w:tcW w:type="dxa" w:w="4680"/>
          </w:tcPr>
          <w:p>
            <w:pPr>
              <w:spacing w:after="0"/>
            </w:pPr>
            <w:r/>
            <w:r>
              <w:rPr>
                <w:sz w:val="19"/>
              </w:rPr>
              <w:t>1094.76</w:t>
            </w:r>
          </w:p>
        </w:tc>
      </w:tr>
      <w:tr>
        <w:tc>
          <w:tcPr>
            <w:tcW w:type="dxa" w:w="4680"/>
            <w:shd w:val="clear" w:color="auto" w:fill="EDF1F5"/>
          </w:tcPr>
          <w:p>
            <w:pPr>
              <w:spacing w:after="0"/>
            </w:pPr>
            <w:r/>
            <w:r>
              <w:rPr>
                <w:sz w:val="19"/>
              </w:rPr>
              <w:t>Core Game Pareto Strategies (P1, P2)</w:t>
            </w:r>
          </w:p>
        </w:tc>
        <w:tc>
          <w:tcPr>
            <w:tcW w:type="dxa" w:w="4680"/>
            <w:shd w:val="clear" w:color="auto" w:fill="EDF1F5"/>
          </w:tcPr>
          <w:p>
            <w:pPr>
              <w:spacing w:after="0"/>
            </w:pPr>
            <w:r/>
            <w:r>
              <w:rPr>
                <w:sz w:val="19"/>
              </w:rPr>
              <w:t>(Walled Garden, Interoperable Stack)</w:t>
            </w:r>
          </w:p>
        </w:tc>
      </w:tr>
      <w:tr>
        <w:tc>
          <w:tcPr>
            <w:tcW w:type="dxa" w:w="4680"/>
          </w:tcPr>
          <w:p>
            <w:pPr>
              <w:spacing w:after="0"/>
            </w:pPr>
            <w:r/>
            <w:r>
              <w:rPr>
                <w:sz w:val="19"/>
              </w:rPr>
              <w:t>Core Game Pareto Total Welfare ($B)</w:t>
            </w:r>
          </w:p>
        </w:tc>
        <w:tc>
          <w:tcPr>
            <w:tcW w:type="dxa" w:w="4680"/>
          </w:tcPr>
          <w:p>
            <w:pPr>
              <w:spacing w:after="0"/>
            </w:pPr>
            <w:r/>
            <w:r>
              <w:rPr>
                <w:sz w:val="19"/>
              </w:rPr>
              <w:t>1153.35</w:t>
            </w:r>
          </w:p>
        </w:tc>
      </w:tr>
      <w:tr>
        <w:tc>
          <w:tcPr>
            <w:tcW w:type="dxa" w:w="4680"/>
            <w:shd w:val="clear" w:color="auto" w:fill="EDF1F5"/>
          </w:tcPr>
          <w:p>
            <w:pPr>
              <w:spacing w:after="0"/>
            </w:pPr>
            <w:r/>
            <w:r>
              <w:rPr>
                <w:sz w:val="19"/>
              </w:rPr>
              <w:t>Core Game Efficiency Ratio (%)</w:t>
            </w:r>
          </w:p>
        </w:tc>
        <w:tc>
          <w:tcPr>
            <w:tcW w:type="dxa" w:w="4680"/>
            <w:shd w:val="clear" w:color="auto" w:fill="EDF1F5"/>
          </w:tcPr>
          <w:p>
            <w:pPr>
              <w:spacing w:after="0"/>
            </w:pPr>
            <w:r/>
            <w:r>
              <w:rPr>
                <w:sz w:val="19"/>
              </w:rPr>
              <w:t>94.92</w:t>
            </w:r>
          </w:p>
        </w:tc>
      </w:tr>
      <w:tr>
        <w:tc>
          <w:tcPr>
            <w:tcW w:type="dxa" w:w="4680"/>
          </w:tcPr>
          <w:p>
            <w:pPr>
              <w:spacing w:after="0"/>
            </w:pPr>
            <w:r/>
            <w:r>
              <w:rPr>
                <w:sz w:val="19"/>
              </w:rPr>
              <w:t>Core Game Deadweight Loss ($B)</w:t>
            </w:r>
          </w:p>
        </w:tc>
        <w:tc>
          <w:tcPr>
            <w:tcW w:type="dxa" w:w="4680"/>
          </w:tcPr>
          <w:p>
            <w:pPr>
              <w:spacing w:after="0"/>
            </w:pPr>
            <w:r/>
            <w:r>
              <w:rPr>
                <w:sz w:val="19"/>
              </w:rPr>
              <w:t>58.59</w:t>
            </w:r>
          </w:p>
        </w:tc>
      </w:tr>
      <w:tr>
        <w:tc>
          <w:tcPr>
            <w:tcW w:type="dxa" w:w="4680"/>
            <w:shd w:val="clear" w:color="auto" w:fill="EDF1F5"/>
          </w:tcPr>
          <w:p>
            <w:pPr>
              <w:spacing w:after="0"/>
            </w:pPr>
            <w:r/>
            <w:r>
              <w:rPr>
                <w:sz w:val="19"/>
              </w:rPr>
              <w:t>Aggregate Deadweight Loss ($B)</w:t>
            </w:r>
          </w:p>
        </w:tc>
        <w:tc>
          <w:tcPr>
            <w:tcW w:type="dxa" w:w="4680"/>
            <w:shd w:val="clear" w:color="auto" w:fill="EDF1F5"/>
          </w:tcPr>
          <w:p>
            <w:pPr>
              <w:spacing w:after="0"/>
            </w:pPr>
            <w:r/>
            <w:r>
              <w:rPr>
                <w:sz w:val="19"/>
              </w:rPr>
              <w:t>416.77</w:t>
            </w:r>
          </w:p>
        </w:tc>
      </w:tr>
      <w:tr>
        <w:tc>
          <w:tcPr>
            <w:tcW w:type="dxa" w:w="4680"/>
          </w:tcPr>
          <w:p>
            <w:pPr>
              <w:spacing w:after="0"/>
            </w:pPr>
            <w:r/>
            <w:r>
              <w:rPr>
                <w:sz w:val="19"/>
              </w:rPr>
              <w:t>Aggregate Efficiency (%)</w:t>
            </w:r>
          </w:p>
        </w:tc>
        <w:tc>
          <w:tcPr>
            <w:tcW w:type="dxa" w:w="4680"/>
          </w:tcPr>
          <w:p>
            <w:pPr>
              <w:spacing w:after="0"/>
            </w:pPr>
            <w:r/>
            <w:r>
              <w:rPr>
                <w:sz w:val="19"/>
              </w:rPr>
              <w:t>71.28</w:t>
            </w:r>
          </w:p>
        </w:tc>
      </w:tr>
      <w:tr>
        <w:tc>
          <w:tcPr>
            <w:tcW w:type="dxa" w:w="4680"/>
            <w:shd w:val="clear" w:color="auto" w:fill="EDF1F5"/>
          </w:tcPr>
          <w:p>
            <w:pPr>
              <w:spacing w:after="0"/>
            </w:pPr>
            <w:r/>
            <w:r>
              <w:rPr>
                <w:sz w:val="19"/>
              </w:rPr>
              <w:t>Core Game Coordination Failure?</w:t>
            </w:r>
          </w:p>
        </w:tc>
        <w:tc>
          <w:tcPr>
            <w:tcW w:type="dxa" w:w="4680"/>
            <w:shd w:val="clear" w:color="auto" w:fill="EDF1F5"/>
          </w:tcPr>
          <w:p>
            <w:pPr>
              <w:spacing w:after="0"/>
            </w:pPr>
            <w:r/>
            <w:r>
              <w:rPr>
                <w:sz w:val="19"/>
              </w:rPr>
              <w:t>True</w:t>
            </w:r>
          </w:p>
        </w:tc>
      </w:tr>
      <w:tr>
        <w:tc>
          <w:tcPr>
            <w:tcW w:type="dxa" w:w="4680"/>
          </w:tcPr>
          <w:p>
            <w:pPr>
              <w:spacing w:after="0"/>
            </w:pPr>
            <w:r/>
            <w:r>
              <w:rPr>
                <w:sz w:val="19"/>
              </w:rPr>
              <w:t>Core Game Failure Severity</w:t>
            </w:r>
          </w:p>
        </w:tc>
        <w:tc>
          <w:tcPr>
            <w:tcW w:type="dxa" w:w="4680"/>
          </w:tcPr>
          <w:p>
            <w:pPr>
              <w:spacing w:after="0"/>
            </w:pPr>
            <w:r/>
            <w:r>
              <w:rPr>
                <w:sz w:val="19"/>
              </w:rPr>
              <w:t>Moderate</w:t>
            </w:r>
          </w:p>
        </w:tc>
      </w:tr>
      <w:tr>
        <w:tc>
          <w:tcPr>
            <w:tcW w:type="dxa" w:w="4680"/>
            <w:shd w:val="clear" w:color="auto" w:fill="EDF1F5"/>
          </w:tcPr>
          <w:p>
            <w:pPr>
              <w:spacing w:after="0"/>
            </w:pPr>
            <w:r/>
            <w:r>
              <w:rPr>
                <w:sz w:val="19"/>
              </w:rPr>
              <w:t>Coordination Failures DWL Source ($B)</w:t>
            </w:r>
          </w:p>
        </w:tc>
        <w:tc>
          <w:tcPr>
            <w:tcW w:type="dxa" w:w="4680"/>
            <w:shd w:val="clear" w:color="auto" w:fill="EDF1F5"/>
          </w:tcPr>
          <w:p>
            <w:pPr>
              <w:spacing w:after="0"/>
            </w:pPr>
            <w:r/>
            <w:r>
              <w:rPr>
                <w:sz w:val="19"/>
              </w:rPr>
              <w:t>60.01</w:t>
            </w:r>
          </w:p>
        </w:tc>
      </w:tr>
      <w:tr>
        <w:tc>
          <w:tcPr>
            <w:tcW w:type="dxa" w:w="4680"/>
          </w:tcPr>
          <w:p>
            <w:pPr>
              <w:spacing w:after="0"/>
            </w:pPr>
            <w:r/>
            <w:r>
              <w:rPr>
                <w:sz w:val="19"/>
              </w:rPr>
              <w:t>Monopoly Pricing DWL Source ($B)</w:t>
            </w:r>
          </w:p>
        </w:tc>
        <w:tc>
          <w:tcPr>
            <w:tcW w:type="dxa" w:w="4680"/>
          </w:tcPr>
          <w:p>
            <w:pPr>
              <w:spacing w:after="0"/>
            </w:pPr>
            <w:r/>
            <w:r>
              <w:rPr>
                <w:sz w:val="19"/>
              </w:rPr>
              <w:t>35.86</w:t>
            </w:r>
          </w:p>
        </w:tc>
      </w:tr>
      <w:tr>
        <w:tc>
          <w:tcPr>
            <w:tcW w:type="dxa" w:w="4680"/>
            <w:shd w:val="clear" w:color="auto" w:fill="EDF1F5"/>
          </w:tcPr>
          <w:p>
            <w:pPr>
              <w:spacing w:after="0"/>
            </w:pPr>
            <w:r/>
            <w:r>
              <w:rPr>
                <w:sz w:val="19"/>
              </w:rPr>
              <w:t>Innovation Distortion DWL Source ($B)</w:t>
            </w:r>
          </w:p>
        </w:tc>
        <w:tc>
          <w:tcPr>
            <w:tcW w:type="dxa" w:w="4680"/>
            <w:shd w:val="clear" w:color="auto" w:fill="EDF1F5"/>
          </w:tcPr>
          <w:p>
            <w:pPr>
              <w:spacing w:after="0"/>
            </w:pPr>
            <w:r/>
            <w:r>
              <w:rPr>
                <w:sz w:val="19"/>
              </w:rPr>
              <w:t>106.97</w:t>
            </w:r>
          </w:p>
        </w:tc>
      </w:tr>
      <w:tr>
        <w:tc>
          <w:tcPr>
            <w:tcW w:type="dxa" w:w="4680"/>
          </w:tcPr>
          <w:p>
            <w:pPr>
              <w:spacing w:after="0"/>
            </w:pPr>
            <w:r/>
            <w:r>
              <w:rPr>
                <w:sz w:val="19"/>
              </w:rPr>
              <w:t>Quality Degradation DWL Source ($B)</w:t>
            </w:r>
          </w:p>
        </w:tc>
        <w:tc>
          <w:tcPr>
            <w:tcW w:type="dxa" w:w="4680"/>
          </w:tcPr>
          <w:p>
            <w:pPr>
              <w:spacing w:after="0"/>
            </w:pPr>
            <w:r/>
            <w:r>
              <w:rPr>
                <w:sz w:val="19"/>
              </w:rPr>
              <w:t>71.31</w:t>
            </w:r>
          </w:p>
        </w:tc>
      </w:tr>
      <w:tr>
        <w:tc>
          <w:tcPr>
            <w:tcW w:type="dxa" w:w="4680"/>
            <w:shd w:val="clear" w:color="auto" w:fill="EDF1F5"/>
          </w:tcPr>
          <w:p>
            <w:pPr>
              <w:spacing w:after="0"/>
            </w:pPr>
            <w:r/>
            <w:r>
              <w:rPr>
                <w:sz w:val="19"/>
              </w:rPr>
              <w:t>Switching Costs DWL Source ($B)</w:t>
            </w:r>
          </w:p>
        </w:tc>
        <w:tc>
          <w:tcPr>
            <w:tcW w:type="dxa" w:w="4680"/>
            <w:shd w:val="clear" w:color="auto" w:fill="EDF1F5"/>
          </w:tcPr>
          <w:p>
            <w:pPr>
              <w:spacing w:after="0"/>
            </w:pPr>
            <w:r/>
            <w:r>
              <w:rPr>
                <w:sz w:val="19"/>
              </w:rPr>
              <w:t>142.62</w:t>
            </w:r>
          </w:p>
        </w:tc>
      </w:tr>
    </w:tbl>
    <w:p>
      <w:pPr>
        <w:spacing w:after="80"/>
      </w:pPr>
      <w:r>
        <w:rPr>
          <w:sz w:val="4"/>
        </w:rPr>
      </w:r>
    </w:p>
    <w:p>
      <w:pPr>
        <w:keepNext/>
        <w:spacing w:before="200" w:after="40"/>
      </w:pPr>
      <w:r>
        <w:rPr>
          <w:b/>
          <w:color w:val="2C3E50"/>
          <w:sz w:val="20"/>
        </w:rPr>
        <w:t>Table 4.1: Monte Carlo &amp; Sensitivity Summary (also in Section 6)</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Parameter</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Number of Simulations</w:t>
            </w:r>
          </w:p>
        </w:tc>
        <w:tc>
          <w:tcPr>
            <w:tcW w:type="dxa" w:w="4680"/>
          </w:tcPr>
          <w:p>
            <w:pPr>
              <w:spacing w:after="0"/>
            </w:pPr>
            <w:r/>
            <w:r>
              <w:rPr>
                <w:sz w:val="19"/>
              </w:rPr>
              <w:t>100,000</w:t>
            </w:r>
          </w:p>
        </w:tc>
      </w:tr>
      <w:tr>
        <w:tc>
          <w:tcPr>
            <w:tcW w:type="dxa" w:w="4680"/>
            <w:shd w:val="clear" w:color="auto" w:fill="EDF1F5"/>
          </w:tcPr>
          <w:p>
            <w:pPr>
              <w:spacing w:after="0"/>
            </w:pPr>
            <w:r/>
            <w:r>
              <w:rPr>
                <w:sz w:val="19"/>
              </w:rPr>
              <w:t>Payoff Perturbation Std Dev</w:t>
            </w:r>
          </w:p>
        </w:tc>
        <w:tc>
          <w:tcPr>
            <w:tcW w:type="dxa" w:w="4680"/>
            <w:shd w:val="clear" w:color="auto" w:fill="EDF1F5"/>
          </w:tcPr>
          <w:p>
            <w:pPr>
              <w:spacing w:after="0"/>
            </w:pPr>
            <w:r/>
            <w:r>
              <w:rPr>
                <w:sz w:val="19"/>
              </w:rPr>
              <w:t>5.0%</w:t>
            </w:r>
          </w:p>
        </w:tc>
      </w:tr>
      <w:tr>
        <w:tc>
          <w:tcPr>
            <w:tcW w:type="dxa" w:w="4680"/>
          </w:tcPr>
          <w:p>
            <w:pPr>
              <w:spacing w:after="0"/>
            </w:pPr>
            <w:r/>
            <w:r>
              <w:rPr>
                <w:sz w:val="19"/>
              </w:rPr>
              <w:t>Confidence Level</w:t>
            </w:r>
          </w:p>
        </w:tc>
        <w:tc>
          <w:tcPr>
            <w:tcW w:type="dxa" w:w="4680"/>
          </w:tcPr>
          <w:p>
            <w:pPr>
              <w:spacing w:after="0"/>
            </w:pPr>
            <w:r/>
            <w:r>
              <w:rPr>
                <w:sz w:val="19"/>
              </w:rPr>
              <w:t>98%</w:t>
            </w:r>
          </w:p>
        </w:tc>
      </w:tr>
      <w:tr>
        <w:tc>
          <w:tcPr>
            <w:tcW w:type="dxa" w:w="4680"/>
            <w:shd w:val="clear" w:color="auto" w:fill="EDF1F5"/>
          </w:tcPr>
          <w:p>
            <w:pPr>
              <w:spacing w:after="0"/>
            </w:pPr>
            <w:r/>
            <w:r>
              <w:rPr>
                <w:sz w:val="19"/>
              </w:rPr>
              <w:t>Mean Simulated DWL ($B)</w:t>
            </w:r>
          </w:p>
        </w:tc>
        <w:tc>
          <w:tcPr>
            <w:tcW w:type="dxa" w:w="4680"/>
            <w:shd w:val="clear" w:color="auto" w:fill="EDF1F5"/>
          </w:tcPr>
          <w:p>
            <w:pPr>
              <w:spacing w:after="0"/>
            </w:pPr>
            <w:r/>
            <w:r>
              <w:rPr>
                <w:sz w:val="19"/>
              </w:rPr>
              <w:t>60.09</w:t>
            </w:r>
          </w:p>
        </w:tc>
      </w:tr>
      <w:tr>
        <w:tc>
          <w:tcPr>
            <w:tcW w:type="dxa" w:w="4680"/>
          </w:tcPr>
          <w:p>
            <w:pPr>
              <w:spacing w:after="0"/>
            </w:pPr>
            <w:r/>
            <w:r>
              <w:rPr>
                <w:sz w:val="19"/>
              </w:rPr>
              <w:t>98% CI Lower Bound ($B)</w:t>
            </w:r>
          </w:p>
        </w:tc>
        <w:tc>
          <w:tcPr>
            <w:tcW w:type="dxa" w:w="4680"/>
          </w:tcPr>
          <w:p>
            <w:pPr>
              <w:spacing w:after="0"/>
            </w:pPr>
            <w:r/>
            <w:r>
              <w:rPr>
                <w:sz w:val="19"/>
              </w:rPr>
              <w:t>0.00</w:t>
            </w:r>
          </w:p>
        </w:tc>
      </w:tr>
      <w:tr>
        <w:tc>
          <w:tcPr>
            <w:tcW w:type="dxa" w:w="4680"/>
            <w:shd w:val="clear" w:color="auto" w:fill="EDF1F5"/>
          </w:tcPr>
          <w:p>
            <w:pPr>
              <w:spacing w:after="0"/>
            </w:pPr>
            <w:r/>
            <w:r>
              <w:rPr>
                <w:sz w:val="19"/>
              </w:rPr>
              <w:t>98% CI Upper Bound ($B)</w:t>
            </w:r>
          </w:p>
        </w:tc>
        <w:tc>
          <w:tcPr>
            <w:tcW w:type="dxa" w:w="4680"/>
            <w:shd w:val="clear" w:color="auto" w:fill="EDF1F5"/>
          </w:tcPr>
          <w:p>
            <w:pPr>
              <w:spacing w:after="0"/>
            </w:pPr>
            <w:r/>
            <w:r>
              <w:rPr>
                <w:sz w:val="19"/>
              </w:rPr>
              <w:t>269.59</w:t>
            </w:r>
          </w:p>
        </w:tc>
      </w:tr>
      <w:tr>
        <w:tc>
          <w:tcPr>
            <w:tcW w:type="dxa" w:w="4680"/>
          </w:tcPr>
          <w:p>
            <w:pPr>
              <w:spacing w:after="0"/>
            </w:pPr>
            <w:r/>
            <w:r>
              <w:rPr>
                <w:sz w:val="19"/>
              </w:rPr>
              <w:t>Standard Deviation of DWL ($B)</w:t>
            </w:r>
          </w:p>
        </w:tc>
        <w:tc>
          <w:tcPr>
            <w:tcW w:type="dxa" w:w="4680"/>
          </w:tcPr>
          <w:p>
            <w:pPr>
              <w:spacing w:after="0"/>
            </w:pPr>
            <w:r/>
            <w:r>
              <w:rPr>
                <w:sz w:val="19"/>
              </w:rPr>
              <w:t>71.80</w:t>
            </w:r>
          </w:p>
        </w:tc>
      </w:tr>
      <w:tr>
        <w:tc>
          <w:tcPr>
            <w:tcW w:type="dxa" w:w="4680"/>
            <w:shd w:val="clear" w:color="auto" w:fill="EDF1F5"/>
          </w:tcPr>
          <w:p>
            <w:pPr>
              <w:spacing w:after="0"/>
            </w:pPr>
            <w:r/>
            <w:r>
              <w:rPr>
                <w:sz w:val="19"/>
              </w:rPr>
              <w:t>Nash Equilibrium Stability (%)</w:t>
            </w:r>
          </w:p>
        </w:tc>
        <w:tc>
          <w:tcPr>
            <w:tcW w:type="dxa" w:w="4680"/>
            <w:shd w:val="clear" w:color="auto" w:fill="EDF1F5"/>
          </w:tcPr>
          <w:p>
            <w:pPr>
              <w:spacing w:after="0"/>
            </w:pPr>
            <w:r/>
            <w:r>
              <w:rPr>
                <w:sz w:val="19"/>
              </w:rPr>
              <w:t>64.7</w:t>
            </w:r>
          </w:p>
        </w:tc>
      </w:tr>
      <w:tr>
        <w:tc>
          <w:tcPr>
            <w:tcW w:type="dxa" w:w="4680"/>
          </w:tcPr>
          <w:p>
            <w:pPr>
              <w:spacing w:after="0"/>
            </w:pPr>
            <w:r/>
            <w:r>
              <w:rPr>
                <w:sz w:val="19"/>
              </w:rPr>
              <w:t>Parameter Analyzed</w:t>
            </w:r>
          </w:p>
        </w:tc>
        <w:tc>
          <w:tcPr>
            <w:tcW w:type="dxa" w:w="4680"/>
          </w:tcPr>
          <w:p>
            <w:pPr>
              <w:spacing w:after="0"/>
            </w:pPr>
            <w:r/>
            <w:r>
              <w:rPr>
                <w:sz w:val="19"/>
              </w:rPr>
              <w:t>Market DWL Percentage</w:t>
            </w:r>
          </w:p>
        </w:tc>
      </w:tr>
      <w:tr>
        <w:tc>
          <w:tcPr>
            <w:tcW w:type="dxa" w:w="4680"/>
            <w:shd w:val="clear" w:color="auto" w:fill="EDF1F5"/>
          </w:tcPr>
          <w:p>
            <w:pPr>
              <w:spacing w:after="0"/>
            </w:pPr>
            <w:r/>
            <w:r>
              <w:rPr>
                <w:sz w:val="19"/>
              </w:rPr>
              <w:t>Base Value</w:t>
            </w:r>
          </w:p>
        </w:tc>
        <w:tc>
          <w:tcPr>
            <w:tcW w:type="dxa" w:w="4680"/>
            <w:shd w:val="clear" w:color="auto" w:fill="EDF1F5"/>
          </w:tcPr>
          <w:p>
            <w:pPr>
              <w:spacing w:after="0"/>
            </w:pPr>
            <w:r/>
            <w:r>
              <w:rPr>
                <w:sz w:val="19"/>
              </w:rPr>
              <w:t>28.72%</w:t>
            </w:r>
          </w:p>
        </w:tc>
      </w:tr>
      <w:tr>
        <w:tc>
          <w:tcPr>
            <w:tcW w:type="dxa" w:w="4680"/>
          </w:tcPr>
          <w:p>
            <w:pPr>
              <w:spacing w:after="0"/>
            </w:pPr>
            <w:r/>
            <w:r>
              <w:rPr>
                <w:sz w:val="19"/>
              </w:rPr>
              <w:t>Range Tested (%)</w:t>
            </w:r>
          </w:p>
        </w:tc>
        <w:tc>
          <w:tcPr>
            <w:tcW w:type="dxa" w:w="4680"/>
          </w:tcPr>
          <w:p>
            <w:pPr>
              <w:spacing w:after="0"/>
            </w:pPr>
            <w:r/>
            <w:r>
              <w:rPr>
                <w:sz w:val="19"/>
              </w:rPr>
              <w:t>±20%</w:t>
            </w:r>
          </w:p>
        </w:tc>
      </w:tr>
      <w:tr>
        <w:tc>
          <w:tcPr>
            <w:tcW w:type="dxa" w:w="4680"/>
            <w:shd w:val="clear" w:color="auto" w:fill="EDF1F5"/>
          </w:tcPr>
          <w:p>
            <w:pPr>
              <w:spacing w:after="0"/>
            </w:pPr>
            <w:r/>
            <w:r>
              <w:rPr>
                <w:sz w:val="19"/>
              </w:rPr>
              <w:t>Elasticity</w:t>
            </w:r>
          </w:p>
        </w:tc>
        <w:tc>
          <w:tcPr>
            <w:tcW w:type="dxa" w:w="4680"/>
            <w:shd w:val="clear" w:color="auto" w:fill="EDF1F5"/>
          </w:tcPr>
          <w:p>
            <w:pPr>
              <w:spacing w:after="0"/>
            </w:pPr>
            <w:r/>
            <w:r>
              <w:rPr>
                <w:sz w:val="19"/>
              </w:rPr>
              <w:t>1.41</w:t>
            </w:r>
          </w:p>
        </w:tc>
      </w:tr>
    </w:tbl>
    <w:p>
      <w:pPr>
        <w:spacing w:after="80"/>
      </w:pPr>
      <w:r>
        <w:rPr>
          <w:sz w:val="4"/>
        </w:rPr>
      </w:r>
    </w:p>
    <w:p>
      <w:pPr>
        <w:keepNext/>
        <w:spacing w:before="200" w:after="40"/>
      </w:pPr>
      <w:r>
        <w:rPr>
          <w:b/>
          <w:color w:val="2C3E50"/>
          <w:sz w:val="20"/>
        </w:rPr>
        <w:t>Table 5.3: Welfare Decomposition (also in Section 5)</w:t>
      </w:r>
    </w:p>
    <w:tbl>
      <w:tblPr>
        <w:tblStyle w:val="TableGrid"/>
        <w:tblW w:type="auto" w:w="0"/>
        <w:jc w:val="center"/>
        <w:tblLook w:firstColumn="1" w:firstRow="1" w:lastColumn="0" w:lastRow="0" w:noHBand="0" w:noVBand="1" w:val="04A0"/>
      </w:tblPr>
      <w:tblGrid>
        <w:gridCol w:w="3120"/>
        <w:gridCol w:w="3120"/>
        <w:gridCol w:w="3120"/>
      </w:tblGrid>
      <w:tr>
        <w:tc>
          <w:tcPr>
            <w:tcW w:type="dxa" w:w="3120"/>
            <w:tblHeader w:val="true"/>
            <w:shd w:val="clear" w:color="auto" w:fill="2C3E50"/>
          </w:tcPr>
          <w:p>
            <w:pPr>
              <w:jc w:val="center"/>
            </w:pPr>
            <w:r/>
            <w:r>
              <w:rPr>
                <w:b/>
                <w:color w:val="FFFFFF"/>
                <w:sz w:val="20"/>
              </w:rPr>
              <w:t>Source of Deadweight Loss</w:t>
            </w:r>
          </w:p>
        </w:tc>
        <w:tc>
          <w:tcPr>
            <w:tcW w:type="dxa" w:w="3120"/>
            <w:tblHeader w:val="true"/>
            <w:shd w:val="clear" w:color="auto" w:fill="2C3E50"/>
          </w:tcPr>
          <w:p>
            <w:pPr>
              <w:jc w:val="center"/>
            </w:pPr>
            <w:r/>
            <w:r>
              <w:rPr>
                <w:b/>
                <w:color w:val="FFFFFF"/>
                <w:sz w:val="20"/>
              </w:rPr>
              <w:t>Estimated Contribution ($B)</w:t>
            </w:r>
          </w:p>
        </w:tc>
        <w:tc>
          <w:tcPr>
            <w:tcW w:type="dxa" w:w="3120"/>
            <w:tblHeader w:val="true"/>
            <w:shd w:val="clear" w:color="auto" w:fill="2C3E50"/>
          </w:tcPr>
          <w:p>
            <w:pPr>
              <w:jc w:val="center"/>
            </w:pPr>
            <w:r/>
            <w:r>
              <w:rPr>
                <w:b/>
                <w:color w:val="FFFFFF"/>
                <w:sz w:val="20"/>
              </w:rPr>
              <w:t>Percentage of Total DWL (%)</w:t>
            </w:r>
          </w:p>
        </w:tc>
      </w:tr>
      <w:tr>
        <w:tc>
          <w:tcPr>
            <w:tcW w:type="dxa" w:w="3120"/>
          </w:tcPr>
          <w:p>
            <w:pPr>
              <w:spacing w:after="0"/>
            </w:pPr>
            <w:r/>
            <w:r>
              <w:rPr>
                <w:sz w:val="19"/>
              </w:rPr>
              <w:t>Coordination Failures</w:t>
            </w:r>
          </w:p>
        </w:tc>
        <w:tc>
          <w:tcPr>
            <w:tcW w:type="dxa" w:w="3120"/>
          </w:tcPr>
          <w:p>
            <w:pPr>
              <w:spacing w:after="0"/>
            </w:pPr>
            <w:r/>
            <w:r>
              <w:rPr>
                <w:sz w:val="19"/>
              </w:rPr>
              <w:t>60.01</w:t>
            </w:r>
          </w:p>
        </w:tc>
        <w:tc>
          <w:tcPr>
            <w:tcW w:type="dxa" w:w="3120"/>
          </w:tcPr>
          <w:p>
            <w:pPr>
              <w:spacing w:after="0"/>
            </w:pPr>
            <w:r/>
            <w:r>
              <w:rPr>
                <w:sz w:val="19"/>
              </w:rPr>
              <w:t>14.40</w:t>
            </w:r>
          </w:p>
        </w:tc>
      </w:tr>
      <w:tr>
        <w:tc>
          <w:tcPr>
            <w:tcW w:type="dxa" w:w="3120"/>
            <w:shd w:val="clear" w:color="auto" w:fill="EDF1F5"/>
          </w:tcPr>
          <w:p>
            <w:pPr>
              <w:spacing w:after="0"/>
            </w:pPr>
            <w:r/>
            <w:r>
              <w:rPr>
                <w:sz w:val="19"/>
              </w:rPr>
              <w:t>Monopoly Pricing</w:t>
            </w:r>
          </w:p>
        </w:tc>
        <w:tc>
          <w:tcPr>
            <w:tcW w:type="dxa" w:w="3120"/>
            <w:shd w:val="clear" w:color="auto" w:fill="EDF1F5"/>
          </w:tcPr>
          <w:p>
            <w:pPr>
              <w:spacing w:after="0"/>
            </w:pPr>
            <w:r/>
            <w:r>
              <w:rPr>
                <w:sz w:val="19"/>
              </w:rPr>
              <w:t>35.86</w:t>
            </w:r>
          </w:p>
        </w:tc>
        <w:tc>
          <w:tcPr>
            <w:tcW w:type="dxa" w:w="3120"/>
            <w:shd w:val="clear" w:color="auto" w:fill="EDF1F5"/>
          </w:tcPr>
          <w:p>
            <w:pPr>
              <w:spacing w:after="0"/>
            </w:pPr>
            <w:r/>
            <w:r>
              <w:rPr>
                <w:sz w:val="19"/>
              </w:rPr>
              <w:t>8.60</w:t>
            </w:r>
          </w:p>
        </w:tc>
      </w:tr>
      <w:tr>
        <w:tc>
          <w:tcPr>
            <w:tcW w:type="dxa" w:w="3120"/>
          </w:tcPr>
          <w:p>
            <w:pPr>
              <w:spacing w:after="0"/>
            </w:pPr>
            <w:r/>
            <w:r>
              <w:rPr>
                <w:sz w:val="19"/>
              </w:rPr>
              <w:t>Innovation Distortion</w:t>
            </w:r>
          </w:p>
        </w:tc>
        <w:tc>
          <w:tcPr>
            <w:tcW w:type="dxa" w:w="3120"/>
          </w:tcPr>
          <w:p>
            <w:pPr>
              <w:spacing w:after="0"/>
            </w:pPr>
            <w:r/>
            <w:r>
              <w:rPr>
                <w:sz w:val="19"/>
              </w:rPr>
              <w:t>106.97</w:t>
            </w:r>
          </w:p>
        </w:tc>
        <w:tc>
          <w:tcPr>
            <w:tcW w:type="dxa" w:w="3120"/>
          </w:tcPr>
          <w:p>
            <w:pPr>
              <w:spacing w:after="0"/>
            </w:pPr>
            <w:r/>
            <w:r>
              <w:rPr>
                <w:sz w:val="19"/>
              </w:rPr>
              <w:t>25.70</w:t>
            </w:r>
          </w:p>
        </w:tc>
      </w:tr>
      <w:tr>
        <w:tc>
          <w:tcPr>
            <w:tcW w:type="dxa" w:w="3120"/>
            <w:shd w:val="clear" w:color="auto" w:fill="EDF1F5"/>
          </w:tcPr>
          <w:p>
            <w:pPr>
              <w:spacing w:after="0"/>
            </w:pPr>
            <w:r/>
            <w:r>
              <w:rPr>
                <w:sz w:val="19"/>
              </w:rPr>
              <w:t>Quality Degradation</w:t>
            </w:r>
          </w:p>
        </w:tc>
        <w:tc>
          <w:tcPr>
            <w:tcW w:type="dxa" w:w="3120"/>
            <w:shd w:val="clear" w:color="auto" w:fill="EDF1F5"/>
          </w:tcPr>
          <w:p>
            <w:pPr>
              <w:spacing w:after="0"/>
            </w:pPr>
            <w:r/>
            <w:r>
              <w:rPr>
                <w:sz w:val="19"/>
              </w:rPr>
              <w:t>71.31</w:t>
            </w:r>
          </w:p>
        </w:tc>
        <w:tc>
          <w:tcPr>
            <w:tcW w:type="dxa" w:w="3120"/>
            <w:shd w:val="clear" w:color="auto" w:fill="EDF1F5"/>
          </w:tcPr>
          <w:p>
            <w:pPr>
              <w:spacing w:after="0"/>
            </w:pPr>
            <w:r/>
            <w:r>
              <w:rPr>
                <w:sz w:val="19"/>
              </w:rPr>
              <w:t>17.10</w:t>
            </w:r>
          </w:p>
        </w:tc>
      </w:tr>
      <w:tr>
        <w:tc>
          <w:tcPr>
            <w:tcW w:type="dxa" w:w="3120"/>
          </w:tcPr>
          <w:p>
            <w:pPr>
              <w:spacing w:after="0"/>
            </w:pPr>
            <w:r/>
            <w:r>
              <w:rPr>
                <w:sz w:val="19"/>
              </w:rPr>
              <w:t>Switching Costs</w:t>
            </w:r>
          </w:p>
        </w:tc>
        <w:tc>
          <w:tcPr>
            <w:tcW w:type="dxa" w:w="3120"/>
          </w:tcPr>
          <w:p>
            <w:pPr>
              <w:spacing w:after="0"/>
            </w:pPr>
            <w:r/>
            <w:r>
              <w:rPr>
                <w:sz w:val="19"/>
              </w:rPr>
              <w:t>142.62</w:t>
            </w:r>
          </w:p>
        </w:tc>
        <w:tc>
          <w:tcPr>
            <w:tcW w:type="dxa" w:w="3120"/>
          </w:tcPr>
          <w:p>
            <w:pPr>
              <w:spacing w:after="0"/>
            </w:pPr>
            <w:r/>
            <w:r>
              <w:rPr>
                <w:sz w:val="19"/>
              </w:rPr>
              <w:t>34.20</w:t>
            </w:r>
          </w:p>
        </w:tc>
      </w:tr>
      <w:tr>
        <w:tc>
          <w:tcPr>
            <w:tcW w:type="dxa" w:w="3120"/>
            <w:shd w:val="clear" w:color="auto" w:fill="EDF1F5"/>
          </w:tcPr>
          <w:p>
            <w:pPr>
              <w:spacing w:after="0"/>
            </w:pPr>
            <w:r/>
            <w:r>
              <w:rPr>
                <w:sz w:val="19"/>
              </w:rPr>
              <w:t>Total</w:t>
            </w:r>
          </w:p>
        </w:tc>
        <w:tc>
          <w:tcPr>
            <w:tcW w:type="dxa" w:w="3120"/>
            <w:shd w:val="clear" w:color="auto" w:fill="EDF1F5"/>
          </w:tcPr>
          <w:p>
            <w:pPr>
              <w:spacing w:after="0"/>
            </w:pPr>
            <w:r/>
            <w:r>
              <w:rPr>
                <w:sz w:val="19"/>
              </w:rPr>
              <w:t>416.77</w:t>
            </w:r>
          </w:p>
        </w:tc>
        <w:tc>
          <w:tcPr>
            <w:tcW w:type="dxa" w:w="3120"/>
            <w:shd w:val="clear" w:color="auto" w:fill="EDF1F5"/>
          </w:tcPr>
          <w:p>
            <w:pPr>
              <w:spacing w:after="0"/>
            </w:pPr>
            <w:r/>
            <w:r>
              <w:rPr>
                <w:sz w:val="19"/>
              </w:rPr>
              <w:t>100</w:t>
            </w:r>
          </w:p>
        </w:tc>
      </w:tr>
    </w:tbl>
    <w:p>
      <w:pPr>
        <w:spacing w:after="80"/>
      </w:pPr>
      <w:r>
        <w:rPr>
          <w:sz w:val="4"/>
        </w:rPr>
      </w:r>
    </w:p>
    <w:p>
      <w:pPr>
        <w:keepNext/>
        <w:spacing w:before="200" w:after="40"/>
      </w:pPr>
      <w:r>
        <w:rPr>
          <w:b/>
          <w:color w:val="2C3E50"/>
          <w:sz w:val="20"/>
        </w:rPr>
        <w:t>Table 5.4: Dynamic Game Analysis (Short vs Long-term) (also in Section 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blHeader w:val="true"/>
            <w:shd w:val="clear" w:color="auto" w:fill="2C3E50"/>
          </w:tcPr>
          <w:p>
            <w:pPr>
              <w:jc w:val="center"/>
            </w:pPr>
            <w:r/>
            <w:r>
              <w:rPr>
                <w:b/>
                <w:color w:val="FFFFFF"/>
                <w:sz w:val="17"/>
              </w:rPr>
              <w:t>Player</w:t>
            </w:r>
          </w:p>
        </w:tc>
        <w:tc>
          <w:tcPr>
            <w:tcW w:type="dxa" w:w="1170"/>
            <w:tblHeader w:val="true"/>
            <w:shd w:val="clear" w:color="auto" w:fill="2C3E50"/>
          </w:tcPr>
          <w:p>
            <w:pPr>
              <w:jc w:val="center"/>
            </w:pPr>
            <w:r/>
            <w:r>
              <w:rPr>
                <w:b/>
                <w:color w:val="FFFFFF"/>
                <w:sz w:val="17"/>
              </w:rPr>
              <w:t>Strategy</w:t>
            </w:r>
          </w:p>
        </w:tc>
        <w:tc>
          <w:tcPr>
            <w:tcW w:type="dxa" w:w="1170"/>
            <w:tblHeader w:val="true"/>
            <w:shd w:val="clear" w:color="auto" w:fill="2C3E50"/>
          </w:tcPr>
          <w:p>
            <w:pPr>
              <w:jc w:val="center"/>
            </w:pPr>
            <w:r/>
            <w:r>
              <w:rPr>
                <w:b/>
                <w:color w:val="FFFFFF"/>
                <w:sz w:val="17"/>
              </w:rPr>
              <w:t>Short-term Payoff</w:t>
            </w:r>
          </w:p>
        </w:tc>
        <w:tc>
          <w:tcPr>
            <w:tcW w:type="dxa" w:w="1170"/>
            <w:tblHeader w:val="true"/>
            <w:shd w:val="clear" w:color="auto" w:fill="2C3E50"/>
          </w:tcPr>
          <w:p>
            <w:pPr>
              <w:jc w:val="center"/>
            </w:pPr>
            <w:r/>
            <w:r>
              <w:rPr>
                <w:b/>
                <w:color w:val="FFFFFF"/>
                <w:sz w:val="17"/>
              </w:rPr>
              <w:t>Long-term Payoff</w:t>
            </w:r>
          </w:p>
        </w:tc>
        <w:tc>
          <w:tcPr>
            <w:tcW w:type="dxa" w:w="1170"/>
            <w:tblHeader w:val="true"/>
            <w:shd w:val="clear" w:color="auto" w:fill="2C3E50"/>
          </w:tcPr>
          <w:p>
            <w:pPr>
              <w:jc w:val="center"/>
            </w:pPr>
            <w:r/>
            <w:r>
              <w:rPr>
                <w:b/>
                <w:color w:val="FFFFFF"/>
                <w:sz w:val="17"/>
              </w:rPr>
              <w:t>Difference (L-S)</w:t>
            </w:r>
          </w:p>
        </w:tc>
        <w:tc>
          <w:tcPr>
            <w:tcW w:type="dxa" w:w="1170"/>
            <w:tblHeader w:val="true"/>
            <w:shd w:val="clear" w:color="auto" w:fill="2C3E50"/>
          </w:tcPr>
          <w:p>
            <w:pPr>
              <w:jc w:val="center"/>
            </w:pPr>
            <w:r/>
            <w:r>
              <w:rPr>
                <w:b/>
                <w:color w:val="FFFFFF"/>
                <w:sz w:val="17"/>
              </w:rPr>
              <w:t>Long/Short Ratio (%)</w:t>
            </w:r>
          </w:p>
        </w:tc>
        <w:tc>
          <w:tcPr>
            <w:tcW w:type="dxa" w:w="1170"/>
            <w:tblHeader w:val="true"/>
            <w:shd w:val="clear" w:color="auto" w:fill="2C3E50"/>
          </w:tcPr>
          <w:p>
            <w:pPr>
              <w:jc w:val="center"/>
            </w:pPr>
            <w:r/>
            <w:r>
              <w:rPr>
                <w:b/>
                <w:color w:val="FFFFFF"/>
                <w:sz w:val="17"/>
              </w:rPr>
              <w:t>Time Preference</w:t>
            </w:r>
          </w:p>
        </w:tc>
        <w:tc>
          <w:tcPr>
            <w:tcW w:type="dxa" w:w="1170"/>
            <w:tblHeader w:val="true"/>
            <w:shd w:val="clear" w:color="auto" w:fill="2C3E50"/>
          </w:tcPr>
          <w:p>
            <w:pPr>
              <w:jc w:val="center"/>
            </w:pPr>
            <w:r/>
            <w:r>
              <w:rPr>
                <w:b/>
                <w:color w:val="FFFFFF"/>
                <w:sz w:val="17"/>
              </w:rPr>
              <w:t>Risk Level</w:t>
            </w:r>
          </w:p>
        </w:tc>
      </w:tr>
      <w:tr>
        <w:tc>
          <w:tcPr>
            <w:tcW w:type="dxa" w:w="1170"/>
          </w:tcPr>
          <w:p>
            <w:pPr>
              <w:spacing w:after="0"/>
            </w:pPr>
            <w:r/>
            <w:r>
              <w:rPr>
                <w:sz w:val="16"/>
              </w:rPr>
              <w:t>Cloud Providers</w:t>
            </w:r>
          </w:p>
        </w:tc>
        <w:tc>
          <w:tcPr>
            <w:tcW w:type="dxa" w:w="1170"/>
          </w:tcPr>
          <w:p>
            <w:pPr>
              <w:spacing w:after="0"/>
            </w:pPr>
            <w:r/>
            <w:r>
              <w:rPr>
                <w:sz w:val="16"/>
              </w:rPr>
              <w:t>Full Stack</w:t>
            </w:r>
          </w:p>
        </w:tc>
        <w:tc>
          <w:tcPr>
            <w:tcW w:type="dxa" w:w="1170"/>
          </w:tcPr>
          <w:p>
            <w:pPr>
              <w:spacing w:after="0"/>
            </w:pPr>
            <w:r/>
            <w:r>
              <w:rPr>
                <w:sz w:val="16"/>
              </w:rPr>
              <w:t>5</w:t>
            </w:r>
          </w:p>
        </w:tc>
        <w:tc>
          <w:tcPr>
            <w:tcW w:type="dxa" w:w="1170"/>
          </w:tcPr>
          <w:p>
            <w:pPr>
              <w:spacing w:after="0"/>
            </w:pPr>
            <w:r/>
            <w:r>
              <w:rPr>
                <w:sz w:val="16"/>
              </w:rPr>
              <w:t>8</w:t>
            </w:r>
          </w:p>
        </w:tc>
        <w:tc>
          <w:tcPr>
            <w:tcW w:type="dxa" w:w="1170"/>
          </w:tcPr>
          <w:p>
            <w:pPr>
              <w:spacing w:after="0"/>
            </w:pPr>
            <w:r/>
            <w:r>
              <w:rPr>
                <w:sz w:val="16"/>
              </w:rPr>
              <w:t>3</w:t>
            </w:r>
          </w:p>
        </w:tc>
        <w:tc>
          <w:tcPr>
            <w:tcW w:type="dxa" w:w="1170"/>
          </w:tcPr>
          <w:p>
            <w:pPr>
              <w:spacing w:after="0"/>
            </w:pPr>
            <w:r/>
            <w:r>
              <w:rPr>
                <w:sz w:val="16"/>
              </w:rPr>
              <w:t>160</w:t>
            </w:r>
          </w:p>
        </w:tc>
        <w:tc>
          <w:tcPr>
            <w:tcW w:type="dxa" w:w="1170"/>
          </w:tcPr>
          <w:p>
            <w:pPr>
              <w:spacing w:after="0"/>
            </w:pPr>
            <w:r/>
            <w:r>
              <w:rPr>
                <w:sz w:val="16"/>
              </w:rPr>
              <w:t>Long-term</w:t>
            </w:r>
          </w:p>
        </w:tc>
        <w:tc>
          <w:tcPr>
            <w:tcW w:type="dxa" w:w="1170"/>
          </w:tcPr>
          <w:p>
            <w:pPr>
              <w:spacing w:after="0"/>
            </w:pPr>
            <w:r/>
            <w:r>
              <w:rPr>
                <w:sz w:val="16"/>
              </w:rPr>
              <w:t>Medium</w:t>
            </w:r>
          </w:p>
        </w:tc>
      </w:tr>
      <w:tr>
        <w:tc>
          <w:tcPr>
            <w:tcW w:type="dxa" w:w="1170"/>
            <w:shd w:val="clear" w:color="auto" w:fill="EDF1F5"/>
          </w:tcPr>
          <w:p>
            <w:pPr>
              <w:spacing w:after="0"/>
            </w:pPr>
            <w:r/>
            <w:r>
              <w:rPr>
                <w:sz w:val="16"/>
              </w:rPr>
              <w:t>Cloud Providers</w:t>
            </w:r>
          </w:p>
        </w:tc>
        <w:tc>
          <w:tcPr>
            <w:tcW w:type="dxa" w:w="1170"/>
            <w:shd w:val="clear" w:color="auto" w:fill="EDF1F5"/>
          </w:tcPr>
          <w:p>
            <w:pPr>
              <w:spacing w:after="0"/>
            </w:pPr>
            <w:r/>
            <w:r>
              <w:rPr>
                <w:sz w:val="16"/>
              </w:rPr>
              <w:t>Selective Partnership</w:t>
            </w:r>
          </w:p>
        </w:tc>
        <w:tc>
          <w:tcPr>
            <w:tcW w:type="dxa" w:w="1170"/>
            <w:shd w:val="clear" w:color="auto" w:fill="EDF1F5"/>
          </w:tcPr>
          <w:p>
            <w:pPr>
              <w:spacing w:after="0"/>
            </w:pPr>
            <w:r/>
            <w:r>
              <w:rPr>
                <w:sz w:val="16"/>
              </w:rPr>
              <w:t>3</w:t>
            </w:r>
          </w:p>
        </w:tc>
        <w:tc>
          <w:tcPr>
            <w:tcW w:type="dxa" w:w="1170"/>
            <w:shd w:val="clear" w:color="auto" w:fill="EDF1F5"/>
          </w:tcPr>
          <w:p>
            <w:pPr>
              <w:spacing w:after="0"/>
            </w:pPr>
            <w:r/>
            <w:r>
              <w:rPr>
                <w:sz w:val="16"/>
              </w:rPr>
              <w:t>4</w:t>
            </w:r>
          </w:p>
        </w:tc>
        <w:tc>
          <w:tcPr>
            <w:tcW w:type="dxa" w:w="1170"/>
            <w:shd w:val="clear" w:color="auto" w:fill="EDF1F5"/>
          </w:tcPr>
          <w:p>
            <w:pPr>
              <w:spacing w:after="0"/>
            </w:pPr>
            <w:r/>
            <w:r>
              <w:rPr>
                <w:sz w:val="16"/>
              </w:rPr>
              <w:t>1</w:t>
            </w:r>
          </w:p>
        </w:tc>
        <w:tc>
          <w:tcPr>
            <w:tcW w:type="dxa" w:w="1170"/>
            <w:shd w:val="clear" w:color="auto" w:fill="EDF1F5"/>
          </w:tcPr>
          <w:p>
            <w:pPr>
              <w:spacing w:after="0"/>
            </w:pPr>
            <w:r/>
            <w:r>
              <w:rPr>
                <w:sz w:val="16"/>
              </w:rPr>
              <w:t>133.30</w:t>
            </w:r>
          </w:p>
        </w:tc>
        <w:tc>
          <w:tcPr>
            <w:tcW w:type="dxa" w:w="1170"/>
            <w:shd w:val="clear" w:color="auto" w:fill="EDF1F5"/>
          </w:tcPr>
          <w:p>
            <w:pPr>
              <w:spacing w:after="0"/>
            </w:pPr>
            <w:r/>
            <w:r>
              <w:rPr>
                <w:sz w:val="16"/>
              </w:rPr>
              <w:t>Long-term</w:t>
            </w:r>
          </w:p>
        </w:tc>
        <w:tc>
          <w:tcPr>
            <w:tcW w:type="dxa" w:w="1170"/>
            <w:shd w:val="clear" w:color="auto" w:fill="EDF1F5"/>
          </w:tcPr>
          <w:p>
            <w:pPr>
              <w:spacing w:after="0"/>
            </w:pPr>
            <w:r/>
            <w:r>
              <w:rPr>
                <w:sz w:val="16"/>
              </w:rPr>
              <w:t>Low</w:t>
            </w:r>
          </w:p>
        </w:tc>
      </w:tr>
      <w:tr>
        <w:tc>
          <w:tcPr>
            <w:tcW w:type="dxa" w:w="1170"/>
          </w:tcPr>
          <w:p>
            <w:pPr>
              <w:spacing w:after="0"/>
            </w:pPr>
            <w:r/>
            <w:r>
              <w:rPr>
                <w:sz w:val="16"/>
              </w:rPr>
              <w:t>Cloud Providers</w:t>
            </w:r>
          </w:p>
        </w:tc>
        <w:tc>
          <w:tcPr>
            <w:tcW w:type="dxa" w:w="1170"/>
          </w:tcPr>
          <w:p>
            <w:pPr>
              <w:spacing w:after="0"/>
            </w:pPr>
            <w:r/>
            <w:r>
              <w:rPr>
                <w:sz w:val="16"/>
              </w:rPr>
              <w:t>Infrastructure Only</w:t>
            </w:r>
          </w:p>
        </w:tc>
        <w:tc>
          <w:tcPr>
            <w:tcW w:type="dxa" w:w="1170"/>
          </w:tcPr>
          <w:p>
            <w:pPr>
              <w:spacing w:after="0"/>
            </w:pPr>
            <w:r/>
            <w:r>
              <w:rPr>
                <w:sz w:val="16"/>
              </w:rPr>
              <w:t>2</w:t>
            </w:r>
          </w:p>
        </w:tc>
        <w:tc>
          <w:tcPr>
            <w:tcW w:type="dxa" w:w="1170"/>
          </w:tcPr>
          <w:p>
            <w:pPr>
              <w:spacing w:after="0"/>
            </w:pPr>
            <w:r/>
            <w:r>
              <w:rPr>
                <w:sz w:val="16"/>
              </w:rPr>
              <w:t>2</w:t>
            </w:r>
          </w:p>
        </w:tc>
        <w:tc>
          <w:tcPr>
            <w:tcW w:type="dxa" w:w="1170"/>
          </w:tcPr>
          <w:p>
            <w:pPr>
              <w:spacing w:after="0"/>
            </w:pPr>
            <w:r/>
            <w:r>
              <w:rPr>
                <w:sz w:val="16"/>
              </w:rPr>
              <w:t>0</w:t>
            </w:r>
          </w:p>
        </w:tc>
        <w:tc>
          <w:tcPr>
            <w:tcW w:type="dxa" w:w="1170"/>
          </w:tcPr>
          <w:p>
            <w:pPr>
              <w:spacing w:after="0"/>
            </w:pPr>
            <w:r/>
            <w:r>
              <w:rPr>
                <w:sz w:val="16"/>
              </w:rPr>
              <w:t>100</w:t>
            </w:r>
          </w:p>
        </w:tc>
        <w:tc>
          <w:tcPr>
            <w:tcW w:type="dxa" w:w="1170"/>
          </w:tcPr>
          <w:p>
            <w:pPr>
              <w:spacing w:after="0"/>
            </w:pPr>
            <w:r/>
            <w:r>
              <w:rPr>
                <w:sz w:val="16"/>
              </w:rPr>
              <w:t>Neutral</w:t>
            </w:r>
          </w:p>
        </w:tc>
        <w:tc>
          <w:tcPr>
            <w:tcW w:type="dxa" w:w="1170"/>
          </w:tcPr>
          <w:p>
            <w:pPr>
              <w:spacing w:after="0"/>
            </w:pPr>
            <w:r/>
            <w:r>
              <w:rPr>
                <w:sz w:val="16"/>
              </w:rPr>
              <w:t>Low</w:t>
            </w:r>
          </w:p>
        </w:tc>
      </w:tr>
      <w:tr>
        <w:tc>
          <w:tcPr>
            <w:tcW w:type="dxa" w:w="1170"/>
            <w:shd w:val="clear" w:color="auto" w:fill="EDF1F5"/>
          </w:tcPr>
          <w:p>
            <w:pPr>
              <w:spacing w:after="0"/>
            </w:pPr>
            <w:r/>
            <w:r>
              <w:rPr>
                <w:sz w:val="16"/>
              </w:rPr>
              <w:t>Foundation Models</w:t>
            </w:r>
          </w:p>
        </w:tc>
        <w:tc>
          <w:tcPr>
            <w:tcW w:type="dxa" w:w="1170"/>
            <w:shd w:val="clear" w:color="auto" w:fill="EDF1F5"/>
          </w:tcPr>
          <w:p>
            <w:pPr>
              <w:spacing w:after="0"/>
            </w:pPr>
            <w:r/>
            <w:r>
              <w:rPr>
                <w:sz w:val="16"/>
              </w:rPr>
              <w:t>Compete Direct</w:t>
            </w:r>
          </w:p>
        </w:tc>
        <w:tc>
          <w:tcPr>
            <w:tcW w:type="dxa" w:w="1170"/>
            <w:shd w:val="clear" w:color="auto" w:fill="EDF1F5"/>
          </w:tcPr>
          <w:p>
            <w:pPr>
              <w:spacing w:after="0"/>
            </w:pPr>
            <w:r/>
            <w:r>
              <w:rPr>
                <w:sz w:val="16"/>
              </w:rPr>
              <w:t>4</w:t>
            </w:r>
          </w:p>
        </w:tc>
        <w:tc>
          <w:tcPr>
            <w:tcW w:type="dxa" w:w="1170"/>
            <w:shd w:val="clear" w:color="auto" w:fill="EDF1F5"/>
          </w:tcPr>
          <w:p>
            <w:pPr>
              <w:spacing w:after="0"/>
            </w:pPr>
            <w:r/>
            <w:r>
              <w:rPr>
                <w:sz w:val="16"/>
              </w:rPr>
              <w:t>5</w:t>
            </w:r>
          </w:p>
        </w:tc>
        <w:tc>
          <w:tcPr>
            <w:tcW w:type="dxa" w:w="1170"/>
            <w:shd w:val="clear" w:color="auto" w:fill="EDF1F5"/>
          </w:tcPr>
          <w:p>
            <w:pPr>
              <w:spacing w:after="0"/>
            </w:pPr>
            <w:r/>
            <w:r>
              <w:rPr>
                <w:sz w:val="16"/>
              </w:rPr>
              <w:t>1</w:t>
            </w:r>
          </w:p>
        </w:tc>
        <w:tc>
          <w:tcPr>
            <w:tcW w:type="dxa" w:w="1170"/>
            <w:shd w:val="clear" w:color="auto" w:fill="EDF1F5"/>
          </w:tcPr>
          <w:p>
            <w:pPr>
              <w:spacing w:after="0"/>
            </w:pPr>
            <w:r/>
            <w:r>
              <w:rPr>
                <w:sz w:val="16"/>
              </w:rPr>
              <w:t>125</w:t>
            </w:r>
          </w:p>
        </w:tc>
        <w:tc>
          <w:tcPr>
            <w:tcW w:type="dxa" w:w="1170"/>
            <w:shd w:val="clear" w:color="auto" w:fill="EDF1F5"/>
          </w:tcPr>
          <w:p>
            <w:pPr>
              <w:spacing w:after="0"/>
            </w:pPr>
            <w:r/>
            <w:r>
              <w:rPr>
                <w:sz w:val="16"/>
              </w:rPr>
              <w:t>Long-term</w:t>
            </w:r>
          </w:p>
        </w:tc>
        <w:tc>
          <w:tcPr>
            <w:tcW w:type="dxa" w:w="1170"/>
            <w:shd w:val="clear" w:color="auto" w:fill="EDF1F5"/>
          </w:tcPr>
          <w:p>
            <w:pPr>
              <w:spacing w:after="0"/>
            </w:pPr>
            <w:r/>
            <w:r>
              <w:rPr>
                <w:sz w:val="16"/>
              </w:rPr>
              <w:t>Medium</w:t>
            </w:r>
          </w:p>
        </w:tc>
      </w:tr>
      <w:tr>
        <w:tc>
          <w:tcPr>
            <w:tcW w:type="dxa" w:w="1170"/>
          </w:tcPr>
          <w:p>
            <w:pPr>
              <w:spacing w:after="0"/>
            </w:pPr>
            <w:r/>
            <w:r>
              <w:rPr>
                <w:sz w:val="16"/>
              </w:rPr>
              <w:t>Foundation Models</w:t>
            </w:r>
          </w:p>
        </w:tc>
        <w:tc>
          <w:tcPr>
            <w:tcW w:type="dxa" w:w="1170"/>
          </w:tcPr>
          <w:p>
            <w:pPr>
              <w:spacing w:after="0"/>
            </w:pPr>
            <w:r/>
            <w:r>
              <w:rPr>
                <w:sz w:val="16"/>
              </w:rPr>
              <w:t>Exclusive Deals</w:t>
            </w:r>
          </w:p>
        </w:tc>
        <w:tc>
          <w:tcPr>
            <w:tcW w:type="dxa" w:w="1170"/>
          </w:tcPr>
          <w:p>
            <w:pPr>
              <w:spacing w:after="0"/>
            </w:pPr>
            <w:r/>
            <w:r>
              <w:rPr>
                <w:sz w:val="16"/>
              </w:rPr>
              <w:t>3</w:t>
            </w:r>
          </w:p>
        </w:tc>
        <w:tc>
          <w:tcPr>
            <w:tcW w:type="dxa" w:w="1170"/>
          </w:tcPr>
          <w:p>
            <w:pPr>
              <w:spacing w:after="0"/>
            </w:pPr>
            <w:r/>
            <w:r>
              <w:rPr>
                <w:sz w:val="16"/>
              </w:rPr>
              <w:t>-2</w:t>
            </w:r>
          </w:p>
        </w:tc>
        <w:tc>
          <w:tcPr>
            <w:tcW w:type="dxa" w:w="1170"/>
          </w:tcPr>
          <w:p>
            <w:pPr>
              <w:spacing w:after="0"/>
            </w:pPr>
            <w:r/>
            <w:r>
              <w:rPr>
                <w:sz w:val="16"/>
              </w:rPr>
              <w:t>-5</w:t>
            </w:r>
          </w:p>
        </w:tc>
        <w:tc>
          <w:tcPr>
            <w:tcW w:type="dxa" w:w="1170"/>
          </w:tcPr>
          <w:p>
            <w:pPr>
              <w:spacing w:after="0"/>
            </w:pPr>
            <w:r/>
            <w:r>
              <w:rPr>
                <w:sz w:val="16"/>
              </w:rPr>
              <w:t>-66.70</w:t>
            </w:r>
          </w:p>
        </w:tc>
        <w:tc>
          <w:tcPr>
            <w:tcW w:type="dxa" w:w="1170"/>
          </w:tcPr>
          <w:p>
            <w:pPr>
              <w:spacing w:after="0"/>
            </w:pPr>
            <w:r/>
            <w:r>
              <w:rPr>
                <w:sz w:val="16"/>
              </w:rPr>
              <w:t>Short-term</w:t>
            </w:r>
          </w:p>
        </w:tc>
        <w:tc>
          <w:tcPr>
            <w:tcW w:type="dxa" w:w="1170"/>
          </w:tcPr>
          <w:p>
            <w:pPr>
              <w:spacing w:after="0"/>
            </w:pPr>
            <w:r/>
            <w:r>
              <w:rPr>
                <w:sz w:val="16"/>
              </w:rPr>
              <w:t>Critical</w:t>
            </w:r>
          </w:p>
        </w:tc>
      </w:tr>
      <w:tr>
        <w:tc>
          <w:tcPr>
            <w:tcW w:type="dxa" w:w="1170"/>
            <w:shd w:val="clear" w:color="auto" w:fill="EDF1F5"/>
          </w:tcPr>
          <w:p>
            <w:pPr>
              <w:spacing w:after="0"/>
            </w:pPr>
            <w:r/>
            <w:r>
              <w:rPr>
                <w:sz w:val="16"/>
              </w:rPr>
              <w:t>Foundation Models</w:t>
            </w:r>
          </w:p>
        </w:tc>
        <w:tc>
          <w:tcPr>
            <w:tcW w:type="dxa" w:w="1170"/>
            <w:shd w:val="clear" w:color="auto" w:fill="EDF1F5"/>
          </w:tcPr>
          <w:p>
            <w:pPr>
              <w:spacing w:after="0"/>
            </w:pPr>
            <w:r/>
            <w:r>
              <w:rPr>
                <w:sz w:val="16"/>
              </w:rPr>
              <w:t>Support Wrappers</w:t>
            </w:r>
          </w:p>
        </w:tc>
        <w:tc>
          <w:tcPr>
            <w:tcW w:type="dxa" w:w="1170"/>
            <w:shd w:val="clear" w:color="auto" w:fill="EDF1F5"/>
          </w:tcPr>
          <w:p>
            <w:pPr>
              <w:spacing w:after="0"/>
            </w:pPr>
            <w:r/>
            <w:r>
              <w:rPr>
                <w:sz w:val="16"/>
              </w:rPr>
              <w:t>2</w:t>
            </w:r>
          </w:p>
        </w:tc>
        <w:tc>
          <w:tcPr>
            <w:tcW w:type="dxa" w:w="1170"/>
            <w:shd w:val="clear" w:color="auto" w:fill="EDF1F5"/>
          </w:tcPr>
          <w:p>
            <w:pPr>
              <w:spacing w:after="0"/>
            </w:pPr>
            <w:r/>
            <w:r>
              <w:rPr>
                <w:sz w:val="16"/>
              </w:rPr>
              <w:t>-1</w:t>
            </w:r>
          </w:p>
        </w:tc>
        <w:tc>
          <w:tcPr>
            <w:tcW w:type="dxa" w:w="1170"/>
            <w:shd w:val="clear" w:color="auto" w:fill="EDF1F5"/>
          </w:tcPr>
          <w:p>
            <w:pPr>
              <w:spacing w:after="0"/>
            </w:pPr>
            <w:r/>
            <w:r>
              <w:rPr>
                <w:sz w:val="16"/>
              </w:rPr>
              <w:t>-3</w:t>
            </w:r>
          </w:p>
        </w:tc>
        <w:tc>
          <w:tcPr>
            <w:tcW w:type="dxa" w:w="1170"/>
            <w:shd w:val="clear" w:color="auto" w:fill="EDF1F5"/>
          </w:tcPr>
          <w:p>
            <w:pPr>
              <w:spacing w:after="0"/>
            </w:pPr>
            <w:r/>
            <w:r>
              <w:rPr>
                <w:sz w:val="16"/>
              </w:rPr>
              <w:t>-50</w:t>
            </w:r>
          </w:p>
        </w:tc>
        <w:tc>
          <w:tcPr>
            <w:tcW w:type="dxa" w:w="1170"/>
            <w:shd w:val="clear" w:color="auto" w:fill="EDF1F5"/>
          </w:tcPr>
          <w:p>
            <w:pPr>
              <w:spacing w:after="0"/>
            </w:pPr>
            <w:r/>
            <w:r>
              <w:rPr>
                <w:sz w:val="16"/>
              </w:rPr>
              <w:t>Short-term</w:t>
            </w:r>
          </w:p>
        </w:tc>
        <w:tc>
          <w:tcPr>
            <w:tcW w:type="dxa" w:w="1170"/>
            <w:shd w:val="clear" w:color="auto" w:fill="EDF1F5"/>
          </w:tcPr>
          <w:p>
            <w:pPr>
              <w:spacing w:after="0"/>
            </w:pPr>
            <w:r/>
            <w:r>
              <w:rPr>
                <w:sz w:val="16"/>
              </w:rPr>
              <w:t>High</w:t>
            </w:r>
          </w:p>
        </w:tc>
      </w:tr>
      <w:tr>
        <w:tc>
          <w:tcPr>
            <w:tcW w:type="dxa" w:w="1170"/>
          </w:tcPr>
          <w:p>
            <w:pPr>
              <w:spacing w:after="0"/>
            </w:pPr>
            <w:r/>
            <w:r>
              <w:rPr>
                <w:sz w:val="16"/>
              </w:rPr>
              <w:t>Hardware</w:t>
            </w:r>
          </w:p>
        </w:tc>
        <w:tc>
          <w:tcPr>
            <w:tcW w:type="dxa" w:w="1170"/>
          </w:tcPr>
          <w:p>
            <w:pPr>
              <w:spacing w:after="0"/>
            </w:pPr>
            <w:r/>
            <w:r>
              <w:rPr>
                <w:sz w:val="16"/>
              </w:rPr>
              <w:t>Open Access</w:t>
            </w:r>
          </w:p>
        </w:tc>
        <w:tc>
          <w:tcPr>
            <w:tcW w:type="dxa" w:w="1170"/>
          </w:tcPr>
          <w:p>
            <w:pPr>
              <w:spacing w:after="0"/>
            </w:pPr>
            <w:r/>
            <w:r>
              <w:rPr>
                <w:sz w:val="16"/>
              </w:rPr>
              <w:t>6</w:t>
            </w:r>
          </w:p>
        </w:tc>
        <w:tc>
          <w:tcPr>
            <w:tcW w:type="dxa" w:w="1170"/>
          </w:tcPr>
          <w:p>
            <w:pPr>
              <w:spacing w:after="0"/>
            </w:pPr>
            <w:r/>
            <w:r>
              <w:rPr>
                <w:sz w:val="16"/>
              </w:rPr>
              <w:t>9</w:t>
            </w:r>
          </w:p>
        </w:tc>
        <w:tc>
          <w:tcPr>
            <w:tcW w:type="dxa" w:w="1170"/>
          </w:tcPr>
          <w:p>
            <w:pPr>
              <w:spacing w:after="0"/>
            </w:pPr>
            <w:r/>
            <w:r>
              <w:rPr>
                <w:sz w:val="16"/>
              </w:rPr>
              <w:t>3</w:t>
            </w:r>
          </w:p>
        </w:tc>
        <w:tc>
          <w:tcPr>
            <w:tcW w:type="dxa" w:w="1170"/>
          </w:tcPr>
          <w:p>
            <w:pPr>
              <w:spacing w:after="0"/>
            </w:pPr>
            <w:r/>
            <w:r>
              <w:rPr>
                <w:sz w:val="16"/>
              </w:rPr>
              <w:t>150</w:t>
            </w:r>
          </w:p>
        </w:tc>
        <w:tc>
          <w:tcPr>
            <w:tcW w:type="dxa" w:w="1170"/>
          </w:tcPr>
          <w:p>
            <w:pPr>
              <w:spacing w:after="0"/>
            </w:pPr>
            <w:r/>
            <w:r>
              <w:rPr>
                <w:sz w:val="16"/>
              </w:rPr>
              <w:t>Long-term</w:t>
            </w:r>
          </w:p>
        </w:tc>
        <w:tc>
          <w:tcPr>
            <w:tcW w:type="dxa" w:w="1170"/>
          </w:tcPr>
          <w:p>
            <w:pPr>
              <w:spacing w:after="0"/>
            </w:pPr>
            <w:r/>
            <w:r>
              <w:rPr>
                <w:sz w:val="16"/>
              </w:rPr>
              <w:t>Low</w:t>
            </w:r>
          </w:p>
        </w:tc>
      </w:tr>
      <w:tr>
        <w:tc>
          <w:tcPr>
            <w:tcW w:type="dxa" w:w="1170"/>
            <w:shd w:val="clear" w:color="auto" w:fill="EDF1F5"/>
          </w:tcPr>
          <w:p>
            <w:pPr>
              <w:spacing w:after="0"/>
            </w:pPr>
            <w:r/>
            <w:r>
              <w:rPr>
                <w:sz w:val="16"/>
              </w:rPr>
              <w:t>Hardware</w:t>
            </w:r>
          </w:p>
        </w:tc>
        <w:tc>
          <w:tcPr>
            <w:tcW w:type="dxa" w:w="1170"/>
            <w:shd w:val="clear" w:color="auto" w:fill="EDF1F5"/>
          </w:tcPr>
          <w:p>
            <w:pPr>
              <w:spacing w:after="0"/>
            </w:pPr>
            <w:r/>
            <w:r>
              <w:rPr>
                <w:sz w:val="16"/>
              </w:rPr>
              <w:t>Exclusive Deals</w:t>
            </w:r>
          </w:p>
        </w:tc>
        <w:tc>
          <w:tcPr>
            <w:tcW w:type="dxa" w:w="1170"/>
            <w:shd w:val="clear" w:color="auto" w:fill="EDF1F5"/>
          </w:tcPr>
          <w:p>
            <w:pPr>
              <w:spacing w:after="0"/>
            </w:pPr>
            <w:r/>
            <w:r>
              <w:rPr>
                <w:sz w:val="16"/>
              </w:rPr>
              <w:t>5</w:t>
            </w:r>
          </w:p>
        </w:tc>
        <w:tc>
          <w:tcPr>
            <w:tcW w:type="dxa" w:w="1170"/>
            <w:shd w:val="clear" w:color="auto" w:fill="EDF1F5"/>
          </w:tcPr>
          <w:p>
            <w:pPr>
              <w:spacing w:after="0"/>
            </w:pPr>
            <w:r/>
            <w:r>
              <w:rPr>
                <w:sz w:val="16"/>
              </w:rPr>
              <w:t>3</w:t>
            </w:r>
          </w:p>
        </w:tc>
        <w:tc>
          <w:tcPr>
            <w:tcW w:type="dxa" w:w="1170"/>
            <w:shd w:val="clear" w:color="auto" w:fill="EDF1F5"/>
          </w:tcPr>
          <w:p>
            <w:pPr>
              <w:spacing w:after="0"/>
            </w:pPr>
            <w:r/>
            <w:r>
              <w:rPr>
                <w:sz w:val="16"/>
              </w:rPr>
              <w:t>-2</w:t>
            </w:r>
          </w:p>
        </w:tc>
        <w:tc>
          <w:tcPr>
            <w:tcW w:type="dxa" w:w="1170"/>
            <w:shd w:val="clear" w:color="auto" w:fill="EDF1F5"/>
          </w:tcPr>
          <w:p>
            <w:pPr>
              <w:spacing w:after="0"/>
            </w:pPr>
            <w:r/>
            <w:r>
              <w:rPr>
                <w:sz w:val="16"/>
              </w:rPr>
              <w:t>60</w:t>
            </w:r>
          </w:p>
        </w:tc>
        <w:tc>
          <w:tcPr>
            <w:tcW w:type="dxa" w:w="1170"/>
            <w:shd w:val="clear" w:color="auto" w:fill="EDF1F5"/>
          </w:tcPr>
          <w:p>
            <w:pPr>
              <w:spacing w:after="0"/>
            </w:pPr>
            <w:r/>
            <w:r>
              <w:rPr>
                <w:sz w:val="16"/>
              </w:rPr>
              <w:t>Short-term</w:t>
            </w:r>
          </w:p>
        </w:tc>
        <w:tc>
          <w:tcPr>
            <w:tcW w:type="dxa" w:w="1170"/>
            <w:shd w:val="clear" w:color="auto" w:fill="EDF1F5"/>
          </w:tcPr>
          <w:p>
            <w:pPr>
              <w:spacing w:after="0"/>
            </w:pPr>
            <w:r/>
            <w:r>
              <w:rPr>
                <w:sz w:val="16"/>
              </w:rPr>
              <w:t>High</w:t>
            </w:r>
          </w:p>
        </w:tc>
      </w:tr>
      <w:tr>
        <w:tc>
          <w:tcPr>
            <w:tcW w:type="dxa" w:w="1170"/>
          </w:tcPr>
          <w:p>
            <w:pPr>
              <w:spacing w:after="0"/>
            </w:pPr>
            <w:r/>
            <w:r>
              <w:rPr>
                <w:sz w:val="16"/>
              </w:rPr>
              <w:t>Hardware</w:t>
            </w:r>
          </w:p>
        </w:tc>
        <w:tc>
          <w:tcPr>
            <w:tcW w:type="dxa" w:w="1170"/>
          </w:tcPr>
          <w:p>
            <w:pPr>
              <w:spacing w:after="0"/>
            </w:pPr>
            <w:r/>
            <w:r>
              <w:rPr>
                <w:sz w:val="16"/>
              </w:rPr>
              <w:t>Price Control</w:t>
            </w:r>
          </w:p>
        </w:tc>
        <w:tc>
          <w:tcPr>
            <w:tcW w:type="dxa" w:w="1170"/>
          </w:tcPr>
          <w:p>
            <w:pPr>
              <w:spacing w:after="0"/>
            </w:pPr>
            <w:r/>
            <w:r>
              <w:rPr>
                <w:sz w:val="16"/>
              </w:rPr>
              <w:t>7</w:t>
            </w:r>
          </w:p>
        </w:tc>
        <w:tc>
          <w:tcPr>
            <w:tcW w:type="dxa" w:w="1170"/>
          </w:tcPr>
          <w:p>
            <w:pPr>
              <w:spacing w:after="0"/>
            </w:pPr>
            <w:r/>
            <w:r>
              <w:rPr>
                <w:sz w:val="16"/>
              </w:rPr>
              <w:t>2</w:t>
            </w:r>
          </w:p>
        </w:tc>
        <w:tc>
          <w:tcPr>
            <w:tcW w:type="dxa" w:w="1170"/>
          </w:tcPr>
          <w:p>
            <w:pPr>
              <w:spacing w:after="0"/>
            </w:pPr>
            <w:r/>
            <w:r>
              <w:rPr>
                <w:sz w:val="16"/>
              </w:rPr>
              <w:t>-5</w:t>
            </w:r>
          </w:p>
        </w:tc>
        <w:tc>
          <w:tcPr>
            <w:tcW w:type="dxa" w:w="1170"/>
          </w:tcPr>
          <w:p>
            <w:pPr>
              <w:spacing w:after="0"/>
            </w:pPr>
            <w:r/>
            <w:r>
              <w:rPr>
                <w:sz w:val="16"/>
              </w:rPr>
              <w:t>28.60</w:t>
            </w:r>
          </w:p>
        </w:tc>
        <w:tc>
          <w:tcPr>
            <w:tcW w:type="dxa" w:w="1170"/>
          </w:tcPr>
          <w:p>
            <w:pPr>
              <w:spacing w:after="0"/>
            </w:pPr>
            <w:r/>
            <w:r>
              <w:rPr>
                <w:sz w:val="16"/>
              </w:rPr>
              <w:t>Short-term</w:t>
            </w:r>
          </w:p>
        </w:tc>
        <w:tc>
          <w:tcPr>
            <w:tcW w:type="dxa" w:w="1170"/>
          </w:tcPr>
          <w:p>
            <w:pPr>
              <w:spacing w:after="0"/>
            </w:pPr>
            <w:r/>
            <w:r>
              <w:rPr>
                <w:sz w:val="16"/>
              </w:rPr>
              <w:t>Critical</w:t>
            </w:r>
          </w:p>
        </w:tc>
      </w:tr>
      <w:tr>
        <w:tc>
          <w:tcPr>
            <w:tcW w:type="dxa" w:w="1170"/>
            <w:shd w:val="clear" w:color="auto" w:fill="EDF1F5"/>
          </w:tcPr>
          <w:p>
            <w:pPr>
              <w:spacing w:after="0"/>
            </w:pPr>
            <w:r/>
            <w:r>
              <w:rPr>
                <w:sz w:val="16"/>
              </w:rPr>
              <w:t>LLM Wrappers</w:t>
            </w:r>
          </w:p>
        </w:tc>
        <w:tc>
          <w:tcPr>
            <w:tcW w:type="dxa" w:w="1170"/>
            <w:shd w:val="clear" w:color="auto" w:fill="EDF1F5"/>
          </w:tcPr>
          <w:p>
            <w:pPr>
              <w:spacing w:after="0"/>
            </w:pPr>
            <w:r/>
            <w:r>
              <w:rPr>
                <w:sz w:val="16"/>
              </w:rPr>
              <w:t>Vertical Integration</w:t>
            </w:r>
          </w:p>
        </w:tc>
        <w:tc>
          <w:tcPr>
            <w:tcW w:type="dxa" w:w="1170"/>
            <w:shd w:val="clear" w:color="auto" w:fill="EDF1F5"/>
          </w:tcPr>
          <w:p>
            <w:pPr>
              <w:spacing w:after="0"/>
            </w:pPr>
            <w:r/>
            <w:r>
              <w:rPr>
                <w:sz w:val="16"/>
              </w:rPr>
              <w:t>2</w:t>
            </w:r>
          </w:p>
        </w:tc>
        <w:tc>
          <w:tcPr>
            <w:tcW w:type="dxa" w:w="1170"/>
            <w:shd w:val="clear" w:color="auto" w:fill="EDF1F5"/>
          </w:tcPr>
          <w:p>
            <w:pPr>
              <w:spacing w:after="0"/>
            </w:pPr>
            <w:r/>
            <w:r>
              <w:rPr>
                <w:sz w:val="16"/>
              </w:rPr>
              <w:t>6</w:t>
            </w:r>
          </w:p>
        </w:tc>
        <w:tc>
          <w:tcPr>
            <w:tcW w:type="dxa" w:w="1170"/>
            <w:shd w:val="clear" w:color="auto" w:fill="EDF1F5"/>
          </w:tcPr>
          <w:p>
            <w:pPr>
              <w:spacing w:after="0"/>
            </w:pPr>
            <w:r/>
            <w:r>
              <w:rPr>
                <w:sz w:val="16"/>
              </w:rPr>
              <w:t>4</w:t>
            </w:r>
          </w:p>
        </w:tc>
        <w:tc>
          <w:tcPr>
            <w:tcW w:type="dxa" w:w="1170"/>
            <w:shd w:val="clear" w:color="auto" w:fill="EDF1F5"/>
          </w:tcPr>
          <w:p>
            <w:pPr>
              <w:spacing w:after="0"/>
            </w:pPr>
            <w:r/>
            <w:r>
              <w:rPr>
                <w:sz w:val="16"/>
              </w:rPr>
              <w:t>300</w:t>
            </w:r>
          </w:p>
        </w:tc>
        <w:tc>
          <w:tcPr>
            <w:tcW w:type="dxa" w:w="1170"/>
            <w:shd w:val="clear" w:color="auto" w:fill="EDF1F5"/>
          </w:tcPr>
          <w:p>
            <w:pPr>
              <w:spacing w:after="0"/>
            </w:pPr>
            <w:r/>
            <w:r>
              <w:rPr>
                <w:sz w:val="16"/>
              </w:rPr>
              <w:t>Long-term</w:t>
            </w:r>
          </w:p>
        </w:tc>
        <w:tc>
          <w:tcPr>
            <w:tcW w:type="dxa" w:w="1170"/>
            <w:shd w:val="clear" w:color="auto" w:fill="EDF1F5"/>
          </w:tcPr>
          <w:p>
            <w:pPr>
              <w:spacing w:after="0"/>
            </w:pPr>
            <w:r/>
            <w:r>
              <w:rPr>
                <w:sz w:val="16"/>
              </w:rPr>
              <w:t>High</w:t>
            </w:r>
          </w:p>
        </w:tc>
      </w:tr>
      <w:tr>
        <w:tc>
          <w:tcPr>
            <w:tcW w:type="dxa" w:w="1170"/>
          </w:tcPr>
          <w:p>
            <w:pPr>
              <w:spacing w:after="0"/>
            </w:pPr>
            <w:r/>
            <w:r>
              <w:rPr>
                <w:sz w:val="16"/>
              </w:rPr>
              <w:t>LLM Wrappers</w:t>
            </w:r>
          </w:p>
        </w:tc>
        <w:tc>
          <w:tcPr>
            <w:tcW w:type="dxa" w:w="1170"/>
          </w:tcPr>
          <w:p>
            <w:pPr>
              <w:spacing w:after="0"/>
            </w:pPr>
            <w:r/>
            <w:r>
              <w:rPr>
                <w:sz w:val="16"/>
              </w:rPr>
              <w:t>Premium Pricing</w:t>
            </w:r>
          </w:p>
        </w:tc>
        <w:tc>
          <w:tcPr>
            <w:tcW w:type="dxa" w:w="1170"/>
          </w:tcPr>
          <w:p>
            <w:pPr>
              <w:spacing w:after="0"/>
            </w:pPr>
            <w:r/>
            <w:r>
              <w:rPr>
                <w:sz w:val="16"/>
              </w:rPr>
              <w:t>1</w:t>
            </w:r>
          </w:p>
        </w:tc>
        <w:tc>
          <w:tcPr>
            <w:tcW w:type="dxa" w:w="1170"/>
          </w:tcPr>
          <w:p>
            <w:pPr>
              <w:spacing w:after="0"/>
            </w:pPr>
            <w:r/>
            <w:r>
              <w:rPr>
                <w:sz w:val="16"/>
              </w:rPr>
              <w:t>3</w:t>
            </w:r>
          </w:p>
        </w:tc>
        <w:tc>
          <w:tcPr>
            <w:tcW w:type="dxa" w:w="1170"/>
          </w:tcPr>
          <w:p>
            <w:pPr>
              <w:spacing w:after="0"/>
            </w:pPr>
            <w:r/>
            <w:r>
              <w:rPr>
                <w:sz w:val="16"/>
              </w:rPr>
              <w:t>2</w:t>
            </w:r>
          </w:p>
        </w:tc>
        <w:tc>
          <w:tcPr>
            <w:tcW w:type="dxa" w:w="1170"/>
          </w:tcPr>
          <w:p>
            <w:pPr>
              <w:spacing w:after="0"/>
            </w:pPr>
            <w:r/>
            <w:r>
              <w:rPr>
                <w:sz w:val="16"/>
              </w:rPr>
              <w:t>300</w:t>
            </w:r>
          </w:p>
        </w:tc>
        <w:tc>
          <w:tcPr>
            <w:tcW w:type="dxa" w:w="1170"/>
          </w:tcPr>
          <w:p>
            <w:pPr>
              <w:spacing w:after="0"/>
            </w:pPr>
            <w:r/>
            <w:r>
              <w:rPr>
                <w:sz w:val="16"/>
              </w:rPr>
              <w:t>Long-term</w:t>
            </w:r>
          </w:p>
        </w:tc>
        <w:tc>
          <w:tcPr>
            <w:tcW w:type="dxa" w:w="1170"/>
          </w:tcPr>
          <w:p>
            <w:pPr>
              <w:spacing w:after="0"/>
            </w:pPr>
            <w:r/>
            <w:r>
              <w:rPr>
                <w:sz w:val="16"/>
              </w:rPr>
              <w:t>Medium</w:t>
            </w:r>
          </w:p>
        </w:tc>
      </w:tr>
      <w:tr>
        <w:tc>
          <w:tcPr>
            <w:tcW w:type="dxa" w:w="1170"/>
            <w:shd w:val="clear" w:color="auto" w:fill="EDF1F5"/>
          </w:tcPr>
          <w:p>
            <w:pPr>
              <w:spacing w:after="0"/>
            </w:pPr>
            <w:r/>
            <w:r>
              <w:rPr>
                <w:sz w:val="16"/>
              </w:rPr>
              <w:t>LLM Wrappers</w:t>
            </w:r>
          </w:p>
        </w:tc>
        <w:tc>
          <w:tcPr>
            <w:tcW w:type="dxa" w:w="1170"/>
            <w:shd w:val="clear" w:color="auto" w:fill="EDF1F5"/>
          </w:tcPr>
          <w:p>
            <w:pPr>
              <w:spacing w:after="0"/>
            </w:pPr>
            <w:r/>
            <w:r>
              <w:rPr>
                <w:sz w:val="16"/>
              </w:rPr>
              <w:t>Subsidize Usage</w:t>
            </w:r>
          </w:p>
        </w:tc>
        <w:tc>
          <w:tcPr>
            <w:tcW w:type="dxa" w:w="1170"/>
            <w:shd w:val="clear" w:color="auto" w:fill="EDF1F5"/>
          </w:tcPr>
          <w:p>
            <w:pPr>
              <w:spacing w:after="0"/>
            </w:pPr>
            <w:r/>
            <w:r>
              <w:rPr>
                <w:sz w:val="16"/>
              </w:rPr>
              <w:t>-3</w:t>
            </w:r>
          </w:p>
        </w:tc>
        <w:tc>
          <w:tcPr>
            <w:tcW w:type="dxa" w:w="1170"/>
            <w:shd w:val="clear" w:color="auto" w:fill="EDF1F5"/>
          </w:tcPr>
          <w:p>
            <w:pPr>
              <w:spacing w:after="0"/>
            </w:pPr>
            <w:r/>
            <w:r>
              <w:rPr>
                <w:sz w:val="16"/>
              </w:rPr>
              <w:t>-4</w:t>
            </w:r>
          </w:p>
        </w:tc>
        <w:tc>
          <w:tcPr>
            <w:tcW w:type="dxa" w:w="1170"/>
            <w:shd w:val="clear" w:color="auto" w:fill="EDF1F5"/>
          </w:tcPr>
          <w:p>
            <w:pPr>
              <w:spacing w:after="0"/>
            </w:pPr>
            <w:r/>
            <w:r>
              <w:rPr>
                <w:sz w:val="16"/>
              </w:rPr>
              <w:t>-1</w:t>
            </w:r>
          </w:p>
        </w:tc>
        <w:tc>
          <w:tcPr>
            <w:tcW w:type="dxa" w:w="1170"/>
            <w:shd w:val="clear" w:color="auto" w:fill="EDF1F5"/>
          </w:tcPr>
          <w:p>
            <w:pPr>
              <w:spacing w:after="0"/>
            </w:pPr>
            <w:r/>
            <w:r>
              <w:rPr>
                <w:sz w:val="16"/>
              </w:rPr>
              <w:t>133.30</w:t>
            </w:r>
          </w:p>
        </w:tc>
        <w:tc>
          <w:tcPr>
            <w:tcW w:type="dxa" w:w="1170"/>
            <w:shd w:val="clear" w:color="auto" w:fill="EDF1F5"/>
          </w:tcPr>
          <w:p>
            <w:pPr>
              <w:spacing w:after="0"/>
            </w:pPr>
            <w:r/>
            <w:r>
              <w:rPr>
                <w:sz w:val="16"/>
              </w:rPr>
              <w:t>Short-term</w:t>
            </w:r>
          </w:p>
        </w:tc>
        <w:tc>
          <w:tcPr>
            <w:tcW w:type="dxa" w:w="1170"/>
            <w:shd w:val="clear" w:color="auto" w:fill="EDF1F5"/>
          </w:tcPr>
          <w:p>
            <w:pPr>
              <w:spacing w:after="0"/>
            </w:pPr>
            <w:r/>
            <w:r>
              <w:rPr>
                <w:sz w:val="16"/>
              </w:rPr>
              <w:t>Critical</w:t>
            </w:r>
          </w:p>
        </w:tc>
      </w:tr>
    </w:tbl>
    <w:p>
      <w:pPr>
        <w:spacing w:after="80"/>
      </w:pPr>
      <w:r>
        <w:rPr>
          <w:sz w:val="4"/>
        </w:rPr>
      </w:r>
    </w:p>
    <w:p>
      <w:pPr>
        <w:keepNext/>
        <w:spacing w:before="200" w:after="40"/>
      </w:pPr>
      <w:r>
        <w:rPr>
          <w:b/>
          <w:color w:val="2C3E50"/>
          <w:sz w:val="20"/>
        </w:rPr>
        <w:t>Table 5.4b: Shapley Value Allocation (Cooperative Game) (also in Section 7)</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Player</w:t>
            </w:r>
          </w:p>
        </w:tc>
        <w:tc>
          <w:tcPr>
            <w:tcW w:type="dxa" w:w="1872"/>
            <w:tblHeader w:val="true"/>
            <w:shd w:val="clear" w:color="auto" w:fill="2C3E50"/>
          </w:tcPr>
          <w:p>
            <w:pPr>
              <w:jc w:val="center"/>
            </w:pPr>
            <w:r/>
            <w:r>
              <w:rPr>
                <w:b/>
                <w:color w:val="FFFFFF"/>
                <w:sz w:val="18"/>
              </w:rPr>
              <w:t>Original Value ($B)</w:t>
            </w:r>
          </w:p>
        </w:tc>
        <w:tc>
          <w:tcPr>
            <w:tcW w:type="dxa" w:w="1872"/>
            <w:tblHeader w:val="true"/>
            <w:shd w:val="clear" w:color="auto" w:fill="2C3E50"/>
          </w:tcPr>
          <w:p>
            <w:pPr>
              <w:jc w:val="center"/>
            </w:pPr>
            <w:r/>
            <w:r>
              <w:rPr>
                <w:b/>
                <w:color w:val="FFFFFF"/>
                <w:sz w:val="18"/>
              </w:rPr>
              <w:t>Shapley Value ($B)</w:t>
            </w:r>
          </w:p>
        </w:tc>
        <w:tc>
          <w:tcPr>
            <w:tcW w:type="dxa" w:w="1872"/>
            <w:tblHeader w:val="true"/>
            <w:shd w:val="clear" w:color="auto" w:fill="2C3E50"/>
          </w:tcPr>
          <w:p>
            <w:pPr>
              <w:jc w:val="center"/>
            </w:pPr>
            <w:r/>
            <w:r>
              <w:rPr>
                <w:b/>
                <w:color w:val="FFFFFF"/>
                <w:sz w:val="18"/>
              </w:rPr>
              <w:t>Gain/Loss ($B)</w:t>
            </w:r>
          </w:p>
        </w:tc>
        <w:tc>
          <w:tcPr>
            <w:tcW w:type="dxa" w:w="1872"/>
            <w:tblHeader w:val="true"/>
            <w:shd w:val="clear" w:color="auto" w:fill="2C3E50"/>
          </w:tcPr>
          <w:p>
            <w:pPr>
              <w:jc w:val="center"/>
            </w:pPr>
            <w:r/>
            <w:r>
              <w:rPr>
                <w:b/>
                <w:color w:val="FFFFFF"/>
                <w:sz w:val="18"/>
              </w:rPr>
              <w:t>Share of Total (%)</w:t>
            </w:r>
          </w:p>
        </w:tc>
      </w:tr>
      <w:tr>
        <w:tc>
          <w:tcPr>
            <w:tcW w:type="dxa" w:w="1872"/>
          </w:tcPr>
          <w:p>
            <w:pPr>
              <w:spacing w:after="0"/>
            </w:pPr>
            <w:r/>
            <w:r>
              <w:rPr>
                <w:sz w:val="17"/>
              </w:rPr>
              <w:t>Cloud Providers</w:t>
            </w:r>
          </w:p>
        </w:tc>
        <w:tc>
          <w:tcPr>
            <w:tcW w:type="dxa" w:w="1872"/>
          </w:tcPr>
          <w:p>
            <w:pPr>
              <w:spacing w:after="0"/>
            </w:pPr>
            <w:r/>
            <w:r>
              <w:rPr>
                <w:sz w:val="17"/>
              </w:rPr>
              <w:t>417</w:t>
            </w:r>
          </w:p>
        </w:tc>
        <w:tc>
          <w:tcPr>
            <w:tcW w:type="dxa" w:w="1872"/>
          </w:tcPr>
          <w:p>
            <w:pPr>
              <w:spacing w:after="0"/>
            </w:pPr>
            <w:r/>
            <w:r>
              <w:rPr>
                <w:sz w:val="17"/>
              </w:rPr>
              <w:t>520.14</w:t>
            </w:r>
          </w:p>
        </w:tc>
        <w:tc>
          <w:tcPr>
            <w:tcW w:type="dxa" w:w="1872"/>
          </w:tcPr>
          <w:p>
            <w:pPr>
              <w:spacing w:after="0"/>
            </w:pPr>
            <w:r/>
            <w:r>
              <w:rPr>
                <w:sz w:val="17"/>
              </w:rPr>
              <w:t>103.14</w:t>
            </w:r>
          </w:p>
        </w:tc>
        <w:tc>
          <w:tcPr>
            <w:tcW w:type="dxa" w:w="1872"/>
          </w:tcPr>
          <w:p>
            <w:pPr>
              <w:spacing w:after="0"/>
            </w:pPr>
            <w:r/>
            <w:r>
              <w:rPr>
                <w:sz w:val="17"/>
              </w:rPr>
              <w:t>38.70</w:t>
            </w:r>
          </w:p>
        </w:tc>
      </w:tr>
      <w:tr>
        <w:tc>
          <w:tcPr>
            <w:tcW w:type="dxa" w:w="1872"/>
            <w:shd w:val="clear" w:color="auto" w:fill="EDF1F5"/>
          </w:tcPr>
          <w:p>
            <w:pPr>
              <w:spacing w:after="0"/>
            </w:pPr>
            <w:r/>
            <w:r>
              <w:rPr>
                <w:sz w:val="17"/>
              </w:rPr>
              <w:t>Foundation Models</w:t>
            </w:r>
          </w:p>
        </w:tc>
        <w:tc>
          <w:tcPr>
            <w:tcW w:type="dxa" w:w="1872"/>
            <w:shd w:val="clear" w:color="auto" w:fill="EDF1F5"/>
          </w:tcPr>
          <w:p>
            <w:pPr>
              <w:spacing w:after="0"/>
            </w:pPr>
            <w:r/>
            <w:r>
              <w:rPr>
                <w:sz w:val="17"/>
              </w:rPr>
              <w:t>106.50</w:t>
            </w:r>
          </w:p>
        </w:tc>
        <w:tc>
          <w:tcPr>
            <w:tcW w:type="dxa" w:w="1872"/>
            <w:shd w:val="clear" w:color="auto" w:fill="EDF1F5"/>
          </w:tcPr>
          <w:p>
            <w:pPr>
              <w:spacing w:after="0"/>
            </w:pPr>
            <w:r/>
            <w:r>
              <w:rPr>
                <w:sz w:val="17"/>
              </w:rPr>
              <w:t>159.49</w:t>
            </w:r>
          </w:p>
        </w:tc>
        <w:tc>
          <w:tcPr>
            <w:tcW w:type="dxa" w:w="1872"/>
            <w:shd w:val="clear" w:color="auto" w:fill="EDF1F5"/>
          </w:tcPr>
          <w:p>
            <w:pPr>
              <w:spacing w:after="0"/>
            </w:pPr>
            <w:r/>
            <w:r>
              <w:rPr>
                <w:sz w:val="17"/>
              </w:rPr>
              <w:t>52.99</w:t>
            </w:r>
          </w:p>
        </w:tc>
        <w:tc>
          <w:tcPr>
            <w:tcW w:type="dxa" w:w="1872"/>
            <w:shd w:val="clear" w:color="auto" w:fill="EDF1F5"/>
          </w:tcPr>
          <w:p>
            <w:pPr>
              <w:spacing w:after="0"/>
            </w:pPr>
            <w:r/>
            <w:r>
              <w:rPr>
                <w:sz w:val="17"/>
              </w:rPr>
              <w:t>11.90</w:t>
            </w:r>
          </w:p>
        </w:tc>
      </w:tr>
      <w:tr>
        <w:tc>
          <w:tcPr>
            <w:tcW w:type="dxa" w:w="1872"/>
          </w:tcPr>
          <w:p>
            <w:pPr>
              <w:spacing w:after="0"/>
            </w:pPr>
            <w:r/>
            <w:r>
              <w:rPr>
                <w:sz w:val="17"/>
              </w:rPr>
              <w:t>Hardware</w:t>
            </w:r>
          </w:p>
        </w:tc>
        <w:tc>
          <w:tcPr>
            <w:tcW w:type="dxa" w:w="1872"/>
          </w:tcPr>
          <w:p>
            <w:pPr>
              <w:spacing w:after="0"/>
            </w:pPr>
            <w:r/>
            <w:r>
              <w:rPr>
                <w:sz w:val="17"/>
              </w:rPr>
              <w:t>475</w:t>
            </w:r>
          </w:p>
        </w:tc>
        <w:tc>
          <w:tcPr>
            <w:tcW w:type="dxa" w:w="1872"/>
          </w:tcPr>
          <w:p>
            <w:pPr>
              <w:spacing w:after="0"/>
            </w:pPr>
            <w:r/>
            <w:r>
              <w:rPr>
                <w:sz w:val="17"/>
              </w:rPr>
              <w:t>583.78</w:t>
            </w:r>
          </w:p>
        </w:tc>
        <w:tc>
          <w:tcPr>
            <w:tcW w:type="dxa" w:w="1872"/>
          </w:tcPr>
          <w:p>
            <w:pPr>
              <w:spacing w:after="0"/>
            </w:pPr>
            <w:r/>
            <w:r>
              <w:rPr>
                <w:sz w:val="17"/>
              </w:rPr>
              <w:t>108.78</w:t>
            </w:r>
          </w:p>
        </w:tc>
        <w:tc>
          <w:tcPr>
            <w:tcW w:type="dxa" w:w="1872"/>
          </w:tcPr>
          <w:p>
            <w:pPr>
              <w:spacing w:after="0"/>
            </w:pPr>
            <w:r/>
            <w:r>
              <w:rPr>
                <w:sz w:val="17"/>
              </w:rPr>
              <w:t>43.40</w:t>
            </w:r>
          </w:p>
        </w:tc>
      </w:tr>
      <w:tr>
        <w:tc>
          <w:tcPr>
            <w:tcW w:type="dxa" w:w="1872"/>
            <w:shd w:val="clear" w:color="auto" w:fill="EDF1F5"/>
          </w:tcPr>
          <w:p>
            <w:pPr>
              <w:spacing w:after="0"/>
            </w:pPr>
            <w:r/>
            <w:r>
              <w:rPr>
                <w:sz w:val="17"/>
              </w:rPr>
              <w:t>LLM Wrappers</w:t>
            </w:r>
          </w:p>
        </w:tc>
        <w:tc>
          <w:tcPr>
            <w:tcW w:type="dxa" w:w="1872"/>
            <w:shd w:val="clear" w:color="auto" w:fill="EDF1F5"/>
          </w:tcPr>
          <w:p>
            <w:pPr>
              <w:spacing w:after="0"/>
            </w:pPr>
            <w:r/>
            <w:r>
              <w:rPr>
                <w:sz w:val="17"/>
              </w:rPr>
              <w:t>36</w:t>
            </w:r>
          </w:p>
        </w:tc>
        <w:tc>
          <w:tcPr>
            <w:tcW w:type="dxa" w:w="1872"/>
            <w:shd w:val="clear" w:color="auto" w:fill="EDF1F5"/>
          </w:tcPr>
          <w:p>
            <w:pPr>
              <w:spacing w:after="0"/>
            </w:pPr>
            <w:r/>
            <w:r>
              <w:rPr>
                <w:sz w:val="17"/>
              </w:rPr>
              <w:t>81.44</w:t>
            </w:r>
          </w:p>
        </w:tc>
        <w:tc>
          <w:tcPr>
            <w:tcW w:type="dxa" w:w="1872"/>
            <w:shd w:val="clear" w:color="auto" w:fill="EDF1F5"/>
          </w:tcPr>
          <w:p>
            <w:pPr>
              <w:spacing w:after="0"/>
            </w:pPr>
            <w:r/>
            <w:r>
              <w:rPr>
                <w:sz w:val="17"/>
              </w:rPr>
              <w:t>45.44</w:t>
            </w:r>
          </w:p>
        </w:tc>
        <w:tc>
          <w:tcPr>
            <w:tcW w:type="dxa" w:w="1872"/>
            <w:shd w:val="clear" w:color="auto" w:fill="EDF1F5"/>
          </w:tcPr>
          <w:p>
            <w:pPr>
              <w:spacing w:after="0"/>
            </w:pPr>
            <w:r/>
            <w:r>
              <w:rPr>
                <w:sz w:val="17"/>
              </w:rPr>
              <w:t>6.10</w:t>
            </w:r>
          </w:p>
        </w:tc>
      </w:tr>
    </w:tbl>
    <w:p>
      <w:pPr>
        <w:spacing w:after="80"/>
      </w:pPr>
      <w:r>
        <w:rPr>
          <w:sz w:val="4"/>
        </w:rPr>
      </w:r>
    </w:p>
    <w:p>
      <w:pPr>
        <w:keepNext/>
        <w:spacing w:before="200" w:after="40"/>
      </w:pPr>
      <w:r>
        <w:rPr>
          <w:b/>
          <w:color w:val="2C3E50"/>
          <w:sz w:val="20"/>
        </w:rPr>
        <w:t>Table 6.1–6.3: Policy Simulation Summary (v4.0) (also in Section 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Policy Scenario</w:t>
            </w:r>
          </w:p>
        </w:tc>
        <w:tc>
          <w:tcPr>
            <w:tcW w:type="dxa" w:w="1337"/>
            <w:tblHeader w:val="true"/>
            <w:shd w:val="clear" w:color="auto" w:fill="2C3E50"/>
          </w:tcPr>
          <w:p>
            <w:pPr>
              <w:jc w:val="center"/>
            </w:pPr>
            <w:r/>
            <w:r>
              <w:rPr>
                <w:b/>
                <w:color w:val="FFFFFF"/>
                <w:sz w:val="18"/>
              </w:rPr>
              <w:t>DWL Reduction ($B)</w:t>
            </w:r>
          </w:p>
        </w:tc>
        <w:tc>
          <w:tcPr>
            <w:tcW w:type="dxa" w:w="1337"/>
            <w:tblHeader w:val="true"/>
            <w:shd w:val="clear" w:color="auto" w:fill="2C3E50"/>
          </w:tcPr>
          <w:p>
            <w:pPr>
              <w:jc w:val="center"/>
            </w:pPr>
            <w:r/>
            <w:r>
              <w:rPr>
                <w:b/>
                <w:color w:val="FFFFFF"/>
                <w:sz w:val="18"/>
              </w:rPr>
              <w:t>Welfare Improvement (%)</w:t>
            </w:r>
          </w:p>
        </w:tc>
        <w:tc>
          <w:tcPr>
            <w:tcW w:type="dxa" w:w="1337"/>
            <w:tblHeader w:val="true"/>
            <w:shd w:val="clear" w:color="auto" w:fill="2C3E50"/>
          </w:tcPr>
          <w:p>
            <w:pPr>
              <w:jc w:val="center"/>
            </w:pPr>
            <w:r/>
            <w:r>
              <w:rPr>
                <w:b/>
                <w:color w:val="FFFFFF"/>
                <w:sz w:val="18"/>
              </w:rPr>
              <w:t>Implementation Cost ($B)</w:t>
            </w:r>
          </w:p>
        </w:tc>
        <w:tc>
          <w:tcPr>
            <w:tcW w:type="dxa" w:w="1337"/>
            <w:tblHeader w:val="true"/>
            <w:shd w:val="clear" w:color="auto" w:fill="2C3E50"/>
          </w:tcPr>
          <w:p>
            <w:pPr>
              <w:jc w:val="center"/>
            </w:pPr>
            <w:r/>
            <w:r>
              <w:rPr>
                <w:b/>
                <w:color w:val="FFFFFF"/>
                <w:sz w:val="18"/>
              </w:rPr>
              <w:t>Net Annual Benefit ($B)</w:t>
            </w:r>
          </w:p>
        </w:tc>
        <w:tc>
          <w:tcPr>
            <w:tcW w:type="dxa" w:w="1337"/>
            <w:tblHeader w:val="true"/>
            <w:shd w:val="clear" w:color="auto" w:fill="2C3E50"/>
          </w:tcPr>
          <w:p>
            <w:pPr>
              <w:jc w:val="center"/>
            </w:pPr>
            <w:r/>
            <w:r>
              <w:rPr>
                <w:b/>
                <w:color w:val="FFFFFF"/>
                <w:sz w:val="18"/>
              </w:rPr>
              <w:t>Benefit-Cost Ratio</w:t>
            </w:r>
          </w:p>
        </w:tc>
        <w:tc>
          <w:tcPr>
            <w:tcW w:type="dxa" w:w="1337"/>
            <w:tblHeader w:val="true"/>
            <w:shd w:val="clear" w:color="auto" w:fill="2C3E50"/>
          </w:tcPr>
          <w:p>
            <w:pPr>
              <w:jc w:val="center"/>
            </w:pPr>
            <w:r/>
            <w:r>
              <w:rPr>
                <w:b/>
                <w:color w:val="FFFFFF"/>
                <w:sz w:val="18"/>
              </w:rPr>
              <w:t>Source</w:t>
            </w:r>
          </w:p>
        </w:tc>
      </w:tr>
      <w:tr>
        <w:tc>
          <w:tcPr>
            <w:tcW w:type="dxa" w:w="1337"/>
          </w:tcPr>
          <w:p>
            <w:pPr>
              <w:spacing w:after="0"/>
            </w:pPr>
            <w:r/>
            <w:r>
              <w:rPr>
                <w:sz w:val="17"/>
              </w:rPr>
              <w:t>Combined Intervention</w:t>
            </w:r>
          </w:p>
        </w:tc>
        <w:tc>
          <w:tcPr>
            <w:tcW w:type="dxa" w:w="1337"/>
          </w:tcPr>
          <w:p>
            <w:pPr>
              <w:spacing w:after="0"/>
            </w:pPr>
            <w:r/>
            <w:r>
              <w:rPr>
                <w:sz w:val="17"/>
              </w:rPr>
              <w:t>229.22</w:t>
            </w:r>
          </w:p>
        </w:tc>
        <w:tc>
          <w:tcPr>
            <w:tcW w:type="dxa" w:w="1337"/>
          </w:tcPr>
          <w:p>
            <w:pPr>
              <w:spacing w:after="0"/>
            </w:pPr>
            <w:r/>
            <w:r>
              <w:rPr>
                <w:sz w:val="17"/>
              </w:rPr>
              <w:t>55</w:t>
            </w:r>
          </w:p>
        </w:tc>
        <w:tc>
          <w:tcPr>
            <w:tcW w:type="dxa" w:w="1337"/>
          </w:tcPr>
          <w:p>
            <w:pPr>
              <w:spacing w:after="0"/>
            </w:pPr>
            <w:r/>
            <w:r>
              <w:rPr>
                <w:sz w:val="17"/>
              </w:rPr>
              <w:t>15</w:t>
            </w:r>
          </w:p>
        </w:tc>
        <w:tc>
          <w:tcPr>
            <w:tcW w:type="dxa" w:w="1337"/>
          </w:tcPr>
          <w:p>
            <w:pPr>
              <w:spacing w:after="0"/>
            </w:pPr>
            <w:r/>
            <w:r>
              <w:rPr>
                <w:sz w:val="17"/>
              </w:rPr>
              <w:t>214.22</w:t>
            </w:r>
          </w:p>
        </w:tc>
        <w:tc>
          <w:tcPr>
            <w:tcW w:type="dxa" w:w="1337"/>
          </w:tcPr>
          <w:p>
            <w:pPr>
              <w:spacing w:after="0"/>
            </w:pPr>
            <w:r/>
            <w:r>
              <w:rPr>
                <w:sz w:val="17"/>
              </w:rPr>
              <w:t>15.28</w:t>
            </w:r>
          </w:p>
        </w:tc>
        <w:tc>
          <w:tcPr>
            <w:tcW w:type="dxa" w:w="1337"/>
          </w:tcPr>
          <w:p>
            <w:pPr>
              <w:spacing w:after="0"/>
            </w:pPr>
            <w:r/>
            <w:r>
              <w:rPr>
                <w:sz w:val="17"/>
              </w:rPr>
              <w:t>Policy complementarity (Crémer et al. 2019)</w:t>
            </w:r>
          </w:p>
        </w:tc>
      </w:tr>
      <w:tr>
        <w:tc>
          <w:tcPr>
            <w:tcW w:type="dxa" w:w="1337"/>
            <w:shd w:val="clear" w:color="auto" w:fill="EDF1F5"/>
          </w:tcPr>
          <w:p>
            <w:pPr>
              <w:spacing w:after="0"/>
            </w:pPr>
            <w:r/>
            <w:r>
              <w:rPr>
                <w:sz w:val="17"/>
              </w:rPr>
              <w:t>API Interoperability Mandate</w:t>
            </w:r>
          </w:p>
        </w:tc>
        <w:tc>
          <w:tcPr>
            <w:tcW w:type="dxa" w:w="1337"/>
            <w:shd w:val="clear" w:color="auto" w:fill="EDF1F5"/>
          </w:tcPr>
          <w:p>
            <w:pPr>
              <w:spacing w:after="0"/>
            </w:pPr>
            <w:r/>
            <w:r>
              <w:rPr>
                <w:sz w:val="17"/>
              </w:rPr>
              <w:t>145.87</w:t>
            </w:r>
          </w:p>
        </w:tc>
        <w:tc>
          <w:tcPr>
            <w:tcW w:type="dxa" w:w="1337"/>
            <w:shd w:val="clear" w:color="auto" w:fill="EDF1F5"/>
          </w:tcPr>
          <w:p>
            <w:pPr>
              <w:spacing w:after="0"/>
            </w:pPr>
            <w:r/>
            <w:r>
              <w:rPr>
                <w:sz w:val="17"/>
              </w:rPr>
              <w:t>35</w:t>
            </w:r>
          </w:p>
        </w:tc>
        <w:tc>
          <w:tcPr>
            <w:tcW w:type="dxa" w:w="1337"/>
            <w:shd w:val="clear" w:color="auto" w:fill="EDF1F5"/>
          </w:tcPr>
          <w:p>
            <w:pPr>
              <w:spacing w:after="0"/>
            </w:pPr>
            <w:r/>
            <w:r>
              <w:rPr>
                <w:sz w:val="17"/>
              </w:rPr>
              <w:t>5</w:t>
            </w:r>
          </w:p>
        </w:tc>
        <w:tc>
          <w:tcPr>
            <w:tcW w:type="dxa" w:w="1337"/>
            <w:shd w:val="clear" w:color="auto" w:fill="EDF1F5"/>
          </w:tcPr>
          <w:p>
            <w:pPr>
              <w:spacing w:after="0"/>
            </w:pPr>
            <w:r/>
            <w:r>
              <w:rPr>
                <w:sz w:val="17"/>
              </w:rPr>
              <w:t>140.87</w:t>
            </w:r>
          </w:p>
        </w:tc>
        <w:tc>
          <w:tcPr>
            <w:tcW w:type="dxa" w:w="1337"/>
            <w:shd w:val="clear" w:color="auto" w:fill="EDF1F5"/>
          </w:tcPr>
          <w:p>
            <w:pPr>
              <w:spacing w:after="0"/>
            </w:pPr>
            <w:r/>
            <w:r>
              <w:rPr>
                <w:sz w:val="17"/>
              </w:rPr>
              <w:t>29.17</w:t>
            </w:r>
          </w:p>
        </w:tc>
        <w:tc>
          <w:tcPr>
            <w:tcW w:type="dxa" w:w="1337"/>
            <w:shd w:val="clear" w:color="auto" w:fill="EDF1F5"/>
          </w:tcPr>
          <w:p>
            <w:pPr>
              <w:spacing w:after="0"/>
            </w:pPr>
            <w:r/>
            <w:r>
              <w:rPr>
                <w:sz w:val="17"/>
              </w:rPr>
              <w:t>EU Digital Markets Act (European Commission 2022)</w:t>
            </w:r>
          </w:p>
        </w:tc>
      </w:tr>
      <w:tr>
        <w:tc>
          <w:tcPr>
            <w:tcW w:type="dxa" w:w="1337"/>
          </w:tcPr>
          <w:p>
            <w:pPr>
              <w:spacing w:after="0"/>
            </w:pPr>
            <w:r/>
            <w:r>
              <w:rPr>
                <w:sz w:val="17"/>
              </w:rPr>
              <w:t>Antitrust Enforcement</w:t>
            </w:r>
          </w:p>
        </w:tc>
        <w:tc>
          <w:tcPr>
            <w:tcW w:type="dxa" w:w="1337"/>
          </w:tcPr>
          <w:p>
            <w:pPr>
              <w:spacing w:after="0"/>
            </w:pPr>
            <w:r/>
            <w:r>
              <w:rPr>
                <w:sz w:val="17"/>
              </w:rPr>
              <w:t>104.19</w:t>
            </w:r>
          </w:p>
        </w:tc>
        <w:tc>
          <w:tcPr>
            <w:tcW w:type="dxa" w:w="1337"/>
          </w:tcPr>
          <w:p>
            <w:pPr>
              <w:spacing w:after="0"/>
            </w:pPr>
            <w:r/>
            <w:r>
              <w:rPr>
                <w:sz w:val="17"/>
              </w:rPr>
              <w:t>25</w:t>
            </w:r>
          </w:p>
        </w:tc>
        <w:tc>
          <w:tcPr>
            <w:tcW w:type="dxa" w:w="1337"/>
          </w:tcPr>
          <w:p>
            <w:pPr>
              <w:spacing w:after="0"/>
            </w:pPr>
            <w:r/>
            <w:r>
              <w:rPr>
                <w:sz w:val="17"/>
              </w:rPr>
              <w:t>2</w:t>
            </w:r>
          </w:p>
        </w:tc>
        <w:tc>
          <w:tcPr>
            <w:tcW w:type="dxa" w:w="1337"/>
          </w:tcPr>
          <w:p>
            <w:pPr>
              <w:spacing w:after="0"/>
            </w:pPr>
            <w:r/>
            <w:r>
              <w:rPr>
                <w:sz w:val="17"/>
              </w:rPr>
              <w:t>102.19</w:t>
            </w:r>
          </w:p>
        </w:tc>
        <w:tc>
          <w:tcPr>
            <w:tcW w:type="dxa" w:w="1337"/>
          </w:tcPr>
          <w:p>
            <w:pPr>
              <w:spacing w:after="0"/>
            </w:pPr>
            <w:r/>
            <w:r>
              <w:rPr>
                <w:sz w:val="17"/>
              </w:rPr>
              <w:t>52.10</w:t>
            </w:r>
          </w:p>
        </w:tc>
        <w:tc>
          <w:tcPr>
            <w:tcW w:type="dxa" w:w="1337"/>
          </w:tcPr>
          <w:p>
            <w:pPr>
              <w:spacing w:after="0"/>
            </w:pPr>
            <w:r/>
            <w:r>
              <w:rPr>
                <w:sz w:val="17"/>
              </w:rPr>
              <w:t>DOJ/FTC costs (Baker 2019)</w:t>
            </w:r>
          </w:p>
        </w:tc>
      </w:tr>
      <w:tr>
        <w:tc>
          <w:tcPr>
            <w:tcW w:type="dxa" w:w="1337"/>
            <w:shd w:val="clear" w:color="auto" w:fill="EDF1F5"/>
          </w:tcPr>
          <w:p>
            <w:pPr>
              <w:spacing w:after="0"/>
            </w:pPr>
            <w:r/>
            <w:r>
              <w:rPr>
                <w:sz w:val="17"/>
              </w:rPr>
              <w:t>Innovation Subsidies</w:t>
            </w:r>
          </w:p>
        </w:tc>
        <w:tc>
          <w:tcPr>
            <w:tcW w:type="dxa" w:w="1337"/>
            <w:shd w:val="clear" w:color="auto" w:fill="EDF1F5"/>
          </w:tcPr>
          <w:p>
            <w:pPr>
              <w:spacing w:after="0"/>
            </w:pPr>
            <w:r/>
            <w:r>
              <w:rPr>
                <w:sz w:val="17"/>
              </w:rPr>
              <w:t>93.77</w:t>
            </w:r>
          </w:p>
        </w:tc>
        <w:tc>
          <w:tcPr>
            <w:tcW w:type="dxa" w:w="1337"/>
            <w:shd w:val="clear" w:color="auto" w:fill="EDF1F5"/>
          </w:tcPr>
          <w:p>
            <w:pPr>
              <w:spacing w:after="0"/>
            </w:pPr>
            <w:r/>
            <w:r>
              <w:rPr>
                <w:sz w:val="17"/>
              </w:rPr>
              <w:t>22.50</w:t>
            </w:r>
          </w:p>
        </w:tc>
        <w:tc>
          <w:tcPr>
            <w:tcW w:type="dxa" w:w="1337"/>
            <w:shd w:val="clear" w:color="auto" w:fill="EDF1F5"/>
          </w:tcPr>
          <w:p>
            <w:pPr>
              <w:spacing w:after="0"/>
            </w:pPr>
            <w:r/>
            <w:r>
              <w:rPr>
                <w:sz w:val="17"/>
              </w:rPr>
              <w:t>8</w:t>
            </w:r>
          </w:p>
        </w:tc>
        <w:tc>
          <w:tcPr>
            <w:tcW w:type="dxa" w:w="1337"/>
            <w:shd w:val="clear" w:color="auto" w:fill="EDF1F5"/>
          </w:tcPr>
          <w:p>
            <w:pPr>
              <w:spacing w:after="0"/>
            </w:pPr>
            <w:r/>
            <w:r>
              <w:rPr>
                <w:sz w:val="17"/>
              </w:rPr>
              <w:t>85.77</w:t>
            </w:r>
          </w:p>
        </w:tc>
        <w:tc>
          <w:tcPr>
            <w:tcW w:type="dxa" w:w="1337"/>
            <w:shd w:val="clear" w:color="auto" w:fill="EDF1F5"/>
          </w:tcPr>
          <w:p>
            <w:pPr>
              <w:spacing w:after="0"/>
            </w:pPr>
            <w:r/>
            <w:r>
              <w:rPr>
                <w:sz w:val="17"/>
              </w:rPr>
              <w:t>11.72</w:t>
            </w:r>
          </w:p>
        </w:tc>
        <w:tc>
          <w:tcPr>
            <w:tcW w:type="dxa" w:w="1337"/>
            <w:shd w:val="clear" w:color="auto" w:fill="EDF1F5"/>
          </w:tcPr>
          <w:p>
            <w:pPr>
              <w:spacing w:after="0"/>
            </w:pPr>
            <w:r/>
            <w:r>
              <w:rPr>
                <w:sz w:val="17"/>
              </w:rPr>
              <w:t>CHIPS Act (CBO Jul 2022 cost estimate) &amp; IRA credits (JCT scores)</w:t>
            </w:r>
          </w:p>
        </w:tc>
      </w:tr>
      <w:tr>
        <w:tc>
          <w:tcPr>
            <w:tcW w:type="dxa" w:w="1337"/>
          </w:tcPr>
          <w:p>
            <w:pPr>
              <w:spacing w:after="0"/>
            </w:pPr>
            <w:r/>
            <w:r>
              <w:rPr>
                <w:sz w:val="17"/>
              </w:rPr>
              <w:t>Data Sharing Mandate</w:t>
            </w:r>
          </w:p>
        </w:tc>
        <w:tc>
          <w:tcPr>
            <w:tcW w:type="dxa" w:w="1337"/>
          </w:tcPr>
          <w:p>
            <w:pPr>
              <w:spacing w:after="0"/>
            </w:pPr>
            <w:r/>
            <w:r>
              <w:rPr>
                <w:sz w:val="17"/>
              </w:rPr>
              <w:t>75.02</w:t>
            </w:r>
          </w:p>
        </w:tc>
        <w:tc>
          <w:tcPr>
            <w:tcW w:type="dxa" w:w="1337"/>
          </w:tcPr>
          <w:p>
            <w:pPr>
              <w:spacing w:after="0"/>
            </w:pPr>
            <w:r/>
            <w:r>
              <w:rPr>
                <w:sz w:val="17"/>
              </w:rPr>
              <w:t>18</w:t>
            </w:r>
          </w:p>
        </w:tc>
        <w:tc>
          <w:tcPr>
            <w:tcW w:type="dxa" w:w="1337"/>
          </w:tcPr>
          <w:p>
            <w:pPr>
              <w:spacing w:after="0"/>
            </w:pPr>
            <w:r/>
            <w:r>
              <w:rPr>
                <w:sz w:val="17"/>
              </w:rPr>
              <w:t>3</w:t>
            </w:r>
          </w:p>
        </w:tc>
        <w:tc>
          <w:tcPr>
            <w:tcW w:type="dxa" w:w="1337"/>
          </w:tcPr>
          <w:p>
            <w:pPr>
              <w:spacing w:after="0"/>
            </w:pPr>
            <w:r/>
            <w:r>
              <w:rPr>
                <w:sz w:val="17"/>
              </w:rPr>
              <w:t>72.02</w:t>
            </w:r>
          </w:p>
        </w:tc>
        <w:tc>
          <w:tcPr>
            <w:tcW w:type="dxa" w:w="1337"/>
          </w:tcPr>
          <w:p>
            <w:pPr>
              <w:spacing w:after="0"/>
            </w:pPr>
            <w:r/>
            <w:r>
              <w:rPr>
                <w:sz w:val="17"/>
              </w:rPr>
              <w:t>25.01</w:t>
            </w:r>
          </w:p>
        </w:tc>
        <w:tc>
          <w:tcPr>
            <w:tcW w:type="dxa" w:w="1337"/>
          </w:tcPr>
          <w:p>
            <w:pPr>
              <w:spacing w:after="0"/>
            </w:pPr>
            <w:r/>
            <w:r>
              <w:rPr>
                <w:sz w:val="17"/>
              </w:rPr>
              <w:t>Krämer, Senellart &amp; de Streel (2020), Making Data Portability More Effective, CERRE</w:t>
            </w:r>
          </w:p>
        </w:tc>
      </w:tr>
    </w:tbl>
    <w:p>
      <w:pPr>
        <w:spacing w:after="80"/>
      </w:pPr>
      <w:r>
        <w:rPr>
          <w:sz w:val="4"/>
        </w:rPr>
      </w:r>
    </w:p>
    <w:p>
      <w:pPr>
        <w:keepNext/>
        <w:spacing w:before="200" w:after="40"/>
      </w:pPr>
      <w:r>
        <w:rPr>
          <w:b/>
          <w:color w:val="2C3E50"/>
          <w:sz w:val="20"/>
        </w:rPr>
        <w:t>Table 6.4_bcr_break_even: BCR Break-Even Conditions (welfare + burst families) (appendix only)</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blHeader w:val="true"/>
            <w:shd w:val="clear" w:color="auto" w:fill="2C3E50"/>
          </w:tcPr>
          <w:p>
            <w:pPr>
              <w:jc w:val="center"/>
            </w:pPr>
            <w:r/>
            <w:r>
              <w:rPr>
                <w:b/>
                <w:color w:val="FFFFFF"/>
                <w:sz w:val="17"/>
              </w:rPr>
              <w:t>index</w:t>
            </w:r>
          </w:p>
        </w:tc>
        <w:tc>
          <w:tcPr>
            <w:tcW w:type="dxa" w:w="936"/>
            <w:tblHeader w:val="true"/>
            <w:shd w:val="clear" w:color="auto" w:fill="2C3E50"/>
          </w:tcPr>
          <w:p>
            <w:pPr>
              <w:jc w:val="center"/>
            </w:pPr>
            <w:r/>
            <w:r>
              <w:rPr>
                <w:b/>
                <w:color w:val="FFFFFF"/>
                <w:sz w:val="17"/>
              </w:rPr>
              <w:t>welfare (DWL)</w:t>
            </w:r>
          </w:p>
        </w:tc>
        <w:tc>
          <w:tcPr>
            <w:tcW w:type="dxa" w:w="936"/>
            <w:tblHeader w:val="true"/>
            <w:shd w:val="clear" w:color="auto" w:fill="2C3E50"/>
          </w:tcPr>
          <w:p>
            <w:pPr>
              <w:jc w:val="center"/>
            </w:pPr>
            <w:r/>
            <w:r>
              <w:rPr>
                <w:b/>
                <w:color w:val="FFFFFF"/>
                <w:sz w:val="17"/>
              </w:rPr>
              <w:t>welfare (DWL)</w:t>
            </w:r>
          </w:p>
        </w:tc>
        <w:tc>
          <w:tcPr>
            <w:tcW w:type="dxa" w:w="936"/>
            <w:tblHeader w:val="true"/>
            <w:shd w:val="clear" w:color="auto" w:fill="2C3E50"/>
          </w:tcPr>
          <w:p>
            <w:pPr>
              <w:jc w:val="center"/>
            </w:pPr>
            <w:r/>
            <w:r>
              <w:rPr>
                <w:b/>
                <w:color w:val="FFFFFF"/>
                <w:sz w:val="17"/>
              </w:rPr>
              <w:t>welfare (DWL)</w:t>
            </w:r>
          </w:p>
        </w:tc>
        <w:tc>
          <w:tcPr>
            <w:tcW w:type="dxa" w:w="936"/>
            <w:tblHeader w:val="true"/>
            <w:shd w:val="clear" w:color="auto" w:fill="2C3E50"/>
          </w:tcPr>
          <w:p>
            <w:pPr>
              <w:jc w:val="center"/>
            </w:pPr>
            <w:r/>
            <w:r>
              <w:rPr>
                <w:b/>
                <w:color w:val="FFFFFF"/>
                <w:sz w:val="17"/>
              </w:rPr>
              <w:t>welfare (DWL)</w:t>
            </w:r>
          </w:p>
        </w:tc>
        <w:tc>
          <w:tcPr>
            <w:tcW w:type="dxa" w:w="936"/>
            <w:tblHeader w:val="true"/>
            <w:shd w:val="clear" w:color="auto" w:fill="2C3E50"/>
          </w:tcPr>
          <w:p>
            <w:pPr>
              <w:jc w:val="center"/>
            </w:pPr>
            <w:r/>
            <w:r>
              <w:rPr>
                <w:b/>
                <w:color w:val="FFFFFF"/>
                <w:sz w:val="17"/>
              </w:rPr>
              <w:t>welfare (DWL)</w:t>
            </w:r>
          </w:p>
        </w:tc>
        <w:tc>
          <w:tcPr>
            <w:tcW w:type="dxa" w:w="936"/>
            <w:tblHeader w:val="true"/>
            <w:shd w:val="clear" w:color="auto" w:fill="2C3E50"/>
          </w:tcPr>
          <w:p>
            <w:pPr>
              <w:jc w:val="center"/>
            </w:pPr>
            <w:r/>
            <w:r>
              <w:rPr>
                <w:b/>
                <w:color w:val="FFFFFF"/>
                <w:sz w:val="17"/>
              </w:rPr>
              <w:t>burst (severe loss)</w:t>
            </w:r>
          </w:p>
        </w:tc>
        <w:tc>
          <w:tcPr>
            <w:tcW w:type="dxa" w:w="936"/>
            <w:tblHeader w:val="true"/>
            <w:shd w:val="clear" w:color="auto" w:fill="2C3E50"/>
          </w:tcPr>
          <w:p>
            <w:pPr>
              <w:jc w:val="center"/>
            </w:pPr>
            <w:r/>
            <w:r>
              <w:rPr>
                <w:b/>
                <w:color w:val="FFFFFF"/>
                <w:sz w:val="17"/>
              </w:rPr>
              <w:t>burst (severe loss)</w:t>
            </w:r>
          </w:p>
        </w:tc>
        <w:tc>
          <w:tcPr>
            <w:tcW w:type="dxa" w:w="936"/>
            <w:tblHeader w:val="true"/>
            <w:shd w:val="clear" w:color="auto" w:fill="2C3E50"/>
          </w:tcPr>
          <w:p>
            <w:pPr>
              <w:jc w:val="center"/>
            </w:pPr>
            <w:r/>
            <w:r>
              <w:rPr>
                <w:b/>
                <w:color w:val="FFFFFF"/>
                <w:sz w:val="17"/>
              </w:rPr>
              <w:t>burst (severe loss)</w:t>
            </w:r>
          </w:p>
        </w:tc>
        <w:tc>
          <w:tcPr>
            <w:tcW w:type="dxa" w:w="936"/>
            <w:tblHeader w:val="true"/>
            <w:shd w:val="clear" w:color="auto" w:fill="2C3E50"/>
          </w:tcPr>
          <w:p>
            <w:pPr>
              <w:jc w:val="center"/>
            </w:pPr>
            <w:r/>
            <w:r>
              <w:rPr>
                <w:b/>
                <w:color w:val="FFFFFF"/>
                <w:sz w:val="17"/>
              </w:rPr>
              <w:t>burst (severe loss)</w:t>
            </w:r>
          </w:p>
        </w:tc>
      </w:tr>
      <w:tr>
        <w:tc>
          <w:tcPr>
            <w:tcW w:type="dxa" w:w="936"/>
          </w:tcPr>
          <w:p>
            <w:pPr>
              <w:spacing w:after="0"/>
            </w:pPr>
            <w:r/>
            <w:r>
              <w:rPr>
                <w:sz w:val="16"/>
              </w:rPr>
              <w:t>Intervention</w:t>
            </w:r>
          </w:p>
        </w:tc>
        <w:tc>
          <w:tcPr>
            <w:tcW w:type="dxa" w:w="936"/>
          </w:tcPr>
          <w:p>
            <w:pPr>
              <w:spacing w:after="0"/>
            </w:pPr>
            <w:r/>
            <w:r>
              <w:rPr>
                <w:sz w:val="16"/>
              </w:rPr>
              <w:t>API Interoperability Mandate</w:t>
            </w:r>
          </w:p>
        </w:tc>
        <w:tc>
          <w:tcPr>
            <w:tcW w:type="dxa" w:w="936"/>
          </w:tcPr>
          <w:p>
            <w:pPr>
              <w:spacing w:after="0"/>
            </w:pPr>
            <w:r/>
            <w:r>
              <w:rPr>
                <w:sz w:val="16"/>
              </w:rPr>
              <w:t>Antitrust Enforcement</w:t>
            </w:r>
          </w:p>
        </w:tc>
        <w:tc>
          <w:tcPr>
            <w:tcW w:type="dxa" w:w="936"/>
          </w:tcPr>
          <w:p>
            <w:pPr>
              <w:spacing w:after="0"/>
            </w:pPr>
            <w:r/>
            <w:r>
              <w:rPr>
                <w:sz w:val="16"/>
              </w:rPr>
              <w:t>Innovation Subsidies</w:t>
            </w:r>
          </w:p>
        </w:tc>
        <w:tc>
          <w:tcPr>
            <w:tcW w:type="dxa" w:w="936"/>
          </w:tcPr>
          <w:p>
            <w:pPr>
              <w:spacing w:after="0"/>
            </w:pPr>
            <w:r/>
            <w:r>
              <w:rPr>
                <w:sz w:val="16"/>
              </w:rPr>
              <w:t>Data Sharing Mandate</w:t>
            </w:r>
          </w:p>
        </w:tc>
        <w:tc>
          <w:tcPr>
            <w:tcW w:type="dxa" w:w="936"/>
          </w:tcPr>
          <w:p>
            <w:pPr>
              <w:spacing w:after="0"/>
            </w:pPr>
            <w:r/>
            <w:r>
              <w:rPr>
                <w:sz w:val="16"/>
              </w:rPr>
              <w:t>Combined Intervention</w:t>
            </w:r>
          </w:p>
        </w:tc>
        <w:tc>
          <w:tcPr>
            <w:tcW w:type="dxa" w:w="936"/>
          </w:tcPr>
          <w:p>
            <w:pPr>
              <w:spacing w:after="0"/>
            </w:pPr>
            <w:r/>
            <w:r>
              <w:rPr>
                <w:sz w:val="16"/>
              </w:rPr>
              <w:t>Circular-deal disclosure &amp; margin rules</w:t>
            </w:r>
          </w:p>
        </w:tc>
        <w:tc>
          <w:tcPr>
            <w:tcW w:type="dxa" w:w="936"/>
          </w:tcPr>
          <w:p>
            <w:pPr>
              <w:spacing w:after="0"/>
            </w:pPr>
            <w:r/>
            <w:r>
              <w:rPr>
                <w:sz w:val="16"/>
              </w:rPr>
              <w:t>GPU-collateral lending caps</w:t>
            </w:r>
          </w:p>
        </w:tc>
        <w:tc>
          <w:tcPr>
            <w:tcW w:type="dxa" w:w="936"/>
          </w:tcPr>
          <w:p>
            <w:pPr>
              <w:spacing w:after="0"/>
            </w:pPr>
            <w:r/>
            <w:r>
              <w:rPr>
                <w:sz w:val="16"/>
              </w:rPr>
              <w:t>Strategic compute reserve / backstop</w:t>
            </w:r>
          </w:p>
        </w:tc>
        <w:tc>
          <w:tcPr>
            <w:tcW w:type="dxa" w:w="936"/>
          </w:tcPr>
          <w:p>
            <w:pPr>
              <w:spacing w:after="0"/>
            </w:pPr>
            <w:r/>
            <w:r>
              <w:rPr>
                <w:sz w:val="16"/>
              </w:rPr>
              <w:t>Combined bubble-mitigation package</w:t>
            </w:r>
          </w:p>
        </w:tc>
      </w:tr>
      <w:tr>
        <w:tc>
          <w:tcPr>
            <w:tcW w:type="dxa" w:w="936"/>
            <w:shd w:val="clear" w:color="auto" w:fill="EDF1F5"/>
          </w:tcPr>
          <w:p>
            <w:pPr>
              <w:spacing w:after="0"/>
            </w:pPr>
            <w:r/>
            <w:r>
              <w:rPr>
                <w:sz w:val="16"/>
              </w:rPr>
              <w:t>Denominator_$B</w:t>
            </w:r>
          </w:p>
        </w:tc>
        <w:tc>
          <w:tcPr>
            <w:tcW w:type="dxa" w:w="936"/>
            <w:shd w:val="clear" w:color="auto" w:fill="EDF1F5"/>
          </w:tcPr>
          <w:p>
            <w:pPr>
              <w:spacing w:after="0"/>
            </w:pPr>
            <w:r/>
            <w:r>
              <w:rPr>
                <w:sz w:val="16"/>
              </w:rPr>
              <w:t>416.77</w:t>
            </w:r>
          </w:p>
        </w:tc>
        <w:tc>
          <w:tcPr>
            <w:tcW w:type="dxa" w:w="936"/>
            <w:shd w:val="clear" w:color="auto" w:fill="EDF1F5"/>
          </w:tcPr>
          <w:p>
            <w:pPr>
              <w:spacing w:after="0"/>
            </w:pPr>
            <w:r/>
            <w:r>
              <w:rPr>
                <w:sz w:val="16"/>
              </w:rPr>
              <w:t>416.77</w:t>
            </w:r>
          </w:p>
        </w:tc>
        <w:tc>
          <w:tcPr>
            <w:tcW w:type="dxa" w:w="936"/>
            <w:shd w:val="clear" w:color="auto" w:fill="EDF1F5"/>
          </w:tcPr>
          <w:p>
            <w:pPr>
              <w:spacing w:after="0"/>
            </w:pPr>
            <w:r/>
            <w:r>
              <w:rPr>
                <w:sz w:val="16"/>
              </w:rPr>
              <w:t>416.77</w:t>
            </w:r>
          </w:p>
        </w:tc>
        <w:tc>
          <w:tcPr>
            <w:tcW w:type="dxa" w:w="936"/>
            <w:shd w:val="clear" w:color="auto" w:fill="EDF1F5"/>
          </w:tcPr>
          <w:p>
            <w:pPr>
              <w:spacing w:after="0"/>
            </w:pPr>
            <w:r/>
            <w:r>
              <w:rPr>
                <w:sz w:val="16"/>
              </w:rPr>
              <w:t>416.77</w:t>
            </w:r>
          </w:p>
        </w:tc>
        <w:tc>
          <w:tcPr>
            <w:tcW w:type="dxa" w:w="936"/>
            <w:shd w:val="clear" w:color="auto" w:fill="EDF1F5"/>
          </w:tcPr>
          <w:p>
            <w:pPr>
              <w:spacing w:after="0"/>
            </w:pPr>
            <w:r/>
            <w:r>
              <w:rPr>
                <w:sz w:val="16"/>
              </w:rPr>
              <w:t>416.77</w:t>
            </w:r>
          </w:p>
        </w:tc>
        <w:tc>
          <w:tcPr>
            <w:tcW w:type="dxa" w:w="936"/>
            <w:shd w:val="clear" w:color="auto" w:fill="EDF1F5"/>
          </w:tcPr>
          <w:p>
            <w:pPr>
              <w:spacing w:after="0"/>
            </w:pPr>
            <w:r/>
            <w:r>
              <w:rPr>
                <w:sz w:val="16"/>
              </w:rPr>
              <w:t>478.32</w:t>
            </w:r>
          </w:p>
        </w:tc>
        <w:tc>
          <w:tcPr>
            <w:tcW w:type="dxa" w:w="936"/>
            <w:shd w:val="clear" w:color="auto" w:fill="EDF1F5"/>
          </w:tcPr>
          <w:p>
            <w:pPr>
              <w:spacing w:after="0"/>
            </w:pPr>
            <w:r/>
            <w:r>
              <w:rPr>
                <w:sz w:val="16"/>
              </w:rPr>
              <w:t>478.32</w:t>
            </w:r>
          </w:p>
        </w:tc>
        <w:tc>
          <w:tcPr>
            <w:tcW w:type="dxa" w:w="936"/>
            <w:shd w:val="clear" w:color="auto" w:fill="EDF1F5"/>
          </w:tcPr>
          <w:p>
            <w:pPr>
              <w:spacing w:after="0"/>
            </w:pPr>
            <w:r/>
            <w:r>
              <w:rPr>
                <w:sz w:val="16"/>
              </w:rPr>
              <w:t>478.32</w:t>
            </w:r>
          </w:p>
        </w:tc>
        <w:tc>
          <w:tcPr>
            <w:tcW w:type="dxa" w:w="936"/>
            <w:shd w:val="clear" w:color="auto" w:fill="EDF1F5"/>
          </w:tcPr>
          <w:p>
            <w:pPr>
              <w:spacing w:after="0"/>
            </w:pPr>
            <w:r/>
            <w:r>
              <w:rPr>
                <w:sz w:val="16"/>
              </w:rPr>
              <w:t>478.32</w:t>
            </w:r>
          </w:p>
        </w:tc>
      </w:tr>
      <w:tr>
        <w:tc>
          <w:tcPr>
            <w:tcW w:type="dxa" w:w="936"/>
          </w:tcPr>
          <w:p>
            <w:pPr>
              <w:spacing w:after="0"/>
            </w:pPr>
            <w:r/>
            <w:r>
              <w:rPr>
                <w:sz w:val="16"/>
              </w:rPr>
              <w:t>Reduction_%_Base</w:t>
            </w:r>
          </w:p>
        </w:tc>
        <w:tc>
          <w:tcPr>
            <w:tcW w:type="dxa" w:w="936"/>
          </w:tcPr>
          <w:p>
            <w:pPr>
              <w:spacing w:after="0"/>
            </w:pPr>
            <w:r/>
            <w:r>
              <w:rPr>
                <w:sz w:val="16"/>
              </w:rPr>
              <w:t>35</w:t>
            </w:r>
          </w:p>
        </w:tc>
        <w:tc>
          <w:tcPr>
            <w:tcW w:type="dxa" w:w="936"/>
          </w:tcPr>
          <w:p>
            <w:pPr>
              <w:spacing w:after="0"/>
            </w:pPr>
            <w:r/>
            <w:r>
              <w:rPr>
                <w:sz w:val="16"/>
              </w:rPr>
              <w:t>25</w:t>
            </w:r>
          </w:p>
        </w:tc>
        <w:tc>
          <w:tcPr>
            <w:tcW w:type="dxa" w:w="936"/>
          </w:tcPr>
          <w:p>
            <w:pPr>
              <w:spacing w:after="0"/>
            </w:pPr>
            <w:r/>
            <w:r>
              <w:rPr>
                <w:sz w:val="16"/>
              </w:rPr>
              <w:t>22.50</w:t>
            </w:r>
          </w:p>
        </w:tc>
        <w:tc>
          <w:tcPr>
            <w:tcW w:type="dxa" w:w="936"/>
          </w:tcPr>
          <w:p>
            <w:pPr>
              <w:spacing w:after="0"/>
            </w:pPr>
            <w:r/>
            <w:r>
              <w:rPr>
                <w:sz w:val="16"/>
              </w:rPr>
              <w:t>18</w:t>
            </w:r>
          </w:p>
        </w:tc>
        <w:tc>
          <w:tcPr>
            <w:tcW w:type="dxa" w:w="936"/>
          </w:tcPr>
          <w:p>
            <w:pPr>
              <w:spacing w:after="0"/>
            </w:pPr>
            <w:r/>
            <w:r>
              <w:rPr>
                <w:sz w:val="16"/>
              </w:rPr>
              <w:t>55</w:t>
            </w:r>
          </w:p>
        </w:tc>
        <w:tc>
          <w:tcPr>
            <w:tcW w:type="dxa" w:w="936"/>
          </w:tcPr>
          <w:p>
            <w:pPr>
              <w:spacing w:after="0"/>
            </w:pPr>
            <w:r/>
            <w:r>
              <w:rPr>
                <w:sz w:val="16"/>
              </w:rPr>
              <w:t>15</w:t>
            </w:r>
          </w:p>
        </w:tc>
        <w:tc>
          <w:tcPr>
            <w:tcW w:type="dxa" w:w="936"/>
          </w:tcPr>
          <w:p>
            <w:pPr>
              <w:spacing w:after="0"/>
            </w:pPr>
            <w:r/>
            <w:r>
              <w:rPr>
                <w:sz w:val="16"/>
              </w:rPr>
              <w:t>12</w:t>
            </w:r>
          </w:p>
        </w:tc>
        <w:tc>
          <w:tcPr>
            <w:tcW w:type="dxa" w:w="936"/>
          </w:tcPr>
          <w:p>
            <w:pPr>
              <w:spacing w:after="0"/>
            </w:pPr>
            <w:r/>
            <w:r>
              <w:rPr>
                <w:sz w:val="16"/>
              </w:rPr>
              <w:t>10</w:t>
            </w:r>
          </w:p>
        </w:tc>
        <w:tc>
          <w:tcPr>
            <w:tcW w:type="dxa" w:w="936"/>
          </w:tcPr>
          <w:p>
            <w:pPr>
              <w:spacing w:after="0"/>
            </w:pPr>
            <w:r/>
            <w:r>
              <w:rPr>
                <w:sz w:val="16"/>
              </w:rPr>
              <w:t>30</w:t>
            </w:r>
          </w:p>
        </w:tc>
      </w:tr>
      <w:tr>
        <w:tc>
          <w:tcPr>
            <w:tcW w:type="dxa" w:w="936"/>
            <w:shd w:val="clear" w:color="auto" w:fill="EDF1F5"/>
          </w:tcPr>
          <w:p>
            <w:pPr>
              <w:spacing w:after="0"/>
            </w:pPr>
            <w:r/>
            <w:r>
              <w:rPr>
                <w:sz w:val="16"/>
              </w:rPr>
              <w:t>Cost_$B_Base</w:t>
            </w:r>
          </w:p>
        </w:tc>
        <w:tc>
          <w:tcPr>
            <w:tcW w:type="dxa" w:w="936"/>
            <w:shd w:val="clear" w:color="auto" w:fill="EDF1F5"/>
          </w:tcPr>
          <w:p>
            <w:pPr>
              <w:spacing w:after="0"/>
            </w:pPr>
            <w:r/>
            <w:r>
              <w:rPr>
                <w:sz w:val="16"/>
              </w:rPr>
              <w:t>5</w:t>
            </w:r>
          </w:p>
        </w:tc>
        <w:tc>
          <w:tcPr>
            <w:tcW w:type="dxa" w:w="936"/>
            <w:shd w:val="clear" w:color="auto" w:fill="EDF1F5"/>
          </w:tcPr>
          <w:p>
            <w:pPr>
              <w:spacing w:after="0"/>
            </w:pPr>
            <w:r/>
            <w:r>
              <w:rPr>
                <w:sz w:val="16"/>
              </w:rPr>
              <w:t>2</w:t>
            </w:r>
          </w:p>
        </w:tc>
        <w:tc>
          <w:tcPr>
            <w:tcW w:type="dxa" w:w="936"/>
            <w:shd w:val="clear" w:color="auto" w:fill="EDF1F5"/>
          </w:tcPr>
          <w:p>
            <w:pPr>
              <w:spacing w:after="0"/>
            </w:pPr>
            <w:r/>
            <w:r>
              <w:rPr>
                <w:sz w:val="16"/>
              </w:rPr>
              <w:t>8</w:t>
            </w:r>
          </w:p>
        </w:tc>
        <w:tc>
          <w:tcPr>
            <w:tcW w:type="dxa" w:w="936"/>
            <w:shd w:val="clear" w:color="auto" w:fill="EDF1F5"/>
          </w:tcPr>
          <w:p>
            <w:pPr>
              <w:spacing w:after="0"/>
            </w:pPr>
            <w:r/>
            <w:r>
              <w:rPr>
                <w:sz w:val="16"/>
              </w:rPr>
              <w:t>3</w:t>
            </w:r>
          </w:p>
        </w:tc>
        <w:tc>
          <w:tcPr>
            <w:tcW w:type="dxa" w:w="936"/>
            <w:shd w:val="clear" w:color="auto" w:fill="EDF1F5"/>
          </w:tcPr>
          <w:p>
            <w:pPr>
              <w:spacing w:after="0"/>
            </w:pPr>
            <w:r/>
            <w:r>
              <w:rPr>
                <w:sz w:val="16"/>
              </w:rPr>
              <w:t>15</w:t>
            </w:r>
          </w:p>
        </w:tc>
        <w:tc>
          <w:tcPr>
            <w:tcW w:type="dxa" w:w="936"/>
            <w:shd w:val="clear" w:color="auto" w:fill="EDF1F5"/>
          </w:tcPr>
          <w:p>
            <w:pPr>
              <w:spacing w:after="0"/>
            </w:pPr>
            <w:r/>
            <w:r>
              <w:rPr>
                <w:sz w:val="16"/>
              </w:rPr>
              <w:t>2</w:t>
            </w:r>
          </w:p>
        </w:tc>
        <w:tc>
          <w:tcPr>
            <w:tcW w:type="dxa" w:w="936"/>
            <w:shd w:val="clear" w:color="auto" w:fill="EDF1F5"/>
          </w:tcPr>
          <w:p>
            <w:pPr>
              <w:spacing w:after="0"/>
            </w:pPr>
            <w:r/>
            <w:r>
              <w:rPr>
                <w:sz w:val="16"/>
              </w:rPr>
              <w:t>1</w:t>
            </w:r>
          </w:p>
        </w:tc>
        <w:tc>
          <w:tcPr>
            <w:tcW w:type="dxa" w:w="936"/>
            <w:shd w:val="clear" w:color="auto" w:fill="EDF1F5"/>
          </w:tcPr>
          <w:p>
            <w:pPr>
              <w:spacing w:after="0"/>
            </w:pPr>
            <w:r/>
            <w:r>
              <w:rPr>
                <w:sz w:val="16"/>
              </w:rPr>
              <w:t>6</w:t>
            </w:r>
          </w:p>
        </w:tc>
        <w:tc>
          <w:tcPr>
            <w:tcW w:type="dxa" w:w="936"/>
            <w:shd w:val="clear" w:color="auto" w:fill="EDF1F5"/>
          </w:tcPr>
          <w:p>
            <w:pPr>
              <w:spacing w:after="0"/>
            </w:pPr>
            <w:r/>
            <w:r>
              <w:rPr>
                <w:sz w:val="16"/>
              </w:rPr>
              <w:t>9</w:t>
            </w:r>
          </w:p>
        </w:tc>
      </w:tr>
      <w:tr>
        <w:tc>
          <w:tcPr>
            <w:tcW w:type="dxa" w:w="936"/>
          </w:tcPr>
          <w:p>
            <w:pPr>
              <w:spacing w:after="0"/>
            </w:pPr>
            <w:r/>
            <w:r>
              <w:rPr>
                <w:sz w:val="16"/>
              </w:rPr>
              <w:t>BCR_Base</w:t>
            </w:r>
          </w:p>
        </w:tc>
        <w:tc>
          <w:tcPr>
            <w:tcW w:type="dxa" w:w="936"/>
          </w:tcPr>
          <w:p>
            <w:pPr>
              <w:spacing w:after="0"/>
            </w:pPr>
            <w:r/>
            <w:r>
              <w:rPr>
                <w:sz w:val="16"/>
              </w:rPr>
              <w:t>29.17</w:t>
            </w:r>
          </w:p>
        </w:tc>
        <w:tc>
          <w:tcPr>
            <w:tcW w:type="dxa" w:w="936"/>
          </w:tcPr>
          <w:p>
            <w:pPr>
              <w:spacing w:after="0"/>
            </w:pPr>
            <w:r/>
            <w:r>
              <w:rPr>
                <w:sz w:val="16"/>
              </w:rPr>
              <w:t>52.10</w:t>
            </w:r>
          </w:p>
        </w:tc>
        <w:tc>
          <w:tcPr>
            <w:tcW w:type="dxa" w:w="936"/>
          </w:tcPr>
          <w:p>
            <w:pPr>
              <w:spacing w:after="0"/>
            </w:pPr>
            <w:r/>
            <w:r>
              <w:rPr>
                <w:sz w:val="16"/>
              </w:rPr>
              <w:t>11.72</w:t>
            </w:r>
          </w:p>
        </w:tc>
        <w:tc>
          <w:tcPr>
            <w:tcW w:type="dxa" w:w="936"/>
          </w:tcPr>
          <w:p>
            <w:pPr>
              <w:spacing w:after="0"/>
            </w:pPr>
            <w:r/>
            <w:r>
              <w:rPr>
                <w:sz w:val="16"/>
              </w:rPr>
              <w:t>25.01</w:t>
            </w:r>
          </w:p>
        </w:tc>
        <w:tc>
          <w:tcPr>
            <w:tcW w:type="dxa" w:w="936"/>
          </w:tcPr>
          <w:p>
            <w:pPr>
              <w:spacing w:after="0"/>
            </w:pPr>
            <w:r/>
            <w:r>
              <w:rPr>
                <w:sz w:val="16"/>
              </w:rPr>
              <w:t>15.28</w:t>
            </w:r>
          </w:p>
        </w:tc>
        <w:tc>
          <w:tcPr>
            <w:tcW w:type="dxa" w:w="936"/>
          </w:tcPr>
          <w:p>
            <w:pPr>
              <w:spacing w:after="0"/>
            </w:pPr>
            <w:r/>
            <w:r>
              <w:rPr>
                <w:sz w:val="16"/>
              </w:rPr>
              <w:t>35.87</w:t>
            </w:r>
          </w:p>
        </w:tc>
        <w:tc>
          <w:tcPr>
            <w:tcW w:type="dxa" w:w="936"/>
          </w:tcPr>
          <w:p>
            <w:pPr>
              <w:spacing w:after="0"/>
            </w:pPr>
            <w:r/>
            <w:r>
              <w:rPr>
                <w:sz w:val="16"/>
              </w:rPr>
              <w:t>57.40</w:t>
            </w:r>
          </w:p>
        </w:tc>
        <w:tc>
          <w:tcPr>
            <w:tcW w:type="dxa" w:w="936"/>
          </w:tcPr>
          <w:p>
            <w:pPr>
              <w:spacing w:after="0"/>
            </w:pPr>
            <w:r/>
            <w:r>
              <w:rPr>
                <w:sz w:val="16"/>
              </w:rPr>
              <w:t>7.97</w:t>
            </w:r>
          </w:p>
        </w:tc>
        <w:tc>
          <w:tcPr>
            <w:tcW w:type="dxa" w:w="936"/>
          </w:tcPr>
          <w:p>
            <w:pPr>
              <w:spacing w:after="0"/>
            </w:pPr>
            <w:r/>
            <w:r>
              <w:rPr>
                <w:sz w:val="16"/>
              </w:rPr>
              <w:t>15.94</w:t>
            </w:r>
          </w:p>
        </w:tc>
      </w:tr>
      <w:tr>
        <w:tc>
          <w:tcPr>
            <w:tcW w:type="dxa" w:w="936"/>
            <w:shd w:val="clear" w:color="auto" w:fill="EDF1F5"/>
          </w:tcPr>
          <w:p>
            <w:pPr>
              <w:spacing w:after="0"/>
            </w:pPr>
            <w:r/>
            <w:r>
              <w:rPr>
                <w:sz w:val="16"/>
              </w:rPr>
              <w:t>BCR_Conservative</w:t>
            </w:r>
          </w:p>
        </w:tc>
        <w:tc>
          <w:tcPr>
            <w:tcW w:type="dxa" w:w="936"/>
            <w:shd w:val="clear" w:color="auto" w:fill="EDF1F5"/>
          </w:tcPr>
          <w:p>
            <w:pPr>
              <w:spacing w:after="0"/>
            </w:pPr>
            <w:r/>
            <w:r>
              <w:rPr>
                <w:sz w:val="16"/>
              </w:rPr>
              <w:t>14.88</w:t>
            </w:r>
          </w:p>
        </w:tc>
        <w:tc>
          <w:tcPr>
            <w:tcW w:type="dxa" w:w="936"/>
            <w:shd w:val="clear" w:color="auto" w:fill="EDF1F5"/>
          </w:tcPr>
          <w:p>
            <w:pPr>
              <w:spacing w:after="0"/>
            </w:pPr>
            <w:r/>
            <w:r>
              <w:rPr>
                <w:sz w:val="16"/>
              </w:rPr>
              <w:t>15.63</w:t>
            </w:r>
          </w:p>
        </w:tc>
        <w:tc>
          <w:tcPr>
            <w:tcW w:type="dxa" w:w="936"/>
            <w:shd w:val="clear" w:color="auto" w:fill="EDF1F5"/>
          </w:tcPr>
          <w:p>
            <w:pPr>
              <w:spacing w:after="0"/>
            </w:pPr>
            <w:r/>
            <w:r>
              <w:rPr>
                <w:sz w:val="16"/>
              </w:rPr>
              <w:t>5.21</w:t>
            </w:r>
          </w:p>
        </w:tc>
        <w:tc>
          <w:tcPr>
            <w:tcW w:type="dxa" w:w="936"/>
            <w:shd w:val="clear" w:color="auto" w:fill="EDF1F5"/>
          </w:tcPr>
          <w:p>
            <w:pPr>
              <w:spacing w:after="0"/>
            </w:pPr>
            <w:r/>
            <w:r>
              <w:rPr>
                <w:sz w:val="16"/>
              </w:rPr>
              <w:t>10.00</w:t>
            </w:r>
          </w:p>
        </w:tc>
        <w:tc>
          <w:tcPr>
            <w:tcW w:type="dxa" w:w="936"/>
            <w:shd w:val="clear" w:color="auto" w:fill="EDF1F5"/>
          </w:tcPr>
          <w:p>
            <w:pPr>
              <w:spacing w:after="0"/>
            </w:pPr>
            <w:r/>
            <w:r>
              <w:rPr>
                <w:sz w:val="16"/>
              </w:rPr>
              <w:t>9.38</w:t>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r>
          </w:p>
        </w:tc>
        <w:tc>
          <w:tcPr>
            <w:tcW w:type="dxa" w:w="936"/>
            <w:shd w:val="clear" w:color="auto" w:fill="EDF1F5"/>
          </w:tcPr>
          <w:p>
            <w:pPr>
              <w:spacing w:after="0"/>
            </w:pPr>
            <w:r/>
            <w:r>
              <w:rPr>
                <w:sz w:val="16"/>
              </w:rPr>
            </w:r>
          </w:p>
        </w:tc>
      </w:tr>
      <w:tr>
        <w:tc>
          <w:tcPr>
            <w:tcW w:type="dxa" w:w="936"/>
          </w:tcPr>
          <w:p>
            <w:pPr>
              <w:spacing w:after="0"/>
            </w:pPr>
            <w:r/>
            <w:r>
              <w:rPr>
                <w:sz w:val="16"/>
              </w:rPr>
              <w:t>BreakEven_Reduction_Pct</w:t>
            </w:r>
          </w:p>
        </w:tc>
        <w:tc>
          <w:tcPr>
            <w:tcW w:type="dxa" w:w="936"/>
          </w:tcPr>
          <w:p>
            <w:pPr>
              <w:spacing w:after="0"/>
            </w:pPr>
            <w:r/>
            <w:r>
              <w:rPr>
                <w:sz w:val="16"/>
              </w:rPr>
              <w:t>1.20</w:t>
            </w:r>
          </w:p>
        </w:tc>
        <w:tc>
          <w:tcPr>
            <w:tcW w:type="dxa" w:w="936"/>
          </w:tcPr>
          <w:p>
            <w:pPr>
              <w:spacing w:after="0"/>
            </w:pPr>
            <w:r/>
            <w:r>
              <w:rPr>
                <w:sz w:val="16"/>
              </w:rPr>
              <w:t>0.48</w:t>
            </w:r>
          </w:p>
        </w:tc>
        <w:tc>
          <w:tcPr>
            <w:tcW w:type="dxa" w:w="936"/>
          </w:tcPr>
          <w:p>
            <w:pPr>
              <w:spacing w:after="0"/>
            </w:pPr>
            <w:r/>
            <w:r>
              <w:rPr>
                <w:sz w:val="16"/>
              </w:rPr>
              <w:t>1.92</w:t>
            </w:r>
          </w:p>
        </w:tc>
        <w:tc>
          <w:tcPr>
            <w:tcW w:type="dxa" w:w="936"/>
          </w:tcPr>
          <w:p>
            <w:pPr>
              <w:spacing w:after="0"/>
            </w:pPr>
            <w:r/>
            <w:r>
              <w:rPr>
                <w:sz w:val="16"/>
              </w:rPr>
              <w:t>0.72</w:t>
            </w:r>
          </w:p>
        </w:tc>
        <w:tc>
          <w:tcPr>
            <w:tcW w:type="dxa" w:w="936"/>
          </w:tcPr>
          <w:p>
            <w:pPr>
              <w:spacing w:after="0"/>
            </w:pPr>
            <w:r/>
            <w:r>
              <w:rPr>
                <w:sz w:val="16"/>
              </w:rPr>
              <w:t>3.60</w:t>
            </w:r>
          </w:p>
        </w:tc>
        <w:tc>
          <w:tcPr>
            <w:tcW w:type="dxa" w:w="936"/>
          </w:tcPr>
          <w:p>
            <w:pPr>
              <w:spacing w:after="0"/>
            </w:pPr>
            <w:r/>
            <w:r>
              <w:rPr>
                <w:sz w:val="16"/>
              </w:rPr>
              <w:t>0.42</w:t>
            </w:r>
          </w:p>
        </w:tc>
        <w:tc>
          <w:tcPr>
            <w:tcW w:type="dxa" w:w="936"/>
          </w:tcPr>
          <w:p>
            <w:pPr>
              <w:spacing w:after="0"/>
            </w:pPr>
            <w:r/>
            <w:r>
              <w:rPr>
                <w:sz w:val="16"/>
              </w:rPr>
              <w:t>0.21</w:t>
            </w:r>
          </w:p>
        </w:tc>
        <w:tc>
          <w:tcPr>
            <w:tcW w:type="dxa" w:w="936"/>
          </w:tcPr>
          <w:p>
            <w:pPr>
              <w:spacing w:after="0"/>
            </w:pPr>
            <w:r/>
            <w:r>
              <w:rPr>
                <w:sz w:val="16"/>
              </w:rPr>
              <w:t>1.25</w:t>
            </w:r>
          </w:p>
        </w:tc>
        <w:tc>
          <w:tcPr>
            <w:tcW w:type="dxa" w:w="936"/>
          </w:tcPr>
          <w:p>
            <w:pPr>
              <w:spacing w:after="0"/>
            </w:pPr>
            <w:r/>
            <w:r>
              <w:rPr>
                <w:sz w:val="16"/>
              </w:rPr>
              <w:t>1.88</w:t>
            </w:r>
          </w:p>
        </w:tc>
      </w:tr>
      <w:tr>
        <w:tc>
          <w:tcPr>
            <w:tcW w:type="dxa" w:w="936"/>
            <w:shd w:val="clear" w:color="auto" w:fill="EDF1F5"/>
          </w:tcPr>
          <w:p>
            <w:pPr>
              <w:spacing w:after="0"/>
            </w:pPr>
            <w:r/>
            <w:r>
              <w:rPr>
                <w:sz w:val="16"/>
              </w:rPr>
              <w:t>Headroom_pp</w:t>
            </w:r>
          </w:p>
        </w:tc>
        <w:tc>
          <w:tcPr>
            <w:tcW w:type="dxa" w:w="936"/>
            <w:shd w:val="clear" w:color="auto" w:fill="EDF1F5"/>
          </w:tcPr>
          <w:p>
            <w:pPr>
              <w:spacing w:after="0"/>
            </w:pPr>
            <w:r/>
            <w:r>
              <w:rPr>
                <w:sz w:val="16"/>
              </w:rPr>
              <w:t>33.80</w:t>
            </w:r>
          </w:p>
        </w:tc>
        <w:tc>
          <w:tcPr>
            <w:tcW w:type="dxa" w:w="936"/>
            <w:shd w:val="clear" w:color="auto" w:fill="EDF1F5"/>
          </w:tcPr>
          <w:p>
            <w:pPr>
              <w:spacing w:after="0"/>
            </w:pPr>
            <w:r/>
            <w:r>
              <w:rPr>
                <w:sz w:val="16"/>
              </w:rPr>
              <w:t>24.52</w:t>
            </w:r>
          </w:p>
        </w:tc>
        <w:tc>
          <w:tcPr>
            <w:tcW w:type="dxa" w:w="936"/>
            <w:shd w:val="clear" w:color="auto" w:fill="EDF1F5"/>
          </w:tcPr>
          <w:p>
            <w:pPr>
              <w:spacing w:after="0"/>
            </w:pPr>
            <w:r/>
            <w:r>
              <w:rPr>
                <w:sz w:val="16"/>
              </w:rPr>
              <w:t>20.58</w:t>
            </w:r>
          </w:p>
        </w:tc>
        <w:tc>
          <w:tcPr>
            <w:tcW w:type="dxa" w:w="936"/>
            <w:shd w:val="clear" w:color="auto" w:fill="EDF1F5"/>
          </w:tcPr>
          <w:p>
            <w:pPr>
              <w:spacing w:after="0"/>
            </w:pPr>
            <w:r/>
            <w:r>
              <w:rPr>
                <w:sz w:val="16"/>
              </w:rPr>
              <w:t>17.28</w:t>
            </w:r>
          </w:p>
        </w:tc>
        <w:tc>
          <w:tcPr>
            <w:tcW w:type="dxa" w:w="936"/>
            <w:shd w:val="clear" w:color="auto" w:fill="EDF1F5"/>
          </w:tcPr>
          <w:p>
            <w:pPr>
              <w:spacing w:after="0"/>
            </w:pPr>
            <w:r/>
            <w:r>
              <w:rPr>
                <w:sz w:val="16"/>
              </w:rPr>
              <w:t>51.40</w:t>
            </w:r>
          </w:p>
        </w:tc>
        <w:tc>
          <w:tcPr>
            <w:tcW w:type="dxa" w:w="936"/>
            <w:shd w:val="clear" w:color="auto" w:fill="EDF1F5"/>
          </w:tcPr>
          <w:p>
            <w:pPr>
              <w:spacing w:after="0"/>
            </w:pPr>
            <w:r/>
            <w:r>
              <w:rPr>
                <w:sz w:val="16"/>
              </w:rPr>
              <w:t>14.58</w:t>
            </w:r>
          </w:p>
        </w:tc>
        <w:tc>
          <w:tcPr>
            <w:tcW w:type="dxa" w:w="936"/>
            <w:shd w:val="clear" w:color="auto" w:fill="EDF1F5"/>
          </w:tcPr>
          <w:p>
            <w:pPr>
              <w:spacing w:after="0"/>
            </w:pPr>
            <w:r/>
            <w:r>
              <w:rPr>
                <w:sz w:val="16"/>
              </w:rPr>
              <w:t>11.79</w:t>
            </w:r>
          </w:p>
        </w:tc>
        <w:tc>
          <w:tcPr>
            <w:tcW w:type="dxa" w:w="936"/>
            <w:shd w:val="clear" w:color="auto" w:fill="EDF1F5"/>
          </w:tcPr>
          <w:p>
            <w:pPr>
              <w:spacing w:after="0"/>
            </w:pPr>
            <w:r/>
            <w:r>
              <w:rPr>
                <w:sz w:val="16"/>
              </w:rPr>
              <w:t>8.75</w:t>
            </w:r>
          </w:p>
        </w:tc>
        <w:tc>
          <w:tcPr>
            <w:tcW w:type="dxa" w:w="936"/>
            <w:shd w:val="clear" w:color="auto" w:fill="EDF1F5"/>
          </w:tcPr>
          <w:p>
            <w:pPr>
              <w:spacing w:after="0"/>
            </w:pPr>
            <w:r/>
            <w:r>
              <w:rPr>
                <w:sz w:val="16"/>
              </w:rPr>
              <w:t>28.12</w:t>
            </w:r>
          </w:p>
        </w:tc>
      </w:tr>
      <w:tr>
        <w:tc>
          <w:tcPr>
            <w:tcW w:type="dxa" w:w="936"/>
          </w:tcPr>
          <w:p>
            <w:pPr>
              <w:spacing w:after="0"/>
            </w:pPr>
            <w:r/>
            <w:r>
              <w:rPr>
                <w:sz w:val="16"/>
              </w:rPr>
              <w:t>Pays_At_Base</w:t>
            </w:r>
          </w:p>
        </w:tc>
        <w:tc>
          <w:tcPr>
            <w:tcW w:type="dxa" w:w="936"/>
          </w:tcPr>
          <w:p>
            <w:pPr>
              <w:spacing w:after="0"/>
            </w:pPr>
            <w:r/>
            <w:r>
              <w:rPr>
                <w:sz w:val="16"/>
              </w:rPr>
              <w:t>Yes</w:t>
            </w:r>
          </w:p>
        </w:tc>
        <w:tc>
          <w:tcPr>
            <w:tcW w:type="dxa" w:w="936"/>
          </w:tcPr>
          <w:p>
            <w:pPr>
              <w:spacing w:after="0"/>
            </w:pPr>
            <w:r/>
            <w:r>
              <w:rPr>
                <w:sz w:val="16"/>
              </w:rPr>
              <w:t>Yes</w:t>
            </w:r>
          </w:p>
        </w:tc>
        <w:tc>
          <w:tcPr>
            <w:tcW w:type="dxa" w:w="936"/>
          </w:tcPr>
          <w:p>
            <w:pPr>
              <w:spacing w:after="0"/>
            </w:pPr>
            <w:r/>
            <w:r>
              <w:rPr>
                <w:sz w:val="16"/>
              </w:rPr>
              <w:t>Yes</w:t>
            </w:r>
          </w:p>
        </w:tc>
        <w:tc>
          <w:tcPr>
            <w:tcW w:type="dxa" w:w="936"/>
          </w:tcPr>
          <w:p>
            <w:pPr>
              <w:spacing w:after="0"/>
            </w:pPr>
            <w:r/>
            <w:r>
              <w:rPr>
                <w:sz w:val="16"/>
              </w:rPr>
              <w:t>Yes</w:t>
            </w:r>
          </w:p>
        </w:tc>
        <w:tc>
          <w:tcPr>
            <w:tcW w:type="dxa" w:w="936"/>
          </w:tcPr>
          <w:p>
            <w:pPr>
              <w:spacing w:after="0"/>
            </w:pPr>
            <w:r/>
            <w:r>
              <w:rPr>
                <w:sz w:val="16"/>
              </w:rPr>
              <w:t>Yes</w:t>
            </w:r>
          </w:p>
        </w:tc>
        <w:tc>
          <w:tcPr>
            <w:tcW w:type="dxa" w:w="936"/>
          </w:tcPr>
          <w:p>
            <w:pPr>
              <w:spacing w:after="0"/>
            </w:pPr>
            <w:r/>
            <w:r>
              <w:rPr>
                <w:sz w:val="16"/>
              </w:rPr>
              <w:t>Yes</w:t>
            </w:r>
          </w:p>
        </w:tc>
        <w:tc>
          <w:tcPr>
            <w:tcW w:type="dxa" w:w="936"/>
          </w:tcPr>
          <w:p>
            <w:pPr>
              <w:spacing w:after="0"/>
            </w:pPr>
            <w:r/>
            <w:r>
              <w:rPr>
                <w:sz w:val="16"/>
              </w:rPr>
              <w:t>Yes</w:t>
            </w:r>
          </w:p>
        </w:tc>
        <w:tc>
          <w:tcPr>
            <w:tcW w:type="dxa" w:w="936"/>
          </w:tcPr>
          <w:p>
            <w:pPr>
              <w:spacing w:after="0"/>
            </w:pPr>
            <w:r/>
            <w:r>
              <w:rPr>
                <w:sz w:val="16"/>
              </w:rPr>
              <w:t>Yes</w:t>
            </w:r>
          </w:p>
        </w:tc>
        <w:tc>
          <w:tcPr>
            <w:tcW w:type="dxa" w:w="936"/>
          </w:tcPr>
          <w:p>
            <w:pPr>
              <w:spacing w:after="0"/>
            </w:pPr>
            <w:r/>
            <w:r>
              <w:rPr>
                <w:sz w:val="16"/>
              </w:rPr>
              <w:t>Yes</w:t>
            </w:r>
          </w:p>
        </w:tc>
      </w:tr>
    </w:tbl>
    <w:p>
      <w:pPr>
        <w:spacing w:after="80"/>
      </w:pPr>
      <w:r>
        <w:rPr>
          <w:sz w:val="4"/>
        </w:rPr>
      </w:r>
    </w:p>
    <w:p>
      <w:pPr>
        <w:keepNext/>
        <w:spacing w:before="200" w:after="40"/>
      </w:pPr>
      <w:r>
        <w:rPr>
          <w:b/>
          <w:color w:val="2C3E50"/>
          <w:sz w:val="20"/>
        </w:rPr>
        <w:t>Table 7.1b_within_layer_hhi: Within-Layer Revenue Concentration (company-share HHI) (appendix only)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index</w:t>
            </w:r>
          </w:p>
        </w:tc>
        <w:tc>
          <w:tcPr>
            <w:tcW w:type="dxa" w:w="1872"/>
            <w:tblHeader w:val="true"/>
            <w:shd w:val="clear" w:color="auto" w:fill="2C3E50"/>
          </w:tcPr>
          <w:p>
            <w:pPr>
              <w:jc w:val="center"/>
            </w:pPr>
            <w:r/>
            <w:r>
              <w:rPr>
                <w:b/>
                <w:color w:val="FFFFFF"/>
                <w:sz w:val="18"/>
              </w:rPr>
              <w:t>Hardware</w:t>
            </w:r>
          </w:p>
        </w:tc>
        <w:tc>
          <w:tcPr>
            <w:tcW w:type="dxa" w:w="1872"/>
            <w:tblHeader w:val="true"/>
            <w:shd w:val="clear" w:color="auto" w:fill="2C3E50"/>
          </w:tcPr>
          <w:p>
            <w:pPr>
              <w:jc w:val="center"/>
            </w:pPr>
            <w:r/>
            <w:r>
              <w:rPr>
                <w:b/>
                <w:color w:val="FFFFFF"/>
                <w:sz w:val="18"/>
              </w:rPr>
              <w:t>Cloud Providers</w:t>
            </w:r>
          </w:p>
        </w:tc>
        <w:tc>
          <w:tcPr>
            <w:tcW w:type="dxa" w:w="1872"/>
            <w:tblHeader w:val="true"/>
            <w:shd w:val="clear" w:color="auto" w:fill="2C3E50"/>
          </w:tcPr>
          <w:p>
            <w:pPr>
              <w:jc w:val="center"/>
            </w:pPr>
            <w:r/>
            <w:r>
              <w:rPr>
                <w:b/>
                <w:color w:val="FFFFFF"/>
                <w:sz w:val="18"/>
              </w:rPr>
              <w:t>Foundation Models</w:t>
            </w:r>
          </w:p>
        </w:tc>
        <w:tc>
          <w:tcPr>
            <w:tcW w:type="dxa" w:w="1872"/>
            <w:tblHeader w:val="true"/>
            <w:shd w:val="clear" w:color="auto" w:fill="2C3E50"/>
          </w:tcPr>
          <w:p>
            <w:pPr>
              <w:jc w:val="center"/>
            </w:pPr>
            <w:r/>
            <w:r>
              <w:rPr>
                <w:b/>
                <w:color w:val="FFFFFF"/>
                <w:sz w:val="18"/>
              </w:rPr>
              <w:t>LLM Wrappers</w:t>
            </w:r>
          </w:p>
        </w:tc>
      </w:tr>
      <w:tr>
        <w:tc>
          <w:tcPr>
            <w:tcW w:type="dxa" w:w="1872"/>
          </w:tcPr>
          <w:p>
            <w:pPr>
              <w:spacing w:after="0"/>
            </w:pPr>
            <w:r/>
            <w:r>
              <w:rPr>
                <w:sz w:val="17"/>
              </w:rPr>
              <w:t>Companies_Included</w:t>
            </w:r>
          </w:p>
        </w:tc>
        <w:tc>
          <w:tcPr>
            <w:tcW w:type="dxa" w:w="1872"/>
          </w:tcPr>
          <w:p>
            <w:pPr>
              <w:spacing w:after="0"/>
            </w:pPr>
            <w:r/>
            <w:r>
              <w:rPr>
                <w:sz w:val="17"/>
              </w:rPr>
              <w:t>5</w:t>
            </w:r>
          </w:p>
        </w:tc>
        <w:tc>
          <w:tcPr>
            <w:tcW w:type="dxa" w:w="1872"/>
          </w:tcPr>
          <w:p>
            <w:pPr>
              <w:spacing w:after="0"/>
            </w:pPr>
            <w:r/>
            <w:r>
              <w:rPr>
                <w:sz w:val="17"/>
              </w:rPr>
              <w:t>5</w:t>
            </w:r>
          </w:p>
        </w:tc>
        <w:tc>
          <w:tcPr>
            <w:tcW w:type="dxa" w:w="1872"/>
          </w:tcPr>
          <w:p>
            <w:pPr>
              <w:spacing w:after="0"/>
            </w:pPr>
            <w:r/>
            <w:r>
              <w:rPr>
                <w:sz w:val="17"/>
              </w:rPr>
              <w:t>2</w:t>
            </w:r>
          </w:p>
        </w:tc>
        <w:tc>
          <w:tcPr>
            <w:tcW w:type="dxa" w:w="1872"/>
          </w:tcPr>
          <w:p>
            <w:pPr>
              <w:spacing w:after="0"/>
            </w:pPr>
            <w:r/>
            <w:r>
              <w:rPr>
                <w:sz w:val="17"/>
              </w:rPr>
              <w:t>2</w:t>
            </w:r>
          </w:p>
        </w:tc>
      </w:tr>
      <w:tr>
        <w:tc>
          <w:tcPr>
            <w:tcW w:type="dxa" w:w="1872"/>
            <w:shd w:val="clear" w:color="auto" w:fill="EDF1F5"/>
          </w:tcPr>
          <w:p>
            <w:pPr>
              <w:spacing w:after="0"/>
            </w:pPr>
            <w:r/>
            <w:r>
              <w:rPr>
                <w:sz w:val="17"/>
              </w:rPr>
              <w:t>Included_Revenue_$B</w:t>
            </w:r>
          </w:p>
        </w:tc>
        <w:tc>
          <w:tcPr>
            <w:tcW w:type="dxa" w:w="1872"/>
            <w:shd w:val="clear" w:color="auto" w:fill="EDF1F5"/>
          </w:tcPr>
          <w:p>
            <w:pPr>
              <w:spacing w:after="0"/>
            </w:pPr>
            <w:r/>
            <w:r>
              <w:rPr>
                <w:sz w:val="17"/>
              </w:rPr>
              <w:t>513.90</w:t>
            </w:r>
          </w:p>
        </w:tc>
        <w:tc>
          <w:tcPr>
            <w:tcW w:type="dxa" w:w="1872"/>
            <w:shd w:val="clear" w:color="auto" w:fill="EDF1F5"/>
          </w:tcPr>
          <w:p>
            <w:pPr>
              <w:spacing w:after="0"/>
            </w:pPr>
            <w:r/>
            <w:r>
              <w:rPr>
                <w:sz w:val="17"/>
              </w:rPr>
              <w:t>860.40</w:t>
            </w:r>
          </w:p>
        </w:tc>
        <w:tc>
          <w:tcPr>
            <w:tcW w:type="dxa" w:w="1872"/>
            <w:shd w:val="clear" w:color="auto" w:fill="EDF1F5"/>
          </w:tcPr>
          <w:p>
            <w:pPr>
              <w:spacing w:after="0"/>
            </w:pPr>
            <w:r/>
            <w:r>
              <w:rPr>
                <w:sz w:val="17"/>
              </w:rPr>
              <w:t>105</w:t>
            </w:r>
          </w:p>
        </w:tc>
        <w:tc>
          <w:tcPr>
            <w:tcW w:type="dxa" w:w="1872"/>
            <w:shd w:val="clear" w:color="auto" w:fill="EDF1F5"/>
          </w:tcPr>
          <w:p>
            <w:pPr>
              <w:spacing w:after="0"/>
            </w:pPr>
            <w:r/>
            <w:r>
              <w:rPr>
                <w:sz w:val="17"/>
              </w:rPr>
              <w:t>23.90</w:t>
            </w:r>
          </w:p>
        </w:tc>
      </w:tr>
      <w:tr>
        <w:tc>
          <w:tcPr>
            <w:tcW w:type="dxa" w:w="1872"/>
          </w:tcPr>
          <w:p>
            <w:pPr>
              <w:spacing w:after="0"/>
            </w:pPr>
            <w:r/>
            <w:r>
              <w:rPr>
                <w:sz w:val="17"/>
              </w:rPr>
              <w:t>Top_Company</w:t>
            </w:r>
          </w:p>
        </w:tc>
        <w:tc>
          <w:tcPr>
            <w:tcW w:type="dxa" w:w="1872"/>
          </w:tcPr>
          <w:p>
            <w:pPr>
              <w:spacing w:after="0"/>
            </w:pPr>
            <w:r/>
            <w:r>
              <w:rPr>
                <w:sz w:val="17"/>
              </w:rPr>
              <w:t>NVIDIA</w:t>
            </w:r>
          </w:p>
        </w:tc>
        <w:tc>
          <w:tcPr>
            <w:tcW w:type="dxa" w:w="1872"/>
          </w:tcPr>
          <w:p>
            <w:pPr>
              <w:spacing w:after="0"/>
            </w:pPr>
            <w:r/>
            <w:r>
              <w:rPr>
                <w:sz w:val="17"/>
              </w:rPr>
              <w:t>Google Cloud</w:t>
            </w:r>
          </w:p>
        </w:tc>
        <w:tc>
          <w:tcPr>
            <w:tcW w:type="dxa" w:w="1872"/>
          </w:tcPr>
          <w:p>
            <w:pPr>
              <w:spacing w:after="0"/>
            </w:pPr>
            <w:r/>
            <w:r>
              <w:rPr>
                <w:sz w:val="17"/>
              </w:rPr>
              <w:t>Anthropic</w:t>
            </w:r>
          </w:p>
        </w:tc>
        <w:tc>
          <w:tcPr>
            <w:tcW w:type="dxa" w:w="1872"/>
          </w:tcPr>
          <w:p>
            <w:pPr>
              <w:spacing w:after="0"/>
            </w:pPr>
            <w:r/>
            <w:r>
              <w:rPr>
                <w:sz w:val="17"/>
              </w:rPr>
              <w:t>ServiceNow</w:t>
            </w:r>
          </w:p>
        </w:tc>
      </w:tr>
      <w:tr>
        <w:tc>
          <w:tcPr>
            <w:tcW w:type="dxa" w:w="1872"/>
            <w:shd w:val="clear" w:color="auto" w:fill="EDF1F5"/>
          </w:tcPr>
          <w:p>
            <w:pPr>
              <w:spacing w:after="0"/>
            </w:pPr>
            <w:r/>
            <w:r>
              <w:rPr>
                <w:sz w:val="17"/>
              </w:rPr>
              <w:t>Top_Share_Pct</w:t>
            </w:r>
          </w:p>
        </w:tc>
        <w:tc>
          <w:tcPr>
            <w:tcW w:type="dxa" w:w="1872"/>
            <w:shd w:val="clear" w:color="auto" w:fill="EDF1F5"/>
          </w:tcPr>
          <w:p>
            <w:pPr>
              <w:spacing w:after="0"/>
            </w:pPr>
            <w:r/>
            <w:r>
              <w:rPr>
                <w:sz w:val="17"/>
              </w:rPr>
              <w:t>58.90</w:t>
            </w:r>
          </w:p>
        </w:tc>
        <w:tc>
          <w:tcPr>
            <w:tcW w:type="dxa" w:w="1872"/>
            <w:shd w:val="clear" w:color="auto" w:fill="EDF1F5"/>
          </w:tcPr>
          <w:p>
            <w:pPr>
              <w:spacing w:after="0"/>
            </w:pPr>
            <w:r/>
            <w:r>
              <w:rPr>
                <w:sz w:val="17"/>
              </w:rPr>
              <w:t>51.80</w:t>
            </w:r>
          </w:p>
        </w:tc>
        <w:tc>
          <w:tcPr>
            <w:tcW w:type="dxa" w:w="1872"/>
            <w:shd w:val="clear" w:color="auto" w:fill="EDF1F5"/>
          </w:tcPr>
          <w:p>
            <w:pPr>
              <w:spacing w:after="0"/>
            </w:pPr>
            <w:r/>
            <w:r>
              <w:rPr>
                <w:sz w:val="17"/>
              </w:rPr>
              <w:t>61.90</w:t>
            </w:r>
          </w:p>
        </w:tc>
        <w:tc>
          <w:tcPr>
            <w:tcW w:type="dxa" w:w="1872"/>
            <w:shd w:val="clear" w:color="auto" w:fill="EDF1F5"/>
          </w:tcPr>
          <w:p>
            <w:pPr>
              <w:spacing w:after="0"/>
            </w:pPr>
            <w:r/>
            <w:r>
              <w:rPr>
                <w:sz w:val="17"/>
              </w:rPr>
              <w:t>67.80</w:t>
            </w:r>
          </w:p>
        </w:tc>
      </w:tr>
      <w:tr>
        <w:tc>
          <w:tcPr>
            <w:tcW w:type="dxa" w:w="1872"/>
          </w:tcPr>
          <w:p>
            <w:pPr>
              <w:spacing w:after="0"/>
            </w:pPr>
            <w:r/>
            <w:r>
              <w:rPr>
                <w:sz w:val="17"/>
              </w:rPr>
              <w:t>HHI_Points</w:t>
            </w:r>
          </w:p>
        </w:tc>
        <w:tc>
          <w:tcPr>
            <w:tcW w:type="dxa" w:w="1872"/>
          </w:tcPr>
          <w:p>
            <w:pPr>
              <w:spacing w:after="0"/>
            </w:pPr>
            <w:r/>
            <w:r>
              <w:rPr>
                <w:sz w:val="17"/>
              </w:rPr>
              <w:t>4,056.50</w:t>
            </w:r>
          </w:p>
        </w:tc>
        <w:tc>
          <w:tcPr>
            <w:tcW w:type="dxa" w:w="1872"/>
          </w:tcPr>
          <w:p>
            <w:pPr>
              <w:spacing w:after="0"/>
            </w:pPr>
            <w:r/>
            <w:r>
              <w:rPr>
                <w:sz w:val="17"/>
              </w:rPr>
              <w:t>4,237.60</w:t>
            </w:r>
          </w:p>
        </w:tc>
        <w:tc>
          <w:tcPr>
            <w:tcW w:type="dxa" w:w="1872"/>
          </w:tcPr>
          <w:p>
            <w:pPr>
              <w:spacing w:after="0"/>
            </w:pPr>
            <w:r/>
            <w:r>
              <w:rPr>
                <w:sz w:val="17"/>
              </w:rPr>
              <w:t>5,283.40</w:t>
            </w:r>
          </w:p>
        </w:tc>
        <w:tc>
          <w:tcPr>
            <w:tcW w:type="dxa" w:w="1872"/>
          </w:tcPr>
          <w:p>
            <w:pPr>
              <w:spacing w:after="0"/>
            </w:pPr>
            <w:r/>
            <w:r>
              <w:rPr>
                <w:sz w:val="17"/>
              </w:rPr>
              <w:t>5,632.40</w:t>
            </w:r>
          </w:p>
        </w:tc>
      </w:tr>
      <w:tr>
        <w:tc>
          <w:tcPr>
            <w:tcW w:type="dxa" w:w="1872"/>
            <w:shd w:val="clear" w:color="auto" w:fill="EDF1F5"/>
          </w:tcPr>
          <w:p>
            <w:pPr>
              <w:spacing w:after="0"/>
            </w:pPr>
            <w:r/>
            <w:r>
              <w:rPr>
                <w:sz w:val="17"/>
              </w:rPr>
              <w:t>DOJ_Band</w:t>
            </w:r>
          </w:p>
        </w:tc>
        <w:tc>
          <w:tcPr>
            <w:tcW w:type="dxa" w:w="1872"/>
            <w:shd w:val="clear" w:color="auto" w:fill="EDF1F5"/>
          </w:tcPr>
          <w:p>
            <w:pPr>
              <w:spacing w:after="0"/>
            </w:pPr>
            <w:r/>
            <w:r>
              <w:rPr>
                <w:sz w:val="17"/>
              </w:rPr>
              <w:t>Highly concentrated</w:t>
            </w:r>
          </w:p>
        </w:tc>
        <w:tc>
          <w:tcPr>
            <w:tcW w:type="dxa" w:w="1872"/>
            <w:shd w:val="clear" w:color="auto" w:fill="EDF1F5"/>
          </w:tcPr>
          <w:p>
            <w:pPr>
              <w:spacing w:after="0"/>
            </w:pPr>
            <w:r/>
            <w:r>
              <w:rPr>
                <w:sz w:val="17"/>
              </w:rPr>
              <w:t>Highly concentrated</w:t>
            </w:r>
          </w:p>
        </w:tc>
        <w:tc>
          <w:tcPr>
            <w:tcW w:type="dxa" w:w="1872"/>
            <w:shd w:val="clear" w:color="auto" w:fill="EDF1F5"/>
          </w:tcPr>
          <w:p>
            <w:pPr>
              <w:spacing w:after="0"/>
            </w:pPr>
            <w:r/>
            <w:r>
              <w:rPr>
                <w:sz w:val="17"/>
              </w:rPr>
              <w:t>Highly concentrated</w:t>
            </w:r>
          </w:p>
        </w:tc>
        <w:tc>
          <w:tcPr>
            <w:tcW w:type="dxa" w:w="1872"/>
            <w:shd w:val="clear" w:color="auto" w:fill="EDF1F5"/>
          </w:tcPr>
          <w:p>
            <w:pPr>
              <w:spacing w:after="0"/>
            </w:pPr>
            <w:r/>
            <w:r>
              <w:rPr>
                <w:sz w:val="17"/>
              </w:rPr>
              <w:t>Highly concentrated</w:t>
            </w:r>
          </w:p>
        </w:tc>
      </w:tr>
      <w:tr>
        <w:tc>
          <w:tcPr>
            <w:tcW w:type="dxa" w:w="1872"/>
          </w:tcPr>
          <w:p>
            <w:pPr>
              <w:spacing w:after="0"/>
            </w:pPr>
            <w:r/>
            <w:r>
              <w:rPr>
                <w:sz w:val="17"/>
              </w:rPr>
              <w:t>Note</w:t>
            </w:r>
          </w:p>
        </w:tc>
        <w:tc>
          <w:tcPr>
            <w:tcW w:type="dxa" w:w="1872"/>
          </w:tcPr>
          <w:p>
            <w:pPr>
              <w:spacing w:after="0"/>
            </w:pPr>
            <w:r/>
            <w:r>
              <w:rPr>
                <w:sz w:val="17"/>
              </w:rPr>
              <w:t>NVIDIA majority; Google TPU attributed revenue excluded by rule</w:t>
            </w:r>
          </w:p>
        </w:tc>
        <w:tc>
          <w:tcPr>
            <w:tcW w:type="dxa" w:w="1872"/>
          </w:tcPr>
          <w:p>
            <w:pPr>
              <w:spacing w:after="0"/>
            </w:pPr>
            <w:r/>
            <w:r>
              <w:rPr>
                <w:sz w:val="17"/>
              </w:rPr>
              <w:t>Google Cloud revenue is Alphabet-attributed: upper-bound screening diagnostic; AWS/Lambda attributed revenues excluded by rule</w:t>
            </w:r>
          </w:p>
        </w:tc>
        <w:tc>
          <w:tcPr>
            <w:tcW w:type="dxa" w:w="1872"/>
          </w:tcPr>
          <w:p>
            <w:pPr>
              <w:spacing w:after="0"/>
            </w:pPr>
            <w:r/>
            <w:r>
              <w:rPr>
                <w:sz w:val="17"/>
              </w:rPr>
              <w:t>frontier duo; Meta Llama/Mistral/xAI attributed revenues excluded by rule</w:t>
            </w:r>
          </w:p>
        </w:tc>
        <w:tc>
          <w:tcPr>
            <w:tcW w:type="dxa" w:w="1872"/>
          </w:tcPr>
          <w:p>
            <w:pPr>
              <w:spacing w:after="0"/>
            </w:pPr>
            <w:r/>
            <w:r>
              <w:rPr>
                <w:sz w:val="17"/>
              </w:rPr>
              <w:t>n=2 thin screen; Perplexity/Cursor/Databricks attributed revenues excluded by rule</w:t>
            </w:r>
          </w:p>
        </w:tc>
      </w:tr>
    </w:tbl>
    <w:p>
      <w:pPr>
        <w:spacing w:after="80"/>
      </w:pPr>
      <w:r>
        <w:rPr>
          <w:sz w:val="4"/>
        </w:rPr>
      </w:r>
    </w:p>
    <w:p>
      <w:pPr>
        <w:keepNext/>
        <w:spacing w:before="200" w:after="40"/>
      </w:pPr>
      <w:r>
        <w:rPr>
          <w:b/>
          <w:color w:val="2C3E50"/>
          <w:sz w:val="20"/>
        </w:rPr>
        <w:t>Table 7.16: Market-Share Evolution 2025 vs 2030 (Revenue Projections) (appendix only)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Archetype</w:t>
            </w:r>
          </w:p>
        </w:tc>
        <w:tc>
          <w:tcPr>
            <w:tcW w:type="dxa" w:w="1560"/>
            <w:tblHeader w:val="true"/>
            <w:shd w:val="clear" w:color="auto" w:fill="2C3E50"/>
          </w:tcPr>
          <w:p>
            <w:pPr>
              <w:jc w:val="center"/>
            </w:pPr>
            <w:r/>
            <w:r>
              <w:rPr>
                <w:b/>
                <w:color w:val="FFFFFF"/>
                <w:sz w:val="18"/>
              </w:rPr>
              <w:t>Revenue 2025 ($B)</w:t>
            </w:r>
          </w:p>
        </w:tc>
        <w:tc>
          <w:tcPr>
            <w:tcW w:type="dxa" w:w="1560"/>
            <w:tblHeader w:val="true"/>
            <w:shd w:val="clear" w:color="auto" w:fill="2C3E50"/>
          </w:tcPr>
          <w:p>
            <w:pPr>
              <w:jc w:val="center"/>
            </w:pPr>
            <w:r/>
            <w:r>
              <w:rPr>
                <w:b/>
                <w:color w:val="FFFFFF"/>
                <w:sz w:val="18"/>
              </w:rPr>
              <w:t>Share 2025 (%)</w:t>
            </w:r>
          </w:p>
        </w:tc>
        <w:tc>
          <w:tcPr>
            <w:tcW w:type="dxa" w:w="1560"/>
            <w:tblHeader w:val="true"/>
            <w:shd w:val="clear" w:color="auto" w:fill="2C3E50"/>
          </w:tcPr>
          <w:p>
            <w:pPr>
              <w:jc w:val="center"/>
            </w:pPr>
            <w:r/>
            <w:r>
              <w:rPr>
                <w:b/>
                <w:color w:val="FFFFFF"/>
                <w:sz w:val="18"/>
              </w:rPr>
              <w:t>Revenue 2030 ($B)</w:t>
            </w:r>
          </w:p>
        </w:tc>
        <w:tc>
          <w:tcPr>
            <w:tcW w:type="dxa" w:w="1560"/>
            <w:tblHeader w:val="true"/>
            <w:shd w:val="clear" w:color="auto" w:fill="2C3E50"/>
          </w:tcPr>
          <w:p>
            <w:pPr>
              <w:jc w:val="center"/>
            </w:pPr>
            <w:r/>
            <w:r>
              <w:rPr>
                <w:b/>
                <w:color w:val="FFFFFF"/>
                <w:sz w:val="18"/>
              </w:rPr>
              <w:t>Share 2030 (%)</w:t>
            </w:r>
          </w:p>
        </w:tc>
        <w:tc>
          <w:tcPr>
            <w:tcW w:type="dxa" w:w="1560"/>
            <w:tblHeader w:val="true"/>
            <w:shd w:val="clear" w:color="auto" w:fill="2C3E50"/>
          </w:tcPr>
          <w:p>
            <w:pPr>
              <w:jc w:val="center"/>
            </w:pPr>
            <w:r/>
            <w:r>
              <w:rPr>
                <w:b/>
                <w:color w:val="FFFFFF"/>
                <w:sz w:val="18"/>
              </w:rPr>
              <w:t>Share Change (pp)</w:t>
            </w:r>
          </w:p>
        </w:tc>
      </w:tr>
      <w:tr>
        <w:tc>
          <w:tcPr>
            <w:tcW w:type="dxa" w:w="1560"/>
          </w:tcPr>
          <w:p>
            <w:pPr>
              <w:spacing w:after="0"/>
            </w:pPr>
            <w:r/>
            <w:r>
              <w:rPr>
                <w:sz w:val="17"/>
              </w:rPr>
              <w:t>Hardware</w:t>
            </w:r>
          </w:p>
        </w:tc>
        <w:tc>
          <w:tcPr>
            <w:tcW w:type="dxa" w:w="1560"/>
          </w:tcPr>
          <w:p>
            <w:pPr>
              <w:spacing w:after="0"/>
            </w:pPr>
            <w:r/>
            <w:r>
              <w:rPr>
                <w:sz w:val="17"/>
              </w:rPr>
              <w:t>475</w:t>
            </w:r>
          </w:p>
        </w:tc>
        <w:tc>
          <w:tcPr>
            <w:tcW w:type="dxa" w:w="1560"/>
          </w:tcPr>
          <w:p>
            <w:pPr>
              <w:spacing w:after="0"/>
            </w:pPr>
            <w:r/>
            <w:r>
              <w:rPr>
                <w:sz w:val="17"/>
              </w:rPr>
              <w:t>45.92</w:t>
            </w:r>
          </w:p>
        </w:tc>
        <w:tc>
          <w:tcPr>
            <w:tcW w:type="dxa" w:w="1560"/>
          </w:tcPr>
          <w:p>
            <w:pPr>
              <w:spacing w:after="0"/>
            </w:pPr>
            <w:r/>
            <w:r>
              <w:rPr>
                <w:sz w:val="17"/>
              </w:rPr>
              <w:t>1,585.30</w:t>
            </w:r>
          </w:p>
        </w:tc>
        <w:tc>
          <w:tcPr>
            <w:tcW w:type="dxa" w:w="1560"/>
          </w:tcPr>
          <w:p>
            <w:pPr>
              <w:spacing w:after="0"/>
            </w:pPr>
            <w:r/>
            <w:r>
              <w:rPr>
                <w:sz w:val="17"/>
              </w:rPr>
              <w:t>45.39</w:t>
            </w:r>
          </w:p>
        </w:tc>
        <w:tc>
          <w:tcPr>
            <w:tcW w:type="dxa" w:w="1560"/>
          </w:tcPr>
          <w:p>
            <w:pPr>
              <w:spacing w:after="0"/>
            </w:pPr>
            <w:r/>
            <w:r>
              <w:rPr>
                <w:sz w:val="17"/>
              </w:rPr>
              <w:t>-0.52</w:t>
            </w:r>
          </w:p>
        </w:tc>
      </w:tr>
      <w:tr>
        <w:tc>
          <w:tcPr>
            <w:tcW w:type="dxa" w:w="1560"/>
            <w:shd w:val="clear" w:color="auto" w:fill="EDF1F5"/>
          </w:tcPr>
          <w:p>
            <w:pPr>
              <w:spacing w:after="0"/>
            </w:pPr>
            <w:r/>
            <w:r>
              <w:rPr>
                <w:sz w:val="17"/>
              </w:rPr>
              <w:t>Cloud Providers</w:t>
            </w:r>
          </w:p>
        </w:tc>
        <w:tc>
          <w:tcPr>
            <w:tcW w:type="dxa" w:w="1560"/>
            <w:shd w:val="clear" w:color="auto" w:fill="EDF1F5"/>
          </w:tcPr>
          <w:p>
            <w:pPr>
              <w:spacing w:after="0"/>
            </w:pPr>
            <w:r/>
            <w:r>
              <w:rPr>
                <w:sz w:val="17"/>
              </w:rPr>
              <w:t>417</w:t>
            </w:r>
          </w:p>
        </w:tc>
        <w:tc>
          <w:tcPr>
            <w:tcW w:type="dxa" w:w="1560"/>
            <w:shd w:val="clear" w:color="auto" w:fill="EDF1F5"/>
          </w:tcPr>
          <w:p>
            <w:pPr>
              <w:spacing w:after="0"/>
            </w:pPr>
            <w:r/>
            <w:r>
              <w:rPr>
                <w:sz w:val="17"/>
              </w:rPr>
              <w:t>40.31</w:t>
            </w:r>
          </w:p>
        </w:tc>
        <w:tc>
          <w:tcPr>
            <w:tcW w:type="dxa" w:w="1560"/>
            <w:shd w:val="clear" w:color="auto" w:fill="EDF1F5"/>
          </w:tcPr>
          <w:p>
            <w:pPr>
              <w:spacing w:after="0"/>
            </w:pPr>
            <w:r/>
            <w:r>
              <w:rPr>
                <w:sz w:val="17"/>
              </w:rPr>
              <w:t>1,341.10</w:t>
            </w:r>
          </w:p>
        </w:tc>
        <w:tc>
          <w:tcPr>
            <w:tcW w:type="dxa" w:w="1560"/>
            <w:shd w:val="clear" w:color="auto" w:fill="EDF1F5"/>
          </w:tcPr>
          <w:p>
            <w:pPr>
              <w:spacing w:after="0"/>
            </w:pPr>
            <w:r/>
            <w:r>
              <w:rPr>
                <w:sz w:val="17"/>
              </w:rPr>
              <w:t>38.40</w:t>
            </w:r>
          </w:p>
        </w:tc>
        <w:tc>
          <w:tcPr>
            <w:tcW w:type="dxa" w:w="1560"/>
            <w:shd w:val="clear" w:color="auto" w:fill="EDF1F5"/>
          </w:tcPr>
          <w:p>
            <w:pPr>
              <w:spacing w:after="0"/>
            </w:pPr>
            <w:r/>
            <w:r>
              <w:rPr>
                <w:sz w:val="17"/>
              </w:rPr>
              <w:t>-1.91</w:t>
            </w:r>
          </w:p>
        </w:tc>
      </w:tr>
      <w:tr>
        <w:tc>
          <w:tcPr>
            <w:tcW w:type="dxa" w:w="1560"/>
          </w:tcPr>
          <w:p>
            <w:pPr>
              <w:spacing w:after="0"/>
            </w:pPr>
            <w:r/>
            <w:r>
              <w:rPr>
                <w:sz w:val="17"/>
              </w:rPr>
              <w:t>Foundation Models</w:t>
            </w:r>
          </w:p>
        </w:tc>
        <w:tc>
          <w:tcPr>
            <w:tcW w:type="dxa" w:w="1560"/>
          </w:tcPr>
          <w:p>
            <w:pPr>
              <w:spacing w:after="0"/>
            </w:pPr>
            <w:r/>
            <w:r>
              <w:rPr>
                <w:sz w:val="17"/>
              </w:rPr>
              <w:t>106.50</w:t>
            </w:r>
          </w:p>
        </w:tc>
        <w:tc>
          <w:tcPr>
            <w:tcW w:type="dxa" w:w="1560"/>
          </w:tcPr>
          <w:p>
            <w:pPr>
              <w:spacing w:after="0"/>
            </w:pPr>
            <w:r/>
            <w:r>
              <w:rPr>
                <w:sz w:val="17"/>
              </w:rPr>
              <w:t>10.29</w:t>
            </w:r>
          </w:p>
        </w:tc>
        <w:tc>
          <w:tcPr>
            <w:tcW w:type="dxa" w:w="1560"/>
          </w:tcPr>
          <w:p>
            <w:pPr>
              <w:spacing w:after="0"/>
            </w:pPr>
            <w:r/>
            <w:r>
              <w:rPr>
                <w:sz w:val="17"/>
              </w:rPr>
              <w:t>441.50</w:t>
            </w:r>
          </w:p>
        </w:tc>
        <w:tc>
          <w:tcPr>
            <w:tcW w:type="dxa" w:w="1560"/>
          </w:tcPr>
          <w:p>
            <w:pPr>
              <w:spacing w:after="0"/>
            </w:pPr>
            <w:r/>
            <w:r>
              <w:rPr>
                <w:sz w:val="17"/>
              </w:rPr>
              <w:t>12.64</w:t>
            </w:r>
          </w:p>
        </w:tc>
        <w:tc>
          <w:tcPr>
            <w:tcW w:type="dxa" w:w="1560"/>
          </w:tcPr>
          <w:p>
            <w:pPr>
              <w:spacing w:after="0"/>
            </w:pPr>
            <w:r/>
            <w:r>
              <w:rPr>
                <w:sz w:val="17"/>
              </w:rPr>
              <w:t>2.35</w:t>
            </w:r>
          </w:p>
        </w:tc>
      </w:tr>
      <w:tr>
        <w:tc>
          <w:tcPr>
            <w:tcW w:type="dxa" w:w="1560"/>
            <w:shd w:val="clear" w:color="auto" w:fill="EDF1F5"/>
          </w:tcPr>
          <w:p>
            <w:pPr>
              <w:spacing w:after="0"/>
            </w:pPr>
            <w:r/>
            <w:r>
              <w:rPr>
                <w:sz w:val="17"/>
              </w:rPr>
              <w:t>LLM Wrappers</w:t>
            </w:r>
          </w:p>
        </w:tc>
        <w:tc>
          <w:tcPr>
            <w:tcW w:type="dxa" w:w="1560"/>
            <w:shd w:val="clear" w:color="auto" w:fill="EDF1F5"/>
          </w:tcPr>
          <w:p>
            <w:pPr>
              <w:spacing w:after="0"/>
            </w:pPr>
            <w:r/>
            <w:r>
              <w:rPr>
                <w:sz w:val="17"/>
              </w:rPr>
              <w:t>36</w:t>
            </w:r>
          </w:p>
        </w:tc>
        <w:tc>
          <w:tcPr>
            <w:tcW w:type="dxa" w:w="1560"/>
            <w:shd w:val="clear" w:color="auto" w:fill="EDF1F5"/>
          </w:tcPr>
          <w:p>
            <w:pPr>
              <w:spacing w:after="0"/>
            </w:pPr>
            <w:r/>
            <w:r>
              <w:rPr>
                <w:sz w:val="17"/>
              </w:rPr>
              <w:t>3.48</w:t>
            </w:r>
          </w:p>
        </w:tc>
        <w:tc>
          <w:tcPr>
            <w:tcW w:type="dxa" w:w="1560"/>
            <w:shd w:val="clear" w:color="auto" w:fill="EDF1F5"/>
          </w:tcPr>
          <w:p>
            <w:pPr>
              <w:spacing w:after="0"/>
            </w:pPr>
            <w:r/>
            <w:r>
              <w:rPr>
                <w:sz w:val="17"/>
              </w:rPr>
              <w:t>124.70</w:t>
            </w:r>
          </w:p>
        </w:tc>
        <w:tc>
          <w:tcPr>
            <w:tcW w:type="dxa" w:w="1560"/>
            <w:shd w:val="clear" w:color="auto" w:fill="EDF1F5"/>
          </w:tcPr>
          <w:p>
            <w:pPr>
              <w:spacing w:after="0"/>
            </w:pPr>
            <w:r/>
            <w:r>
              <w:rPr>
                <w:sz w:val="17"/>
              </w:rPr>
              <w:t>3.57</w:t>
            </w:r>
          </w:p>
        </w:tc>
        <w:tc>
          <w:tcPr>
            <w:tcW w:type="dxa" w:w="1560"/>
            <w:shd w:val="clear" w:color="auto" w:fill="EDF1F5"/>
          </w:tcPr>
          <w:p>
            <w:pPr>
              <w:spacing w:after="0"/>
            </w:pPr>
            <w:r/>
            <w:r>
              <w:rPr>
                <w:sz w:val="17"/>
              </w:rPr>
              <w:t>0.09</w:t>
            </w:r>
          </w:p>
        </w:tc>
      </w:tr>
    </w:tbl>
    <w:p>
      <w:pPr>
        <w:spacing w:after="80"/>
      </w:pPr>
      <w:r>
        <w:rPr>
          <w:sz w:val="4"/>
        </w:rPr>
      </w:r>
    </w:p>
    <w:p>
      <w:pPr>
        <w:keepNext/>
        <w:spacing w:before="200" w:after="40"/>
      </w:pPr>
      <w:r>
        <w:rPr>
          <w:b/>
          <w:color w:val="2C3E50"/>
          <w:sz w:val="20"/>
        </w:rPr>
        <w:t>Table 7.17: Lerner Index &amp; Markup Summary with Uncertainty Bands (appendix only)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Archetype</w:t>
            </w:r>
          </w:p>
        </w:tc>
        <w:tc>
          <w:tcPr>
            <w:tcW w:type="dxa" w:w="1872"/>
            <w:tblHeader w:val="true"/>
            <w:shd w:val="clear" w:color="auto" w:fill="2C3E50"/>
          </w:tcPr>
          <w:p>
            <w:pPr>
              <w:jc w:val="center"/>
            </w:pPr>
            <w:r/>
            <w:r>
              <w:rPr>
                <w:b/>
                <w:color w:val="FFFFFF"/>
                <w:sz w:val="18"/>
              </w:rPr>
              <w:t>Base Lerner</w:t>
            </w:r>
          </w:p>
        </w:tc>
        <w:tc>
          <w:tcPr>
            <w:tcW w:type="dxa" w:w="1872"/>
            <w:tblHeader w:val="true"/>
            <w:shd w:val="clear" w:color="auto" w:fill="2C3E50"/>
          </w:tcPr>
          <w:p>
            <w:pPr>
              <w:jc w:val="center"/>
            </w:pPr>
            <w:r/>
            <w:r>
              <w:rPr>
                <w:b/>
                <w:color w:val="FFFFFF"/>
                <w:sz w:val="18"/>
              </w:rPr>
              <w:t>Lerner Band</w:t>
            </w:r>
          </w:p>
        </w:tc>
        <w:tc>
          <w:tcPr>
            <w:tcW w:type="dxa" w:w="1872"/>
            <w:tblHeader w:val="true"/>
            <w:shd w:val="clear" w:color="auto" w:fill="2C3E50"/>
          </w:tcPr>
          <w:p>
            <w:pPr>
              <w:jc w:val="center"/>
            </w:pPr>
            <w:r/>
            <w:r>
              <w:rPr>
                <w:b/>
                <w:color w:val="FFFFFF"/>
                <w:sz w:val="18"/>
              </w:rPr>
              <w:t>Base Markup (%)</w:t>
            </w:r>
          </w:p>
        </w:tc>
        <w:tc>
          <w:tcPr>
            <w:tcW w:type="dxa" w:w="1872"/>
            <w:tblHeader w:val="true"/>
            <w:shd w:val="clear" w:color="auto" w:fill="2C3E50"/>
          </w:tcPr>
          <w:p>
            <w:pPr>
              <w:jc w:val="center"/>
            </w:pPr>
            <w:r/>
            <w:r>
              <w:rPr>
                <w:b/>
                <w:color w:val="FFFFFF"/>
                <w:sz w:val="18"/>
              </w:rPr>
              <w:t>Markup Band (%)</w:t>
            </w:r>
          </w:p>
        </w:tc>
      </w:tr>
      <w:tr>
        <w:tc>
          <w:tcPr>
            <w:tcW w:type="dxa" w:w="1872"/>
          </w:tcPr>
          <w:p>
            <w:pPr>
              <w:spacing w:after="0"/>
            </w:pPr>
            <w:r/>
            <w:r>
              <w:rPr>
                <w:sz w:val="17"/>
              </w:rPr>
              <w:t>Cloud Providers</w:t>
            </w:r>
          </w:p>
        </w:tc>
        <w:tc>
          <w:tcPr>
            <w:tcW w:type="dxa" w:w="1872"/>
          </w:tcPr>
          <w:p>
            <w:pPr>
              <w:spacing w:after="0"/>
            </w:pPr>
            <w:r/>
            <w:r>
              <w:rPr>
                <w:sz w:val="17"/>
              </w:rPr>
              <w:t>0.56</w:t>
            </w:r>
          </w:p>
        </w:tc>
        <w:tc>
          <w:tcPr>
            <w:tcW w:type="dxa" w:w="1872"/>
          </w:tcPr>
          <w:p>
            <w:pPr>
              <w:spacing w:after="0"/>
            </w:pPr>
            <w:r/>
            <w:r>
              <w:rPr>
                <w:sz w:val="17"/>
              </w:rPr>
              <w:t>0.400–0.833</w:t>
            </w:r>
          </w:p>
        </w:tc>
        <w:tc>
          <w:tcPr>
            <w:tcW w:type="dxa" w:w="1872"/>
          </w:tcPr>
          <w:p>
            <w:pPr>
              <w:spacing w:after="0"/>
            </w:pPr>
            <w:r/>
            <w:r>
              <w:rPr>
                <w:sz w:val="17"/>
              </w:rPr>
              <w:t>125</w:t>
            </w:r>
          </w:p>
        </w:tc>
        <w:tc>
          <w:tcPr>
            <w:tcW w:type="dxa" w:w="1872"/>
          </w:tcPr>
          <w:p>
            <w:pPr>
              <w:spacing w:after="0"/>
            </w:pPr>
            <w:r/>
            <w:r>
              <w:rPr>
                <w:sz w:val="17"/>
              </w:rPr>
              <w:t>66.7–500.0</w:t>
            </w:r>
          </w:p>
        </w:tc>
      </w:tr>
      <w:tr>
        <w:tc>
          <w:tcPr>
            <w:tcW w:type="dxa" w:w="1872"/>
            <w:shd w:val="clear" w:color="auto" w:fill="EDF1F5"/>
          </w:tcPr>
          <w:p>
            <w:pPr>
              <w:spacing w:after="0"/>
            </w:pPr>
            <w:r/>
            <w:r>
              <w:rPr>
                <w:sz w:val="17"/>
              </w:rPr>
              <w:t>Hardware</w:t>
            </w:r>
          </w:p>
        </w:tc>
        <w:tc>
          <w:tcPr>
            <w:tcW w:type="dxa" w:w="1872"/>
            <w:shd w:val="clear" w:color="auto" w:fill="EDF1F5"/>
          </w:tcPr>
          <w:p>
            <w:pPr>
              <w:spacing w:after="0"/>
            </w:pPr>
            <w:r/>
            <w:r>
              <w:rPr>
                <w:sz w:val="17"/>
              </w:rPr>
              <w:t>0.67</w:t>
            </w:r>
          </w:p>
        </w:tc>
        <w:tc>
          <w:tcPr>
            <w:tcW w:type="dxa" w:w="1872"/>
            <w:shd w:val="clear" w:color="auto" w:fill="EDF1F5"/>
          </w:tcPr>
          <w:p>
            <w:pPr>
              <w:spacing w:after="0"/>
            </w:pPr>
            <w:r/>
            <w:r>
              <w:rPr>
                <w:sz w:val="17"/>
              </w:rPr>
              <w:t>0.500–0.833</w:t>
            </w:r>
          </w:p>
        </w:tc>
        <w:tc>
          <w:tcPr>
            <w:tcW w:type="dxa" w:w="1872"/>
            <w:shd w:val="clear" w:color="auto" w:fill="EDF1F5"/>
          </w:tcPr>
          <w:p>
            <w:pPr>
              <w:spacing w:after="0"/>
            </w:pPr>
            <w:r/>
            <w:r>
              <w:rPr>
                <w:sz w:val="17"/>
              </w:rPr>
              <w:t>200</w:t>
            </w:r>
          </w:p>
        </w:tc>
        <w:tc>
          <w:tcPr>
            <w:tcW w:type="dxa" w:w="1872"/>
            <w:shd w:val="clear" w:color="auto" w:fill="EDF1F5"/>
          </w:tcPr>
          <w:p>
            <w:pPr>
              <w:spacing w:after="0"/>
            </w:pPr>
            <w:r/>
            <w:r>
              <w:rPr>
                <w:sz w:val="17"/>
              </w:rPr>
              <w:t>100.0–500.0</w:t>
            </w:r>
          </w:p>
        </w:tc>
      </w:tr>
      <w:tr>
        <w:tc>
          <w:tcPr>
            <w:tcW w:type="dxa" w:w="1872"/>
          </w:tcPr>
          <w:p>
            <w:pPr>
              <w:spacing w:after="0"/>
            </w:pPr>
            <w:r/>
            <w:r>
              <w:rPr>
                <w:sz w:val="17"/>
              </w:rPr>
              <w:t>Foundation Models</w:t>
            </w:r>
          </w:p>
        </w:tc>
        <w:tc>
          <w:tcPr>
            <w:tcW w:type="dxa" w:w="1872"/>
          </w:tcPr>
          <w:p>
            <w:pPr>
              <w:spacing w:after="0"/>
            </w:pPr>
            <w:r/>
            <w:r>
              <w:rPr>
                <w:sz w:val="17"/>
              </w:rPr>
              <w:t>0.40</w:t>
            </w:r>
          </w:p>
        </w:tc>
        <w:tc>
          <w:tcPr>
            <w:tcW w:type="dxa" w:w="1872"/>
          </w:tcPr>
          <w:p>
            <w:pPr>
              <w:spacing w:after="0"/>
            </w:pPr>
            <w:r/>
            <w:r>
              <w:rPr>
                <w:sz w:val="17"/>
              </w:rPr>
              <w:t>0.286–0.556</w:t>
            </w:r>
          </w:p>
        </w:tc>
        <w:tc>
          <w:tcPr>
            <w:tcW w:type="dxa" w:w="1872"/>
          </w:tcPr>
          <w:p>
            <w:pPr>
              <w:spacing w:after="0"/>
            </w:pPr>
            <w:r/>
            <w:r>
              <w:rPr>
                <w:sz w:val="17"/>
              </w:rPr>
              <w:t>66.70</w:t>
            </w:r>
          </w:p>
        </w:tc>
        <w:tc>
          <w:tcPr>
            <w:tcW w:type="dxa" w:w="1872"/>
          </w:tcPr>
          <w:p>
            <w:pPr>
              <w:spacing w:after="0"/>
            </w:pPr>
            <w:r/>
            <w:r>
              <w:rPr>
                <w:sz w:val="17"/>
              </w:rPr>
              <w:t>40.0–125.0</w:t>
            </w:r>
          </w:p>
        </w:tc>
      </w:tr>
      <w:tr>
        <w:tc>
          <w:tcPr>
            <w:tcW w:type="dxa" w:w="1872"/>
            <w:shd w:val="clear" w:color="auto" w:fill="EDF1F5"/>
          </w:tcPr>
          <w:p>
            <w:pPr>
              <w:spacing w:after="0"/>
            </w:pPr>
            <w:r/>
            <w:r>
              <w:rPr>
                <w:sz w:val="17"/>
              </w:rPr>
              <w:t>LLM Wrappers</w:t>
            </w:r>
          </w:p>
        </w:tc>
        <w:tc>
          <w:tcPr>
            <w:tcW w:type="dxa" w:w="1872"/>
            <w:shd w:val="clear" w:color="auto" w:fill="EDF1F5"/>
          </w:tcPr>
          <w:p>
            <w:pPr>
              <w:spacing w:after="0"/>
            </w:pPr>
            <w:r/>
            <w:r>
              <w:rPr>
                <w:sz w:val="17"/>
              </w:rPr>
              <w:t>0.25</w:t>
            </w:r>
          </w:p>
        </w:tc>
        <w:tc>
          <w:tcPr>
            <w:tcW w:type="dxa" w:w="1872"/>
            <w:shd w:val="clear" w:color="auto" w:fill="EDF1F5"/>
          </w:tcPr>
          <w:p>
            <w:pPr>
              <w:spacing w:after="0"/>
            </w:pPr>
            <w:r/>
            <w:r>
              <w:rPr>
                <w:sz w:val="17"/>
              </w:rPr>
              <w:t>0.167–0.333</w:t>
            </w:r>
          </w:p>
        </w:tc>
        <w:tc>
          <w:tcPr>
            <w:tcW w:type="dxa" w:w="1872"/>
            <w:shd w:val="clear" w:color="auto" w:fill="EDF1F5"/>
          </w:tcPr>
          <w:p>
            <w:pPr>
              <w:spacing w:after="0"/>
            </w:pPr>
            <w:r/>
            <w:r>
              <w:rPr>
                <w:sz w:val="17"/>
              </w:rPr>
              <w:t>33.30</w:t>
            </w:r>
          </w:p>
        </w:tc>
        <w:tc>
          <w:tcPr>
            <w:tcW w:type="dxa" w:w="1872"/>
            <w:shd w:val="clear" w:color="auto" w:fill="EDF1F5"/>
          </w:tcPr>
          <w:p>
            <w:pPr>
              <w:spacing w:after="0"/>
            </w:pPr>
            <w:r/>
            <w:r>
              <w:rPr>
                <w:sz w:val="17"/>
              </w:rPr>
              <w:t>20.0–50.0</w:t>
            </w:r>
          </w:p>
        </w:tc>
      </w:tr>
    </w:tbl>
    <w:p>
      <w:pPr>
        <w:spacing w:after="80"/>
      </w:pPr>
      <w:r>
        <w:rPr>
          <w:sz w:val="4"/>
        </w:rPr>
      </w:r>
    </w:p>
    <w:p>
      <w:pPr>
        <w:keepNext/>
        <w:spacing w:before="200" w:after="40"/>
      </w:pPr>
      <w:r>
        <w:rPr>
          <w:b/>
          <w:color w:val="2C3E50"/>
          <w:sz w:val="20"/>
        </w:rPr>
        <w:t>Table 7.18: Shapley Share vs Revenue Share (Bargaining vs Size) (appendix only)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Archetype</w:t>
            </w:r>
          </w:p>
        </w:tc>
        <w:tc>
          <w:tcPr>
            <w:tcW w:type="dxa" w:w="2340"/>
            <w:tblHeader w:val="true"/>
            <w:shd w:val="clear" w:color="auto" w:fill="2C3E50"/>
          </w:tcPr>
          <w:p>
            <w:pPr>
              <w:jc w:val="center"/>
            </w:pPr>
            <w:r/>
            <w:r>
              <w:rPr>
                <w:b/>
                <w:color w:val="FFFFFF"/>
                <w:sz w:val="20"/>
              </w:rPr>
              <w:t>Revenue Share (%)</w:t>
            </w:r>
          </w:p>
        </w:tc>
        <w:tc>
          <w:tcPr>
            <w:tcW w:type="dxa" w:w="2340"/>
            <w:tblHeader w:val="true"/>
            <w:shd w:val="clear" w:color="auto" w:fill="2C3E50"/>
          </w:tcPr>
          <w:p>
            <w:pPr>
              <w:jc w:val="center"/>
            </w:pPr>
            <w:r/>
            <w:r>
              <w:rPr>
                <w:b/>
                <w:color w:val="FFFFFF"/>
                <w:sz w:val="20"/>
              </w:rPr>
              <w:t>Shapley Share (%)</w:t>
            </w:r>
          </w:p>
        </w:tc>
        <w:tc>
          <w:tcPr>
            <w:tcW w:type="dxa" w:w="2340"/>
            <w:tblHeader w:val="true"/>
            <w:shd w:val="clear" w:color="auto" w:fill="2C3E50"/>
          </w:tcPr>
          <w:p>
            <w:pPr>
              <w:jc w:val="center"/>
            </w:pPr>
            <w:r/>
            <w:r>
              <w:rPr>
                <w:b/>
                <w:color w:val="FFFFFF"/>
                <w:sz w:val="20"/>
              </w:rPr>
              <w:t>Gap (pp, Shapley − Revenue)</w:t>
            </w:r>
          </w:p>
        </w:tc>
      </w:tr>
      <w:tr>
        <w:tc>
          <w:tcPr>
            <w:tcW w:type="dxa" w:w="2340"/>
          </w:tcPr>
          <w:p>
            <w:pPr>
              <w:spacing w:after="0"/>
            </w:pPr>
            <w:r/>
            <w:r>
              <w:rPr>
                <w:sz w:val="19"/>
              </w:rPr>
              <w:t>Hardware</w:t>
            </w:r>
          </w:p>
        </w:tc>
        <w:tc>
          <w:tcPr>
            <w:tcW w:type="dxa" w:w="2340"/>
          </w:tcPr>
          <w:p>
            <w:pPr>
              <w:spacing w:after="0"/>
            </w:pPr>
            <w:r/>
            <w:r>
              <w:rPr>
                <w:sz w:val="19"/>
              </w:rPr>
              <w:t>45.90</w:t>
            </w:r>
          </w:p>
        </w:tc>
        <w:tc>
          <w:tcPr>
            <w:tcW w:type="dxa" w:w="2340"/>
          </w:tcPr>
          <w:p>
            <w:pPr>
              <w:spacing w:after="0"/>
            </w:pPr>
            <w:r/>
            <w:r>
              <w:rPr>
                <w:sz w:val="19"/>
              </w:rPr>
              <w:t>43.40</w:t>
            </w:r>
          </w:p>
        </w:tc>
        <w:tc>
          <w:tcPr>
            <w:tcW w:type="dxa" w:w="2340"/>
          </w:tcPr>
          <w:p>
            <w:pPr>
              <w:spacing w:after="0"/>
            </w:pPr>
            <w:r/>
            <w:r>
              <w:rPr>
                <w:sz w:val="19"/>
              </w:rPr>
              <w:t>-2.50</w:t>
            </w:r>
          </w:p>
        </w:tc>
      </w:tr>
      <w:tr>
        <w:tc>
          <w:tcPr>
            <w:tcW w:type="dxa" w:w="2340"/>
            <w:shd w:val="clear" w:color="auto" w:fill="EDF1F5"/>
          </w:tcPr>
          <w:p>
            <w:pPr>
              <w:spacing w:after="0"/>
            </w:pPr>
            <w:r/>
            <w:r>
              <w:rPr>
                <w:sz w:val="19"/>
              </w:rPr>
              <w:t>Cloud Providers</w:t>
            </w:r>
          </w:p>
        </w:tc>
        <w:tc>
          <w:tcPr>
            <w:tcW w:type="dxa" w:w="2340"/>
            <w:shd w:val="clear" w:color="auto" w:fill="EDF1F5"/>
          </w:tcPr>
          <w:p>
            <w:pPr>
              <w:spacing w:after="0"/>
            </w:pPr>
            <w:r/>
            <w:r>
              <w:rPr>
                <w:sz w:val="19"/>
              </w:rPr>
              <w:t>40.30</w:t>
            </w:r>
          </w:p>
        </w:tc>
        <w:tc>
          <w:tcPr>
            <w:tcW w:type="dxa" w:w="2340"/>
            <w:shd w:val="clear" w:color="auto" w:fill="EDF1F5"/>
          </w:tcPr>
          <w:p>
            <w:pPr>
              <w:spacing w:after="0"/>
            </w:pPr>
            <w:r/>
            <w:r>
              <w:rPr>
                <w:sz w:val="19"/>
              </w:rPr>
              <w:t>38.70</w:t>
            </w:r>
          </w:p>
        </w:tc>
        <w:tc>
          <w:tcPr>
            <w:tcW w:type="dxa" w:w="2340"/>
            <w:shd w:val="clear" w:color="auto" w:fill="EDF1F5"/>
          </w:tcPr>
          <w:p>
            <w:pPr>
              <w:spacing w:after="0"/>
            </w:pPr>
            <w:r/>
            <w:r>
              <w:rPr>
                <w:sz w:val="19"/>
              </w:rPr>
              <w:t>-1.60</w:t>
            </w:r>
          </w:p>
        </w:tc>
      </w:tr>
      <w:tr>
        <w:tc>
          <w:tcPr>
            <w:tcW w:type="dxa" w:w="2340"/>
          </w:tcPr>
          <w:p>
            <w:pPr>
              <w:spacing w:after="0"/>
            </w:pPr>
            <w:r/>
            <w:r>
              <w:rPr>
                <w:sz w:val="19"/>
              </w:rPr>
              <w:t>Foundation Models</w:t>
            </w:r>
          </w:p>
        </w:tc>
        <w:tc>
          <w:tcPr>
            <w:tcW w:type="dxa" w:w="2340"/>
          </w:tcPr>
          <w:p>
            <w:pPr>
              <w:spacing w:after="0"/>
            </w:pPr>
            <w:r/>
            <w:r>
              <w:rPr>
                <w:sz w:val="19"/>
              </w:rPr>
              <w:t>10.30</w:t>
            </w:r>
          </w:p>
        </w:tc>
        <w:tc>
          <w:tcPr>
            <w:tcW w:type="dxa" w:w="2340"/>
          </w:tcPr>
          <w:p>
            <w:pPr>
              <w:spacing w:after="0"/>
            </w:pPr>
            <w:r/>
            <w:r>
              <w:rPr>
                <w:sz w:val="19"/>
              </w:rPr>
              <w:t>11.90</w:t>
            </w:r>
          </w:p>
        </w:tc>
        <w:tc>
          <w:tcPr>
            <w:tcW w:type="dxa" w:w="2340"/>
          </w:tcPr>
          <w:p>
            <w:pPr>
              <w:spacing w:after="0"/>
            </w:pPr>
            <w:r/>
            <w:r>
              <w:rPr>
                <w:sz w:val="19"/>
              </w:rPr>
              <w:t>1.60</w:t>
            </w:r>
          </w:p>
        </w:tc>
      </w:tr>
      <w:tr>
        <w:tc>
          <w:tcPr>
            <w:tcW w:type="dxa" w:w="2340"/>
            <w:shd w:val="clear" w:color="auto" w:fill="EDF1F5"/>
          </w:tcPr>
          <w:p>
            <w:pPr>
              <w:spacing w:after="0"/>
            </w:pPr>
            <w:r/>
            <w:r>
              <w:rPr>
                <w:sz w:val="19"/>
              </w:rPr>
              <w:t>LLM Wrappers</w:t>
            </w:r>
          </w:p>
        </w:tc>
        <w:tc>
          <w:tcPr>
            <w:tcW w:type="dxa" w:w="2340"/>
            <w:shd w:val="clear" w:color="auto" w:fill="EDF1F5"/>
          </w:tcPr>
          <w:p>
            <w:pPr>
              <w:spacing w:after="0"/>
            </w:pPr>
            <w:r/>
            <w:r>
              <w:rPr>
                <w:sz w:val="19"/>
              </w:rPr>
              <w:t>3.50</w:t>
            </w:r>
          </w:p>
        </w:tc>
        <w:tc>
          <w:tcPr>
            <w:tcW w:type="dxa" w:w="2340"/>
            <w:shd w:val="clear" w:color="auto" w:fill="EDF1F5"/>
          </w:tcPr>
          <w:p>
            <w:pPr>
              <w:spacing w:after="0"/>
            </w:pPr>
            <w:r/>
            <w:r>
              <w:rPr>
                <w:sz w:val="19"/>
              </w:rPr>
              <w:t>6.10</w:t>
            </w:r>
          </w:p>
        </w:tc>
        <w:tc>
          <w:tcPr>
            <w:tcW w:type="dxa" w:w="2340"/>
            <w:shd w:val="clear" w:color="auto" w:fill="EDF1F5"/>
          </w:tcPr>
          <w:p>
            <w:pPr>
              <w:spacing w:after="0"/>
            </w:pPr>
            <w:r/>
            <w:r>
              <w:rPr>
                <w:sz w:val="19"/>
              </w:rPr>
              <w:t>2.60</w:t>
            </w:r>
          </w:p>
        </w:tc>
      </w:tr>
    </w:tbl>
    <w:p>
      <w:pPr>
        <w:spacing w:after="80"/>
      </w:pPr>
      <w:r>
        <w:rPr>
          <w:sz w:val="4"/>
        </w:rPr>
      </w:r>
    </w:p>
    <w:p>
      <w:pPr>
        <w:keepNext/>
        <w:spacing w:before="200" w:after="40"/>
      </w:pPr>
      <w:r>
        <w:rPr>
          <w:b/>
          <w:color w:val="2C3E50"/>
          <w:sz w:val="20"/>
        </w:rPr>
        <w:t>Table A.0: Network Centrality (Appendix) (also in Section 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blHeader w:val="true"/>
            <w:shd w:val="clear" w:color="auto" w:fill="2C3E50"/>
          </w:tcPr>
          <w:p>
            <w:pPr>
              <w:jc w:val="center"/>
            </w:pPr>
            <w:r/>
            <w:r>
              <w:rPr>
                <w:b/>
                <w:color w:val="FFFFFF"/>
                <w:sz w:val="20"/>
              </w:rPr>
              <w:t>Degree</w:t>
            </w:r>
          </w:p>
        </w:tc>
        <w:tc>
          <w:tcPr>
            <w:tcW w:type="dxa" w:w="2340"/>
            <w:tblHeader w:val="true"/>
            <w:shd w:val="clear" w:color="auto" w:fill="2C3E50"/>
          </w:tcPr>
          <w:p>
            <w:pPr>
              <w:jc w:val="center"/>
            </w:pPr>
            <w:r/>
            <w:r>
              <w:rPr>
                <w:b/>
                <w:color w:val="FFFFFF"/>
                <w:sz w:val="20"/>
              </w:rPr>
              <w:t>Betweenness</w:t>
            </w:r>
          </w:p>
        </w:tc>
        <w:tc>
          <w:tcPr>
            <w:tcW w:type="dxa" w:w="2340"/>
            <w:tblHeader w:val="true"/>
            <w:shd w:val="clear" w:color="auto" w:fill="2C3E50"/>
          </w:tcPr>
          <w:p>
            <w:pPr>
              <w:jc w:val="center"/>
            </w:pPr>
            <w:r/>
            <w:r>
              <w:rPr>
                <w:b/>
                <w:color w:val="FFFFFF"/>
                <w:sz w:val="20"/>
              </w:rPr>
              <w:t>PageRank</w:t>
            </w:r>
          </w:p>
        </w:tc>
        <w:tc>
          <w:tcPr>
            <w:tcW w:type="dxa" w:w="2340"/>
            <w:tblHeader w:val="true"/>
            <w:shd w:val="clear" w:color="auto" w:fill="2C3E50"/>
          </w:tcPr>
          <w:p>
            <w:pPr>
              <w:jc w:val="center"/>
            </w:pPr>
            <w:r/>
            <w:r>
              <w:rPr>
                <w:b/>
                <w:color w:val="FFFFFF"/>
                <w:sz w:val="20"/>
              </w:rPr>
              <w:t>Eigenvector</w:t>
            </w:r>
          </w:p>
        </w:tc>
      </w:tr>
      <w:tr>
        <w:tc>
          <w:tcPr>
            <w:tcW w:type="dxa" w:w="2340"/>
          </w:tcPr>
          <w:p>
            <w:pPr>
              <w:spacing w:after="0"/>
            </w:pPr>
            <w:r/>
            <w:r>
              <w:rPr>
                <w:sz w:val="19"/>
              </w:rPr>
              <w:t>0.33</w:t>
            </w:r>
          </w:p>
        </w:tc>
        <w:tc>
          <w:tcPr>
            <w:tcW w:type="dxa" w:w="2340"/>
          </w:tcPr>
          <w:p>
            <w:pPr>
              <w:spacing w:after="0"/>
            </w:pPr>
            <w:r/>
            <w:r>
              <w:rPr>
                <w:sz w:val="19"/>
              </w:rPr>
              <w:t>0</w:t>
            </w:r>
          </w:p>
        </w:tc>
        <w:tc>
          <w:tcPr>
            <w:tcW w:type="dxa" w:w="2340"/>
          </w:tcPr>
          <w:p>
            <w:pPr>
              <w:spacing w:after="0"/>
            </w:pPr>
            <w:r/>
            <w:r>
              <w:rPr>
                <w:sz w:val="19"/>
              </w:rPr>
              <w:t>0.34</w:t>
            </w:r>
          </w:p>
        </w:tc>
        <w:tc>
          <w:tcPr>
            <w:tcW w:type="dxa" w:w="2340"/>
          </w:tcPr>
          <w:p>
            <w:pPr>
              <w:spacing w:after="0"/>
            </w:pPr>
            <w:r/>
            <w:r>
              <w:rPr>
                <w:sz w:val="19"/>
              </w:rPr>
              <w:t>0.82</w:t>
            </w:r>
          </w:p>
        </w:tc>
      </w:tr>
      <w:tr>
        <w:tc>
          <w:tcPr>
            <w:tcW w:type="dxa" w:w="2340"/>
            <w:shd w:val="clear" w:color="auto" w:fill="EDF1F5"/>
          </w:tcPr>
          <w:p>
            <w:pPr>
              <w:spacing w:after="0"/>
            </w:pPr>
            <w:r/>
            <w:r>
              <w:rPr>
                <w:sz w:val="19"/>
              </w:rPr>
              <w:t>0.50</w:t>
            </w:r>
          </w:p>
        </w:tc>
        <w:tc>
          <w:tcPr>
            <w:tcW w:type="dxa" w:w="2340"/>
            <w:shd w:val="clear" w:color="auto" w:fill="EDF1F5"/>
          </w:tcPr>
          <w:p>
            <w:pPr>
              <w:spacing w:after="0"/>
            </w:pPr>
            <w:r/>
            <w:r>
              <w:rPr>
                <w:sz w:val="19"/>
              </w:rPr>
              <w:t>0</w:t>
            </w:r>
          </w:p>
        </w:tc>
        <w:tc>
          <w:tcPr>
            <w:tcW w:type="dxa" w:w="2340"/>
            <w:shd w:val="clear" w:color="auto" w:fill="EDF1F5"/>
          </w:tcPr>
          <w:p>
            <w:pPr>
              <w:spacing w:after="0"/>
            </w:pPr>
            <w:r/>
            <w:r>
              <w:rPr>
                <w:sz w:val="19"/>
              </w:rPr>
              <w:t>0.24</w:t>
            </w:r>
          </w:p>
        </w:tc>
        <w:tc>
          <w:tcPr>
            <w:tcW w:type="dxa" w:w="2340"/>
            <w:shd w:val="clear" w:color="auto" w:fill="EDF1F5"/>
          </w:tcPr>
          <w:p>
            <w:pPr>
              <w:spacing w:after="0"/>
            </w:pPr>
            <w:r/>
            <w:r>
              <w:rPr>
                <w:sz w:val="19"/>
              </w:rPr>
              <w:t>0.41</w:t>
            </w:r>
          </w:p>
        </w:tc>
      </w:tr>
      <w:tr>
        <w:tc>
          <w:tcPr>
            <w:tcW w:type="dxa" w:w="2340"/>
          </w:tcPr>
          <w:p>
            <w:pPr>
              <w:spacing w:after="0"/>
            </w:pPr>
            <w:r/>
            <w:r>
              <w:rPr>
                <w:sz w:val="19"/>
              </w:rPr>
              <w:t>0.67</w:t>
            </w:r>
          </w:p>
        </w:tc>
        <w:tc>
          <w:tcPr>
            <w:tcW w:type="dxa" w:w="2340"/>
          </w:tcPr>
          <w:p>
            <w:pPr>
              <w:spacing w:after="0"/>
            </w:pPr>
            <w:r/>
            <w:r>
              <w:rPr>
                <w:sz w:val="19"/>
              </w:rPr>
              <w:t>0.33</w:t>
            </w:r>
          </w:p>
        </w:tc>
        <w:tc>
          <w:tcPr>
            <w:tcW w:type="dxa" w:w="2340"/>
          </w:tcPr>
          <w:p>
            <w:pPr>
              <w:spacing w:after="0"/>
            </w:pPr>
            <w:r/>
            <w:r>
              <w:rPr>
                <w:sz w:val="19"/>
              </w:rPr>
              <w:t>0.31</w:t>
            </w:r>
          </w:p>
        </w:tc>
        <w:tc>
          <w:tcPr>
            <w:tcW w:type="dxa" w:w="2340"/>
          </w:tcPr>
          <w:p>
            <w:pPr>
              <w:spacing w:after="0"/>
            </w:pPr>
            <w:r/>
            <w:r>
              <w:rPr>
                <w:sz w:val="19"/>
              </w:rPr>
              <w:t>0.41</w:t>
            </w:r>
          </w:p>
        </w:tc>
      </w:tr>
      <w:tr>
        <w:tc>
          <w:tcPr>
            <w:tcW w:type="dxa" w:w="2340"/>
            <w:shd w:val="clear" w:color="auto" w:fill="EDF1F5"/>
          </w:tcPr>
          <w:p>
            <w:pPr>
              <w:spacing w:after="0"/>
            </w:pPr>
            <w:r/>
            <w:r>
              <w:rPr>
                <w:sz w:val="19"/>
              </w:rPr>
              <w:t>0.17</w:t>
            </w:r>
          </w:p>
        </w:tc>
        <w:tc>
          <w:tcPr>
            <w:tcW w:type="dxa" w:w="2340"/>
            <w:shd w:val="clear" w:color="auto" w:fill="EDF1F5"/>
          </w:tcPr>
          <w:p>
            <w:pPr>
              <w:spacing w:after="0"/>
            </w:pPr>
            <w:r/>
            <w:r>
              <w:rPr>
                <w:sz w:val="19"/>
              </w:rPr>
              <w:t>0</w:t>
            </w:r>
          </w:p>
        </w:tc>
        <w:tc>
          <w:tcPr>
            <w:tcW w:type="dxa" w:w="2340"/>
            <w:shd w:val="clear" w:color="auto" w:fill="EDF1F5"/>
          </w:tcPr>
          <w:p>
            <w:pPr>
              <w:spacing w:after="0"/>
            </w:pPr>
            <w:r/>
            <w:r>
              <w:rPr>
                <w:sz w:val="19"/>
              </w:rPr>
              <w:t>0.11</w:t>
            </w:r>
          </w:p>
        </w:tc>
        <w:tc>
          <w:tcPr>
            <w:tcW w:type="dxa" w:w="2340"/>
            <w:shd w:val="clear" w:color="auto" w:fill="EDF1F5"/>
          </w:tcPr>
          <w:p>
            <w:pPr>
              <w:spacing w:after="0"/>
            </w:pPr>
            <w:r/>
            <w:r>
              <w:rPr>
                <w:sz w:val="19"/>
              </w:rPr>
              <w:t>0</w:t>
            </w:r>
          </w:p>
        </w:tc>
      </w:tr>
    </w:tbl>
    <w:p>
      <w:pPr>
        <w:spacing w:after="80"/>
      </w:pPr>
      <w:r>
        <w:rPr>
          <w:sz w:val="4"/>
        </w:rPr>
      </w:r>
    </w:p>
    <w:p>
      <w:pPr>
        <w:keepNext/>
        <w:spacing w:before="200" w:after="40"/>
      </w:pPr>
      <w:r>
        <w:rPr>
          <w:b/>
          <w:color w:val="2C3E50"/>
          <w:sz w:val="20"/>
        </w:rPr>
        <w:t>Table A.1: Network Risk Metrics (also in Section 7)</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Total Dependency ($B)</w:t>
            </w:r>
          </w:p>
        </w:tc>
        <w:tc>
          <w:tcPr>
            <w:tcW w:type="dxa" w:w="4680"/>
          </w:tcPr>
          <w:p>
            <w:pPr>
              <w:spacing w:after="0"/>
            </w:pPr>
            <w:r/>
            <w:r>
              <w:rPr>
                <w:sz w:val="19"/>
              </w:rPr>
              <w:t>570.40</w:t>
            </w:r>
          </w:p>
        </w:tc>
      </w:tr>
      <w:tr>
        <w:tc>
          <w:tcPr>
            <w:tcW w:type="dxa" w:w="4680"/>
            <w:shd w:val="clear" w:color="auto" w:fill="EDF1F5"/>
          </w:tcPr>
          <w:p>
            <w:pPr>
              <w:spacing w:after="0"/>
            </w:pPr>
            <w:r/>
            <w:r>
              <w:rPr>
                <w:sz w:val="19"/>
              </w:rPr>
              <w:t>Critical Dependency ($B)</w:t>
            </w:r>
          </w:p>
        </w:tc>
        <w:tc>
          <w:tcPr>
            <w:tcW w:type="dxa" w:w="4680"/>
            <w:shd w:val="clear" w:color="auto" w:fill="EDF1F5"/>
          </w:tcPr>
          <w:p>
            <w:pPr>
              <w:spacing w:after="0"/>
            </w:pPr>
            <w:r/>
            <w:r>
              <w:rPr>
                <w:sz w:val="19"/>
              </w:rPr>
              <w:t>536.90</w:t>
            </w:r>
          </w:p>
        </w:tc>
      </w:tr>
      <w:tr>
        <w:tc>
          <w:tcPr>
            <w:tcW w:type="dxa" w:w="4680"/>
          </w:tcPr>
          <w:p>
            <w:pPr>
              <w:spacing w:after="0"/>
            </w:pPr>
            <w:r/>
            <w:r>
              <w:rPr>
                <w:sz w:val="19"/>
              </w:rPr>
              <w:t>Critical Risk Ratio (%)</w:t>
            </w:r>
          </w:p>
        </w:tc>
        <w:tc>
          <w:tcPr>
            <w:tcW w:type="dxa" w:w="4680"/>
          </w:tcPr>
          <w:p>
            <w:pPr>
              <w:spacing w:after="0"/>
            </w:pPr>
            <w:r/>
            <w:r>
              <w:rPr>
                <w:sz w:val="19"/>
              </w:rPr>
              <w:t>94.1</w:t>
            </w:r>
          </w:p>
        </w:tc>
      </w:tr>
      <w:tr>
        <w:tc>
          <w:tcPr>
            <w:tcW w:type="dxa" w:w="4680"/>
            <w:shd w:val="clear" w:color="auto" w:fill="EDF1F5"/>
          </w:tcPr>
          <w:p>
            <w:pPr>
              <w:spacing w:after="0"/>
            </w:pPr>
            <w:r/>
            <w:r>
              <w:rPr>
                <w:sz w:val="19"/>
              </w:rPr>
              <w:t>HHI (Dependencies)</w:t>
            </w:r>
          </w:p>
        </w:tc>
        <w:tc>
          <w:tcPr>
            <w:tcW w:type="dxa" w:w="4680"/>
            <w:shd w:val="clear" w:color="auto" w:fill="EDF1F5"/>
          </w:tcPr>
          <w:p>
            <w:pPr>
              <w:spacing w:after="0"/>
            </w:pPr>
            <w:r/>
            <w:r>
              <w:rPr>
                <w:sz w:val="19"/>
              </w:rPr>
              <w:t>0.4853</w:t>
            </w:r>
          </w:p>
        </w:tc>
      </w:tr>
      <w:tr>
        <w:tc>
          <w:tcPr>
            <w:tcW w:type="dxa" w:w="4680"/>
          </w:tcPr>
          <w:p>
            <w:pPr>
              <w:spacing w:after="0"/>
            </w:pPr>
            <w:r/>
            <w:r>
              <w:rPr>
                <w:sz w:val="19"/>
              </w:rPr>
              <w:t>Network Density</w:t>
            </w:r>
          </w:p>
        </w:tc>
        <w:tc>
          <w:tcPr>
            <w:tcW w:type="dxa" w:w="4680"/>
          </w:tcPr>
          <w:p>
            <w:pPr>
              <w:spacing w:after="0"/>
            </w:pPr>
            <w:r/>
            <w:r>
              <w:rPr>
                <w:sz w:val="19"/>
              </w:rPr>
              <w:t>0.4167</w:t>
            </w:r>
          </w:p>
        </w:tc>
      </w:tr>
      <w:tr>
        <w:tc>
          <w:tcPr>
            <w:tcW w:type="dxa" w:w="4680"/>
            <w:shd w:val="clear" w:color="auto" w:fill="EDF1F5"/>
          </w:tcPr>
          <w:p>
            <w:pPr>
              <w:spacing w:after="0"/>
            </w:pPr>
            <w:r/>
            <w:r>
              <w:rPr>
                <w:sz w:val="19"/>
              </w:rPr>
              <w:t>Critical Nodes</w:t>
            </w:r>
          </w:p>
        </w:tc>
        <w:tc>
          <w:tcPr>
            <w:tcW w:type="dxa" w:w="4680"/>
            <w:shd w:val="clear" w:color="auto" w:fill="EDF1F5"/>
          </w:tcPr>
          <w:p>
            <w:pPr>
              <w:spacing w:after="0"/>
            </w:pPr>
            <w:r/>
            <w:r>
              <w:rPr>
                <w:sz w:val="19"/>
              </w:rPr>
              <w:t>Hardware, Cloud Providers</w:t>
            </w:r>
          </w:p>
        </w:tc>
      </w:tr>
    </w:tbl>
    <w:p>
      <w:pPr>
        <w:spacing w:after="80"/>
      </w:pPr>
      <w:r>
        <w:rPr>
          <w:sz w:val="4"/>
        </w:rPr>
      </w:r>
    </w:p>
    <w:p>
      <w:pPr>
        <w:keepNext/>
        <w:spacing w:before="200" w:after="40"/>
      </w:pPr>
      <w:r>
        <w:rPr>
          <w:b/>
          <w:color w:val="2C3E50"/>
          <w:sz w:val="20"/>
        </w:rPr>
        <w:t>Table A.2: Portfolio Risk Metrics (also in Section 7)</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Metric</w:t>
            </w:r>
          </w:p>
        </w:tc>
        <w:tc>
          <w:tcPr>
            <w:tcW w:type="dxa" w:w="4680"/>
            <w:tblHeader w:val="true"/>
            <w:shd w:val="clear" w:color="auto" w:fill="2C3E50"/>
          </w:tcPr>
          <w:p>
            <w:pPr>
              <w:jc w:val="center"/>
            </w:pPr>
            <w:r/>
            <w:r>
              <w:rPr>
                <w:b/>
                <w:color w:val="FFFFFF"/>
                <w:sz w:val="20"/>
              </w:rPr>
              <w:t>Value</w:t>
            </w:r>
          </w:p>
        </w:tc>
      </w:tr>
      <w:tr>
        <w:tc>
          <w:tcPr>
            <w:tcW w:type="dxa" w:w="4680"/>
          </w:tcPr>
          <w:p>
            <w:pPr>
              <w:spacing w:after="0"/>
            </w:pPr>
            <w:r/>
            <w:r>
              <w:rPr>
                <w:sz w:val="19"/>
              </w:rPr>
              <w:t>Mean Return (%)</w:t>
            </w:r>
          </w:p>
        </w:tc>
        <w:tc>
          <w:tcPr>
            <w:tcW w:type="dxa" w:w="4680"/>
          </w:tcPr>
          <w:p>
            <w:pPr>
              <w:spacing w:after="0"/>
            </w:pPr>
            <w:r/>
            <w:r>
              <w:rPr>
                <w:sz w:val="19"/>
              </w:rPr>
              <w:t>10.70</w:t>
            </w:r>
          </w:p>
        </w:tc>
      </w:tr>
      <w:tr>
        <w:tc>
          <w:tcPr>
            <w:tcW w:type="dxa" w:w="4680"/>
            <w:shd w:val="clear" w:color="auto" w:fill="EDF1F5"/>
          </w:tcPr>
          <w:p>
            <w:pPr>
              <w:spacing w:after="0"/>
            </w:pPr>
            <w:r/>
            <w:r>
              <w:rPr>
                <w:sz w:val="19"/>
              </w:rPr>
              <w:t>Std Dev (%)</w:t>
            </w:r>
          </w:p>
        </w:tc>
        <w:tc>
          <w:tcPr>
            <w:tcW w:type="dxa" w:w="4680"/>
            <w:shd w:val="clear" w:color="auto" w:fill="EDF1F5"/>
          </w:tcPr>
          <w:p>
            <w:pPr>
              <w:spacing w:after="0"/>
            </w:pPr>
            <w:r/>
            <w:r>
              <w:rPr>
                <w:sz w:val="19"/>
              </w:rPr>
              <w:t>13</w:t>
            </w:r>
          </w:p>
        </w:tc>
      </w:tr>
      <w:tr>
        <w:tc>
          <w:tcPr>
            <w:tcW w:type="dxa" w:w="4680"/>
          </w:tcPr>
          <w:p>
            <w:pPr>
              <w:spacing w:after="0"/>
            </w:pPr>
            <w:r/>
            <w:r>
              <w:rPr>
                <w:sz w:val="19"/>
              </w:rPr>
              <w:t>Sharpe Ratio</w:t>
            </w:r>
          </w:p>
        </w:tc>
        <w:tc>
          <w:tcPr>
            <w:tcW w:type="dxa" w:w="4680"/>
          </w:tcPr>
          <w:p>
            <w:pPr>
              <w:spacing w:after="0"/>
            </w:pPr>
            <w:r/>
            <w:r>
              <w:rPr>
                <w:sz w:val="19"/>
              </w:rPr>
              <w:t>0.82</w:t>
            </w:r>
          </w:p>
        </w:tc>
      </w:tr>
      <w:tr>
        <w:tc>
          <w:tcPr>
            <w:tcW w:type="dxa" w:w="4680"/>
            <w:shd w:val="clear" w:color="auto" w:fill="EDF1F5"/>
          </w:tcPr>
          <w:p>
            <w:pPr>
              <w:spacing w:after="0"/>
            </w:pPr>
            <w:r/>
            <w:r>
              <w:rPr>
                <w:sz w:val="19"/>
              </w:rPr>
              <w:t>VaR 95% (%)</w:t>
            </w:r>
          </w:p>
        </w:tc>
        <w:tc>
          <w:tcPr>
            <w:tcW w:type="dxa" w:w="4680"/>
            <w:shd w:val="clear" w:color="auto" w:fill="EDF1F5"/>
          </w:tcPr>
          <w:p>
            <w:pPr>
              <w:spacing w:after="0"/>
            </w:pPr>
            <w:r/>
            <w:r>
              <w:rPr>
                <w:sz w:val="19"/>
              </w:rPr>
              <w:t>-10.80</w:t>
            </w:r>
          </w:p>
        </w:tc>
      </w:tr>
      <w:tr>
        <w:tc>
          <w:tcPr>
            <w:tcW w:type="dxa" w:w="4680"/>
          </w:tcPr>
          <w:p>
            <w:pPr>
              <w:spacing w:after="0"/>
            </w:pPr>
            <w:r/>
            <w:r>
              <w:rPr>
                <w:sz w:val="19"/>
              </w:rPr>
              <w:t>CVaR 95% (%)</w:t>
            </w:r>
          </w:p>
        </w:tc>
        <w:tc>
          <w:tcPr>
            <w:tcW w:type="dxa" w:w="4680"/>
          </w:tcPr>
          <w:p>
            <w:pPr>
              <w:spacing w:after="0"/>
            </w:pPr>
            <w:r/>
            <w:r>
              <w:rPr>
                <w:sz w:val="19"/>
              </w:rPr>
              <w:t>-16.20</w:t>
            </w:r>
          </w:p>
        </w:tc>
      </w:tr>
    </w:tbl>
    <w:p>
      <w:pPr>
        <w:spacing w:after="80"/>
      </w:pPr>
      <w:r>
        <w:rPr>
          <w:sz w:val="4"/>
        </w:rPr>
      </w:r>
    </w:p>
    <w:p>
      <w:pPr>
        <w:keepNext/>
        <w:spacing w:before="200" w:after="40"/>
      </w:pPr>
      <w:r>
        <w:rPr>
          <w:b/>
          <w:color w:val="2C3E50"/>
          <w:sz w:val="20"/>
        </w:rPr>
        <w:t>Table A.3: Success Probability Scores (also in Section 7)</w:t>
      </w:r>
    </w:p>
    <w:tbl>
      <w:tblPr>
        <w:tblStyle w:val="TableGrid"/>
        <w:tblW w:type="auto" w:w="0"/>
        <w:jc w:val="center"/>
        <w:tblLook w:firstColumn="1" w:firstRow="1" w:lastColumn="0" w:lastRow="0" w:noHBand="0" w:noVBand="1" w:val="04A0"/>
      </w:tblPr>
      <w:tblGrid>
        <w:gridCol w:w="4680"/>
        <w:gridCol w:w="4680"/>
      </w:tblGrid>
      <w:tr>
        <w:tc>
          <w:tcPr>
            <w:tcW w:type="dxa" w:w="4680"/>
            <w:tblHeader w:val="true"/>
            <w:shd w:val="clear" w:color="auto" w:fill="2C3E50"/>
          </w:tcPr>
          <w:p>
            <w:pPr>
              <w:jc w:val="center"/>
            </w:pPr>
            <w:r/>
            <w:r>
              <w:rPr>
                <w:b/>
                <w:color w:val="FFFFFF"/>
                <w:sz w:val="20"/>
              </w:rPr>
              <w:t>Score</w:t>
            </w:r>
          </w:p>
        </w:tc>
        <w:tc>
          <w:tcPr>
            <w:tcW w:type="dxa" w:w="4680"/>
            <w:tblHeader w:val="true"/>
            <w:shd w:val="clear" w:color="auto" w:fill="2C3E50"/>
          </w:tcPr>
          <w:p>
            <w:pPr>
              <w:jc w:val="center"/>
            </w:pPr>
            <w:r/>
            <w:r>
              <w:rPr>
                <w:b/>
                <w:color w:val="FFFFFF"/>
                <w:sz w:val="20"/>
              </w:rPr>
              <w:t>Tier</w:t>
            </w:r>
          </w:p>
        </w:tc>
      </w:tr>
      <w:tr>
        <w:tc>
          <w:tcPr>
            <w:tcW w:type="dxa" w:w="4680"/>
          </w:tcPr>
          <w:p>
            <w:pPr>
              <w:spacing w:after="0"/>
            </w:pPr>
            <w:r/>
            <w:r>
              <w:rPr>
                <w:sz w:val="19"/>
              </w:rPr>
              <w:t>0.78</w:t>
            </w:r>
          </w:p>
        </w:tc>
        <w:tc>
          <w:tcPr>
            <w:tcW w:type="dxa" w:w="4680"/>
          </w:tcPr>
          <w:p>
            <w:pPr>
              <w:spacing w:after="0"/>
            </w:pPr>
            <w:r/>
            <w:r>
              <w:rPr>
                <w:sz w:val="19"/>
              </w:rPr>
              <w:t>High</w:t>
            </w:r>
          </w:p>
        </w:tc>
      </w:tr>
      <w:tr>
        <w:tc>
          <w:tcPr>
            <w:tcW w:type="dxa" w:w="4680"/>
            <w:shd w:val="clear" w:color="auto" w:fill="EDF1F5"/>
          </w:tcPr>
          <w:p>
            <w:pPr>
              <w:spacing w:after="0"/>
            </w:pPr>
            <w:r/>
            <w:r>
              <w:rPr>
                <w:sz w:val="19"/>
              </w:rPr>
              <w:t>0.75</w:t>
            </w:r>
          </w:p>
        </w:tc>
        <w:tc>
          <w:tcPr>
            <w:tcW w:type="dxa" w:w="4680"/>
            <w:shd w:val="clear" w:color="auto" w:fill="EDF1F5"/>
          </w:tcPr>
          <w:p>
            <w:pPr>
              <w:spacing w:after="0"/>
            </w:pPr>
            <w:r/>
            <w:r>
              <w:rPr>
                <w:sz w:val="19"/>
              </w:rPr>
              <w:t>High</w:t>
            </w:r>
          </w:p>
        </w:tc>
      </w:tr>
      <w:tr>
        <w:tc>
          <w:tcPr>
            <w:tcW w:type="dxa" w:w="4680"/>
          </w:tcPr>
          <w:p>
            <w:pPr>
              <w:spacing w:after="0"/>
            </w:pPr>
            <w:r/>
            <w:r>
              <w:rPr>
                <w:sz w:val="19"/>
              </w:rPr>
              <w:t>0.38</w:t>
            </w:r>
          </w:p>
        </w:tc>
        <w:tc>
          <w:tcPr>
            <w:tcW w:type="dxa" w:w="4680"/>
          </w:tcPr>
          <w:p>
            <w:pPr>
              <w:spacing w:after="0"/>
            </w:pPr>
            <w:r/>
            <w:r>
              <w:rPr>
                <w:sz w:val="19"/>
              </w:rPr>
              <w:t>Low</w:t>
            </w:r>
          </w:p>
        </w:tc>
      </w:tr>
      <w:tr>
        <w:tc>
          <w:tcPr>
            <w:tcW w:type="dxa" w:w="4680"/>
            <w:shd w:val="clear" w:color="auto" w:fill="EDF1F5"/>
          </w:tcPr>
          <w:p>
            <w:pPr>
              <w:spacing w:after="0"/>
            </w:pPr>
            <w:r/>
            <w:r>
              <w:rPr>
                <w:sz w:val="19"/>
              </w:rPr>
              <w:t>0.12</w:t>
            </w:r>
          </w:p>
        </w:tc>
        <w:tc>
          <w:tcPr>
            <w:tcW w:type="dxa" w:w="4680"/>
            <w:shd w:val="clear" w:color="auto" w:fill="EDF1F5"/>
          </w:tcPr>
          <w:p>
            <w:pPr>
              <w:spacing w:after="0"/>
            </w:pPr>
            <w:r/>
            <w:r>
              <w:rPr>
                <w:sz w:val="19"/>
              </w:rPr>
              <w:t>Low</w:t>
            </w:r>
          </w:p>
        </w:tc>
      </w:tr>
    </w:tbl>
    <w:p>
      <w:pPr>
        <w:spacing w:after="80"/>
      </w:pPr>
      <w:r>
        <w:rPr>
          <w:sz w:val="4"/>
        </w:rPr>
      </w:r>
    </w:p>
    <w:p>
      <w:pPr>
        <w:keepNext/>
        <w:spacing w:before="200" w:after="40"/>
      </w:pPr>
      <w:r>
        <w:rPr>
          <w:b/>
          <w:color w:val="2C3E50"/>
          <w:sz w:val="20"/>
        </w:rPr>
        <w:t>Table A.4_layer_exposure: Exposure by Layer (multilayer framing subtotals) (appendix only)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Layer</w:t>
            </w:r>
          </w:p>
        </w:tc>
        <w:tc>
          <w:tcPr>
            <w:tcW w:type="dxa" w:w="1560"/>
            <w:tblHeader w:val="true"/>
            <w:shd w:val="clear" w:color="auto" w:fill="2C3E50"/>
          </w:tcPr>
          <w:p>
            <w:pPr>
              <w:jc w:val="center"/>
            </w:pPr>
            <w:r/>
            <w:r>
              <w:rPr>
                <w:b/>
                <w:color w:val="FFFFFF"/>
                <w:sz w:val="18"/>
              </w:rPr>
              <w:t>Booked</w:t>
            </w:r>
          </w:p>
        </w:tc>
        <w:tc>
          <w:tcPr>
            <w:tcW w:type="dxa" w:w="1560"/>
            <w:tblHeader w:val="true"/>
            <w:shd w:val="clear" w:color="auto" w:fill="2C3E50"/>
          </w:tcPr>
          <w:p>
            <w:pPr>
              <w:jc w:val="center"/>
            </w:pPr>
            <w:r/>
            <w:r>
              <w:rPr>
                <w:b/>
                <w:color w:val="FFFFFF"/>
                <w:sz w:val="18"/>
              </w:rPr>
              <w:t>Rows</w:t>
            </w:r>
          </w:p>
        </w:tc>
        <w:tc>
          <w:tcPr>
            <w:tcW w:type="dxa" w:w="1560"/>
            <w:tblHeader w:val="true"/>
            <w:shd w:val="clear" w:color="auto" w:fill="2C3E50"/>
          </w:tcPr>
          <w:p>
            <w:pPr>
              <w:jc w:val="center"/>
            </w:pPr>
            <w:r/>
            <w:r>
              <w:rPr>
                <w:b/>
                <w:color w:val="FFFFFF"/>
                <w:sz w:val="18"/>
              </w:rPr>
              <w:t>Value_$B</w:t>
            </w:r>
          </w:p>
        </w:tc>
        <w:tc>
          <w:tcPr>
            <w:tcW w:type="dxa" w:w="1560"/>
            <w:tblHeader w:val="true"/>
            <w:shd w:val="clear" w:color="auto" w:fill="2C3E50"/>
          </w:tcPr>
          <w:p>
            <w:pPr>
              <w:jc w:val="center"/>
            </w:pPr>
            <w:r/>
            <w:r>
              <w:rPr>
                <w:b/>
                <w:color w:val="FFFFFF"/>
                <w:sz w:val="18"/>
              </w:rPr>
              <w:t>Share_of_Committed_Pct</w:t>
            </w:r>
          </w:p>
        </w:tc>
        <w:tc>
          <w:tcPr>
            <w:tcW w:type="dxa" w:w="1560"/>
            <w:tblHeader w:val="true"/>
            <w:shd w:val="clear" w:color="auto" w:fill="2C3E50"/>
          </w:tcPr>
          <w:p>
            <w:pPr>
              <w:jc w:val="center"/>
            </w:pPr>
            <w:r/>
            <w:r>
              <w:rPr>
                <w:b/>
                <w:color w:val="FFFFFF"/>
                <w:sz w:val="18"/>
              </w:rPr>
              <w:t>Exposure_Treatment</w:t>
            </w:r>
          </w:p>
        </w:tc>
      </w:tr>
      <w:tr>
        <w:tc>
          <w:tcPr>
            <w:tcW w:type="dxa" w:w="1560"/>
          </w:tcPr>
          <w:p>
            <w:pPr>
              <w:spacing w:after="0"/>
            </w:pPr>
            <w:r/>
            <w:r>
              <w:rPr>
                <w:sz w:val="17"/>
              </w:rPr>
              <w:t>committed-procurement</w:t>
            </w:r>
          </w:p>
        </w:tc>
        <w:tc>
          <w:tcPr>
            <w:tcW w:type="dxa" w:w="1560"/>
          </w:tcPr>
          <w:p>
            <w:pPr>
              <w:spacing w:after="0"/>
            </w:pPr>
            <w:r/>
            <w:r>
              <w:rPr>
                <w:sz w:val="17"/>
              </w:rPr>
              <w:t>committed</w:t>
            </w:r>
          </w:p>
        </w:tc>
        <w:tc>
          <w:tcPr>
            <w:tcW w:type="dxa" w:w="1560"/>
          </w:tcPr>
          <w:p>
            <w:pPr>
              <w:spacing w:after="0"/>
            </w:pPr>
            <w:r/>
            <w:r>
              <w:rPr>
                <w:sz w:val="17"/>
              </w:rPr>
              <w:t>9</w:t>
            </w:r>
          </w:p>
        </w:tc>
        <w:tc>
          <w:tcPr>
            <w:tcW w:type="dxa" w:w="1560"/>
          </w:tcPr>
          <w:p>
            <w:pPr>
              <w:spacing w:after="0"/>
            </w:pPr>
            <w:r/>
            <w:r>
              <w:rPr>
                <w:sz w:val="17"/>
              </w:rPr>
              <w:t>518.40</w:t>
            </w:r>
          </w:p>
        </w:tc>
        <w:tc>
          <w:tcPr>
            <w:tcW w:type="dxa" w:w="1560"/>
          </w:tcPr>
          <w:p>
            <w:pPr>
              <w:spacing w:after="0"/>
            </w:pPr>
            <w:r/>
            <w:r>
              <w:rPr>
                <w:sz w:val="17"/>
              </w:rPr>
              <w:t>76.80</w:t>
            </w:r>
          </w:p>
        </w:tc>
        <w:tc>
          <w:tcPr>
            <w:tcW w:type="dxa" w:w="1560"/>
          </w:tcPr>
          <w:p>
            <w:pPr>
              <w:spacing w:after="0"/>
            </w:pPr>
            <w:r/>
            <w:r>
              <w:rPr>
                <w:sz w:val="17"/>
              </w:rPr>
              <w:t>Payment obligation: enters DebtRank propagation at face (A9)</w:t>
            </w:r>
          </w:p>
        </w:tc>
      </w:tr>
      <w:tr>
        <w:tc>
          <w:tcPr>
            <w:tcW w:type="dxa" w:w="1560"/>
            <w:shd w:val="clear" w:color="auto" w:fill="EDF1F5"/>
          </w:tcPr>
          <w:p>
            <w:pPr>
              <w:spacing w:after="0"/>
            </w:pPr>
            <w:r/>
            <w:r>
              <w:rPr>
                <w:sz w:val="17"/>
              </w:rPr>
              <w:t>ownership-equity</w:t>
            </w:r>
          </w:p>
        </w:tc>
        <w:tc>
          <w:tcPr>
            <w:tcW w:type="dxa" w:w="1560"/>
            <w:shd w:val="clear" w:color="auto" w:fill="EDF1F5"/>
          </w:tcPr>
          <w:p>
            <w:pPr>
              <w:spacing w:after="0"/>
            </w:pPr>
            <w:r/>
            <w:r>
              <w:rPr>
                <w:sz w:val="17"/>
              </w:rPr>
              <w:t>committed</w:t>
            </w:r>
          </w:p>
        </w:tc>
        <w:tc>
          <w:tcPr>
            <w:tcW w:type="dxa" w:w="1560"/>
            <w:shd w:val="clear" w:color="auto" w:fill="EDF1F5"/>
          </w:tcPr>
          <w:p>
            <w:pPr>
              <w:spacing w:after="0"/>
            </w:pPr>
            <w:r/>
            <w:r>
              <w:rPr>
                <w:sz w:val="17"/>
              </w:rPr>
              <w:t>7</w:t>
            </w:r>
          </w:p>
        </w:tc>
        <w:tc>
          <w:tcPr>
            <w:tcW w:type="dxa" w:w="1560"/>
            <w:shd w:val="clear" w:color="auto" w:fill="EDF1F5"/>
          </w:tcPr>
          <w:p>
            <w:pPr>
              <w:spacing w:after="0"/>
            </w:pPr>
            <w:r/>
            <w:r>
              <w:rPr>
                <w:sz w:val="17"/>
              </w:rPr>
              <w:t>52</w:t>
            </w:r>
          </w:p>
        </w:tc>
        <w:tc>
          <w:tcPr>
            <w:tcW w:type="dxa" w:w="1560"/>
            <w:shd w:val="clear" w:color="auto" w:fill="EDF1F5"/>
          </w:tcPr>
          <w:p>
            <w:pPr>
              <w:spacing w:after="0"/>
            </w:pPr>
            <w:r/>
            <w:r>
              <w:rPr>
                <w:sz w:val="17"/>
              </w:rPr>
              <w:t>7.70</w:t>
            </w:r>
          </w:p>
        </w:tc>
        <w:tc>
          <w:tcPr>
            <w:tcW w:type="dxa" w:w="1560"/>
            <w:shd w:val="clear" w:color="auto" w:fill="EDF1F5"/>
          </w:tcPr>
          <w:p>
            <w:pPr>
              <w:spacing w:after="0"/>
            </w:pPr>
            <w:r/>
            <w:r>
              <w:rPr>
                <w:sz w:val="17"/>
              </w:rPr>
              <w:t>Enterprise-value exposure: valuation haircut + DCF adjust, not DebtRank</w:t>
            </w:r>
          </w:p>
        </w:tc>
      </w:tr>
      <w:tr>
        <w:tc>
          <w:tcPr>
            <w:tcW w:type="dxa" w:w="1560"/>
          </w:tcPr>
          <w:p>
            <w:pPr>
              <w:spacing w:after="0"/>
            </w:pPr>
            <w:r/>
            <w:r>
              <w:rPr>
                <w:sz w:val="17"/>
              </w:rPr>
              <w:t>credit-guarantee</w:t>
            </w:r>
          </w:p>
        </w:tc>
        <w:tc>
          <w:tcPr>
            <w:tcW w:type="dxa" w:w="1560"/>
          </w:tcPr>
          <w:p>
            <w:pPr>
              <w:spacing w:after="0"/>
            </w:pPr>
            <w:r/>
            <w:r>
              <w:rPr>
                <w:sz w:val="17"/>
              </w:rPr>
              <w:t>committed</w:t>
            </w:r>
          </w:p>
        </w:tc>
        <w:tc>
          <w:tcPr>
            <w:tcW w:type="dxa" w:w="1560"/>
          </w:tcPr>
          <w:p>
            <w:pPr>
              <w:spacing w:after="0"/>
            </w:pPr>
            <w:r/>
            <w:r>
              <w:rPr>
                <w:sz w:val="17"/>
              </w:rPr>
              <w:t>1</w:t>
            </w:r>
          </w:p>
        </w:tc>
        <w:tc>
          <w:tcPr>
            <w:tcW w:type="dxa" w:w="1560"/>
          </w:tcPr>
          <w:p>
            <w:pPr>
              <w:spacing w:after="0"/>
            </w:pPr>
            <w:r/>
            <w:r>
              <w:rPr>
                <w:sz w:val="17"/>
              </w:rPr>
              <w:t>105</w:t>
            </w:r>
          </w:p>
        </w:tc>
        <w:tc>
          <w:tcPr>
            <w:tcW w:type="dxa" w:w="1560"/>
          </w:tcPr>
          <w:p>
            <w:pPr>
              <w:spacing w:after="0"/>
            </w:pPr>
            <w:r/>
            <w:r>
              <w:rPr>
                <w:sz w:val="17"/>
              </w:rPr>
              <w:t>15.50</w:t>
            </w:r>
          </w:p>
        </w:tc>
        <w:tc>
          <w:tcPr>
            <w:tcW w:type="dxa" w:w="1560"/>
          </w:tcPr>
          <w:p>
            <w:pPr>
              <w:spacing w:after="0"/>
            </w:pPr>
            <w:r/>
            <w:r>
              <w:rPr>
                <w:sz w:val="17"/>
              </w:rPr>
              <w:t>Contingent liability: booked at face and flagged; pays only on default</w:t>
            </w:r>
          </w:p>
        </w:tc>
      </w:tr>
      <w:tr>
        <w:tc>
          <w:tcPr>
            <w:tcW w:type="dxa" w:w="1560"/>
            <w:shd w:val="clear" w:color="auto" w:fill="EDF1F5"/>
          </w:tcPr>
          <w:p>
            <w:pPr>
              <w:spacing w:after="0"/>
            </w:pPr>
            <w:r/>
            <w:r>
              <w:rPr>
                <w:sz w:val="17"/>
              </w:rPr>
              <w:t>prospective-capacity</w:t>
            </w:r>
          </w:p>
        </w:tc>
        <w:tc>
          <w:tcPr>
            <w:tcW w:type="dxa" w:w="1560"/>
            <w:shd w:val="clear" w:color="auto" w:fill="EDF1F5"/>
          </w:tcPr>
          <w:p>
            <w:pPr>
              <w:spacing w:after="0"/>
            </w:pPr>
            <w:r/>
            <w:r>
              <w:rPr>
                <w:sz w:val="17"/>
              </w:rPr>
              <w:t>MEMO (tracked, not booked)</w:t>
            </w:r>
          </w:p>
        </w:tc>
        <w:tc>
          <w:tcPr>
            <w:tcW w:type="dxa" w:w="1560"/>
            <w:shd w:val="clear" w:color="auto" w:fill="EDF1F5"/>
          </w:tcPr>
          <w:p>
            <w:pPr>
              <w:spacing w:after="0"/>
            </w:pPr>
            <w:r/>
            <w:r>
              <w:rPr>
                <w:sz w:val="17"/>
              </w:rPr>
              <w:t>1</w:t>
            </w:r>
          </w:p>
        </w:tc>
        <w:tc>
          <w:tcPr>
            <w:tcW w:type="dxa" w:w="1560"/>
            <w:shd w:val="clear" w:color="auto" w:fill="EDF1F5"/>
          </w:tcPr>
          <w:p>
            <w:pPr>
              <w:spacing w:after="0"/>
            </w:pPr>
            <w:r/>
            <w:r>
              <w:rPr>
                <w:sz w:val="17"/>
              </w:rPr>
              <w:t>500</w:t>
            </w:r>
          </w:p>
        </w:tc>
        <w:tc>
          <w:tcPr>
            <w:tcW w:type="dxa" w:w="1560"/>
            <w:shd w:val="clear" w:color="auto" w:fill="EDF1F5"/>
          </w:tcPr>
          <w:p>
            <w:pPr>
              <w:spacing w:after="0"/>
            </w:pPr>
            <w:r/>
            <w:r>
              <w:rPr>
                <w:sz w:val="17"/>
              </w:rPr>
            </w:r>
          </w:p>
        </w:tc>
        <w:tc>
          <w:tcPr>
            <w:tcW w:type="dxa" w:w="1560"/>
            <w:shd w:val="clear" w:color="auto" w:fill="EDF1F5"/>
          </w:tcPr>
          <w:p>
            <w:pPr>
              <w:spacing w:after="0"/>
            </w:pPr>
            <w:r/>
            <w:r>
              <w:rPr>
                <w:sz w:val="17"/>
              </w:rPr>
              <w:t>MEMO: tracked, excluded from committed total and all loss math</w:t>
            </w:r>
          </w:p>
        </w:tc>
      </w:tr>
      <w:tr>
        <w:tc>
          <w:tcPr>
            <w:tcW w:type="dxa" w:w="1560"/>
          </w:tcPr>
          <w:p>
            <w:pPr>
              <w:spacing w:after="0"/>
            </w:pPr>
            <w:r/>
            <w:r>
              <w:rPr>
                <w:sz w:val="17"/>
              </w:rPr>
              <w:t>vertical-integration</w:t>
            </w:r>
          </w:p>
        </w:tc>
        <w:tc>
          <w:tcPr>
            <w:tcW w:type="dxa" w:w="1560"/>
          </w:tcPr>
          <w:p>
            <w:pPr>
              <w:spacing w:after="0"/>
            </w:pPr>
            <w:r/>
            <w:r>
              <w:rPr>
                <w:sz w:val="17"/>
              </w:rPr>
              <w:t>MEMO (tracked, not booked)</w:t>
            </w:r>
          </w:p>
        </w:tc>
        <w:tc>
          <w:tcPr>
            <w:tcW w:type="dxa" w:w="1560"/>
          </w:tcPr>
          <w:p>
            <w:pPr>
              <w:spacing w:after="0"/>
            </w:pPr>
            <w:r/>
            <w:r>
              <w:rPr>
                <w:sz w:val="17"/>
              </w:rPr>
              <w:t>1</w:t>
            </w:r>
          </w:p>
        </w:tc>
        <w:tc>
          <w:tcPr>
            <w:tcW w:type="dxa" w:w="1560"/>
          </w:tcPr>
          <w:p>
            <w:pPr>
              <w:spacing w:after="0"/>
            </w:pPr>
            <w:r/>
            <w:r>
              <w:rPr>
                <w:sz w:val="17"/>
              </w:rPr>
              <w:t>12.93</w:t>
            </w:r>
          </w:p>
        </w:tc>
        <w:tc>
          <w:tcPr>
            <w:tcW w:type="dxa" w:w="1560"/>
          </w:tcPr>
          <w:p>
            <w:pPr>
              <w:spacing w:after="0"/>
            </w:pPr>
            <w:r/>
            <w:r>
              <w:rPr>
                <w:sz w:val="17"/>
              </w:rPr>
            </w:r>
          </w:p>
        </w:tc>
        <w:tc>
          <w:tcPr>
            <w:tcW w:type="dxa" w:w="1560"/>
          </w:tcPr>
          <w:p>
            <w:pPr>
              <w:spacing w:after="0"/>
            </w:pPr>
            <w:r/>
            <w:r>
              <w:rPr>
                <w:sz w:val="17"/>
              </w:rPr>
              <w:t>MEMO: tracked as control, excluded from committed total and all loss math</w:t>
            </w:r>
          </w:p>
        </w:tc>
      </w:tr>
      <w:tr>
        <w:tc>
          <w:tcPr>
            <w:tcW w:type="dxa" w:w="1560"/>
            <w:shd w:val="clear" w:color="auto" w:fill="EDF1F5"/>
          </w:tcPr>
          <w:p>
            <w:pPr>
              <w:spacing w:after="0"/>
            </w:pPr>
            <w:r/>
            <w:r>
              <w:rPr>
                <w:sz w:val="17"/>
              </w:rPr>
              <w:t>TOTAL committed</w:t>
            </w:r>
          </w:p>
        </w:tc>
        <w:tc>
          <w:tcPr>
            <w:tcW w:type="dxa" w:w="1560"/>
            <w:shd w:val="clear" w:color="auto" w:fill="EDF1F5"/>
          </w:tcPr>
          <w:p>
            <w:pPr>
              <w:spacing w:after="0"/>
            </w:pPr>
            <w:r/>
            <w:r>
              <w:rPr>
                <w:sz w:val="17"/>
              </w:rPr>
              <w:t>committed</w:t>
            </w:r>
          </w:p>
        </w:tc>
        <w:tc>
          <w:tcPr>
            <w:tcW w:type="dxa" w:w="1560"/>
            <w:shd w:val="clear" w:color="auto" w:fill="EDF1F5"/>
          </w:tcPr>
          <w:p>
            <w:pPr>
              <w:spacing w:after="0"/>
            </w:pPr>
            <w:r/>
            <w:r>
              <w:rPr>
                <w:sz w:val="17"/>
              </w:rPr>
              <w:t>17</w:t>
            </w:r>
          </w:p>
        </w:tc>
        <w:tc>
          <w:tcPr>
            <w:tcW w:type="dxa" w:w="1560"/>
            <w:shd w:val="clear" w:color="auto" w:fill="EDF1F5"/>
          </w:tcPr>
          <w:p>
            <w:pPr>
              <w:spacing w:after="0"/>
            </w:pPr>
            <w:r/>
            <w:r>
              <w:rPr>
                <w:sz w:val="17"/>
              </w:rPr>
              <w:t>675.40</w:t>
            </w:r>
          </w:p>
        </w:tc>
        <w:tc>
          <w:tcPr>
            <w:tcW w:type="dxa" w:w="1560"/>
            <w:shd w:val="clear" w:color="auto" w:fill="EDF1F5"/>
          </w:tcPr>
          <w:p>
            <w:pPr>
              <w:spacing w:after="0"/>
            </w:pPr>
            <w:r/>
            <w:r>
              <w:rPr>
                <w:sz w:val="17"/>
              </w:rPr>
              <w:t>100</w:t>
            </w:r>
          </w:p>
        </w:tc>
        <w:tc>
          <w:tcPr>
            <w:tcW w:type="dxa" w:w="1560"/>
            <w:shd w:val="clear" w:color="auto" w:fill="EDF1F5"/>
          </w:tcPr>
          <w:p>
            <w:pPr>
              <w:spacing w:after="0"/>
            </w:pPr>
            <w:r/>
            <w:r>
              <w:rPr>
                <w:sz w:val="17"/>
              </w:rPr>
              <w:t>sums the three committed layers above</w:t>
            </w:r>
          </w:p>
        </w:tc>
      </w:tr>
      <w:tr>
        <w:tc>
          <w:tcPr>
            <w:tcW w:type="dxa" w:w="1560"/>
          </w:tcPr>
          <w:p>
            <w:pPr>
              <w:spacing w:after="0"/>
            </w:pPr>
            <w:r/>
            <w:r>
              <w:rPr>
                <w:sz w:val="17"/>
              </w:rPr>
              <w:t>TOTAL tracked</w:t>
            </w:r>
          </w:p>
        </w:tc>
        <w:tc>
          <w:tcPr>
            <w:tcW w:type="dxa" w:w="1560"/>
          </w:tcPr>
          <w:p>
            <w:pPr>
              <w:spacing w:after="0"/>
            </w:pPr>
            <w:r/>
            <w:r>
              <w:rPr>
                <w:sz w:val="17"/>
              </w:rPr>
              <w:t>committed + MEMO</w:t>
            </w:r>
          </w:p>
        </w:tc>
        <w:tc>
          <w:tcPr>
            <w:tcW w:type="dxa" w:w="1560"/>
          </w:tcPr>
          <w:p>
            <w:pPr>
              <w:spacing w:after="0"/>
            </w:pPr>
            <w:r/>
            <w:r>
              <w:rPr>
                <w:sz w:val="17"/>
              </w:rPr>
              <w:t>19</w:t>
            </w:r>
          </w:p>
        </w:tc>
        <w:tc>
          <w:tcPr>
            <w:tcW w:type="dxa" w:w="1560"/>
          </w:tcPr>
          <w:p>
            <w:pPr>
              <w:spacing w:after="0"/>
            </w:pPr>
            <w:r/>
            <w:r>
              <w:rPr>
                <w:sz w:val="17"/>
              </w:rPr>
              <w:t>1,188.33</w:t>
            </w:r>
          </w:p>
        </w:tc>
        <w:tc>
          <w:tcPr>
            <w:tcW w:type="dxa" w:w="1560"/>
          </w:tcPr>
          <w:p>
            <w:pPr>
              <w:spacing w:after="0"/>
            </w:pPr>
            <w:r/>
            <w:r>
              <w:rPr>
                <w:sz w:val="17"/>
              </w:rPr>
            </w:r>
          </w:p>
        </w:tc>
        <w:tc>
          <w:tcPr>
            <w:tcW w:type="dxa" w:w="1560"/>
          </w:tcPr>
          <w:p>
            <w:pPr>
              <w:spacing w:after="0"/>
            </w:pPr>
            <w:r/>
            <w:r>
              <w:rPr>
                <w:sz w:val="17"/>
              </w:rPr>
              <w:t>committed total plus memo rows</w:t>
            </w:r>
          </w:p>
        </w:tc>
      </w:tr>
    </w:tbl>
    <w:p>
      <w:pPr>
        <w:spacing w:after="80"/>
      </w:pPr>
      <w:r>
        <w:rPr>
          <w:sz w:val="4"/>
        </w:rPr>
      </w:r>
    </w:p>
    <w:p>
      <w:pPr>
        <w:keepNext/>
        <w:spacing w:before="200" w:after="40"/>
      </w:pPr>
      <w:r>
        <w:rPr>
          <w:b/>
          <w:color w:val="2C3E50"/>
          <w:sz w:val="20"/>
        </w:rPr>
        <w:t>Table 8.1: Stationarity Diagnostics (Geweke) (also in Section 6)</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Game</w:t>
            </w:r>
          </w:p>
        </w:tc>
        <w:tc>
          <w:tcPr>
            <w:tcW w:type="dxa" w:w="1560"/>
            <w:tblHeader w:val="true"/>
            <w:shd w:val="clear" w:color="auto" w:fill="2C3E50"/>
          </w:tcPr>
          <w:p>
            <w:pPr>
              <w:jc w:val="center"/>
            </w:pPr>
            <w:r/>
            <w:r>
              <w:rPr>
                <w:b/>
                <w:color w:val="FFFFFF"/>
                <w:sz w:val="18"/>
              </w:rPr>
              <w:t>N_Valid</w:t>
            </w:r>
          </w:p>
        </w:tc>
        <w:tc>
          <w:tcPr>
            <w:tcW w:type="dxa" w:w="1560"/>
            <w:tblHeader w:val="true"/>
            <w:shd w:val="clear" w:color="auto" w:fill="2C3E50"/>
          </w:tcPr>
          <w:p>
            <w:pPr>
              <w:jc w:val="center"/>
            </w:pPr>
            <w:r/>
            <w:r>
              <w:rPr>
                <w:b/>
                <w:color w:val="FFFFFF"/>
                <w:sz w:val="18"/>
              </w:rPr>
              <w:t>Geweke_z</w:t>
            </w:r>
          </w:p>
        </w:tc>
        <w:tc>
          <w:tcPr>
            <w:tcW w:type="dxa" w:w="1560"/>
            <w:tblHeader w:val="true"/>
            <w:shd w:val="clear" w:color="auto" w:fill="2C3E50"/>
          </w:tcPr>
          <w:p>
            <w:pPr>
              <w:jc w:val="center"/>
            </w:pPr>
            <w:r/>
            <w:r>
              <w:rPr>
                <w:b/>
                <w:color w:val="FFFFFF"/>
                <w:sz w:val="18"/>
              </w:rPr>
              <w:t>p_value</w:t>
            </w:r>
          </w:p>
        </w:tc>
        <w:tc>
          <w:tcPr>
            <w:tcW w:type="dxa" w:w="1560"/>
            <w:tblHeader w:val="true"/>
            <w:shd w:val="clear" w:color="auto" w:fill="2C3E50"/>
          </w:tcPr>
          <w:p>
            <w:pPr>
              <w:jc w:val="center"/>
            </w:pPr>
            <w:r/>
            <w:r>
              <w:rPr>
                <w:b/>
                <w:color w:val="FFFFFF"/>
                <w:sz w:val="18"/>
              </w:rPr>
              <w:t>Verdict</w:t>
            </w:r>
          </w:p>
        </w:tc>
        <w:tc>
          <w:tcPr>
            <w:tcW w:type="dxa" w:w="1560"/>
            <w:tblHeader w:val="true"/>
            <w:shd w:val="clear" w:color="auto" w:fill="2C3E50"/>
          </w:tcPr>
          <w:p>
            <w:pPr>
              <w:jc w:val="center"/>
            </w:pPr>
            <w:r/>
            <w:r>
              <w:rPr>
                <w:b/>
                <w:color w:val="FFFFFF"/>
                <w:sz w:val="18"/>
              </w:rPr>
              <w:t>Holm_verdict</w:t>
            </w:r>
          </w:p>
        </w:tc>
      </w:tr>
      <w:tr>
        <w:tc>
          <w:tcPr>
            <w:tcW w:type="dxa" w:w="1560"/>
          </w:tcPr>
          <w:p>
            <w:pPr>
              <w:spacing w:after="0"/>
            </w:pPr>
            <w:r/>
            <w:r>
              <w:rPr>
                <w:sz w:val="17"/>
              </w:rPr>
              <w:t>Hardware-Cloud Providers</w:t>
            </w:r>
          </w:p>
        </w:tc>
        <w:tc>
          <w:tcPr>
            <w:tcW w:type="dxa" w:w="1560"/>
          </w:tcPr>
          <w:p>
            <w:pPr>
              <w:spacing w:after="0"/>
            </w:pPr>
            <w:r/>
            <w:r>
              <w:rPr>
                <w:sz w:val="17"/>
              </w:rPr>
              <w:t>99967</w:t>
            </w:r>
          </w:p>
        </w:tc>
        <w:tc>
          <w:tcPr>
            <w:tcW w:type="dxa" w:w="1560"/>
          </w:tcPr>
          <w:p>
            <w:pPr>
              <w:spacing w:after="0"/>
            </w:pPr>
            <w:r/>
            <w:r>
              <w:rPr>
                <w:sz w:val="17"/>
              </w:rPr>
              <w:t>-0.74</w:t>
            </w:r>
          </w:p>
        </w:tc>
        <w:tc>
          <w:tcPr>
            <w:tcW w:type="dxa" w:w="1560"/>
          </w:tcPr>
          <w:p>
            <w:pPr>
              <w:spacing w:after="0"/>
            </w:pPr>
            <w:r/>
            <w:r>
              <w:rPr>
                <w:sz w:val="17"/>
              </w:rPr>
              <w:t>0.46</w:t>
            </w:r>
          </w:p>
        </w:tc>
        <w:tc>
          <w:tcPr>
            <w:tcW w:type="dxa" w:w="1560"/>
          </w:tcPr>
          <w:p>
            <w:pPr>
              <w:spacing w:after="0"/>
            </w:pPr>
            <w:r/>
            <w:r>
              <w:rPr>
                <w:sz w:val="17"/>
              </w:rPr>
              <w:t>stationary</w:t>
            </w:r>
          </w:p>
        </w:tc>
        <w:tc>
          <w:tcPr>
            <w:tcW w:type="dxa" w:w="1560"/>
          </w:tcPr>
          <w:p>
            <w:pPr>
              <w:spacing w:after="0"/>
            </w:pPr>
            <w:r/>
            <w:r>
              <w:rPr>
                <w:sz w:val="17"/>
              </w:rPr>
              <w:t>stationary</w:t>
            </w:r>
          </w:p>
        </w:tc>
      </w:tr>
      <w:tr>
        <w:tc>
          <w:tcPr>
            <w:tcW w:type="dxa" w:w="1560"/>
            <w:shd w:val="clear" w:color="auto" w:fill="EDF1F5"/>
          </w:tcPr>
          <w:p>
            <w:pPr>
              <w:spacing w:after="0"/>
            </w:pPr>
            <w:r/>
            <w:r>
              <w:rPr>
                <w:sz w:val="17"/>
              </w:rPr>
              <w:t>Hardware-Foundation Models</w:t>
            </w:r>
          </w:p>
        </w:tc>
        <w:tc>
          <w:tcPr>
            <w:tcW w:type="dxa" w:w="1560"/>
            <w:shd w:val="clear" w:color="auto" w:fill="EDF1F5"/>
          </w:tcPr>
          <w:p>
            <w:pPr>
              <w:spacing w:after="0"/>
            </w:pPr>
            <w:r/>
            <w:r>
              <w:rPr>
                <w:sz w:val="17"/>
              </w:rPr>
              <w:t>90895</w:t>
            </w:r>
          </w:p>
        </w:tc>
        <w:tc>
          <w:tcPr>
            <w:tcW w:type="dxa" w:w="1560"/>
            <w:shd w:val="clear" w:color="auto" w:fill="EDF1F5"/>
          </w:tcPr>
          <w:p>
            <w:pPr>
              <w:spacing w:after="0"/>
            </w:pPr>
            <w:r/>
            <w:r>
              <w:rPr>
                <w:sz w:val="17"/>
              </w:rPr>
              <w:t>-0.06</w:t>
            </w:r>
          </w:p>
        </w:tc>
        <w:tc>
          <w:tcPr>
            <w:tcW w:type="dxa" w:w="1560"/>
            <w:shd w:val="clear" w:color="auto" w:fill="EDF1F5"/>
          </w:tcPr>
          <w:p>
            <w:pPr>
              <w:spacing w:after="0"/>
            </w:pPr>
            <w:r/>
            <w:r>
              <w:rPr>
                <w:sz w:val="17"/>
              </w:rPr>
              <w:t>0.95</w:t>
            </w:r>
          </w:p>
        </w:tc>
        <w:tc>
          <w:tcPr>
            <w:tcW w:type="dxa" w:w="1560"/>
            <w:shd w:val="clear" w:color="auto" w:fill="EDF1F5"/>
          </w:tcPr>
          <w:p>
            <w:pPr>
              <w:spacing w:after="0"/>
            </w:pPr>
            <w:r/>
            <w:r>
              <w:rPr>
                <w:sz w:val="17"/>
              </w:rPr>
              <w:t>stationary</w:t>
            </w:r>
          </w:p>
        </w:tc>
        <w:tc>
          <w:tcPr>
            <w:tcW w:type="dxa" w:w="1560"/>
            <w:shd w:val="clear" w:color="auto" w:fill="EDF1F5"/>
          </w:tcPr>
          <w:p>
            <w:pPr>
              <w:spacing w:after="0"/>
            </w:pPr>
            <w:r/>
            <w:r>
              <w:rPr>
                <w:sz w:val="17"/>
              </w:rPr>
              <w:t>stationary</w:t>
            </w:r>
          </w:p>
        </w:tc>
      </w:tr>
      <w:tr>
        <w:tc>
          <w:tcPr>
            <w:tcW w:type="dxa" w:w="1560"/>
          </w:tcPr>
          <w:p>
            <w:pPr>
              <w:spacing w:after="0"/>
            </w:pPr>
            <w:r/>
            <w:r>
              <w:rPr>
                <w:sz w:val="17"/>
              </w:rPr>
              <w:t>Hardware-LLM Wrappers</w:t>
            </w:r>
          </w:p>
        </w:tc>
        <w:tc>
          <w:tcPr>
            <w:tcW w:type="dxa" w:w="1560"/>
          </w:tcPr>
          <w:p>
            <w:pPr>
              <w:spacing w:after="0"/>
            </w:pPr>
            <w:r/>
            <w:r>
              <w:rPr>
                <w:sz w:val="17"/>
              </w:rPr>
              <w:t>99736</w:t>
            </w:r>
          </w:p>
        </w:tc>
        <w:tc>
          <w:tcPr>
            <w:tcW w:type="dxa" w:w="1560"/>
          </w:tcPr>
          <w:p>
            <w:pPr>
              <w:spacing w:after="0"/>
            </w:pPr>
            <w:r/>
            <w:r>
              <w:rPr>
                <w:sz w:val="17"/>
              </w:rPr>
              <w:t>0.16</w:t>
            </w:r>
          </w:p>
        </w:tc>
        <w:tc>
          <w:tcPr>
            <w:tcW w:type="dxa" w:w="1560"/>
          </w:tcPr>
          <w:p>
            <w:pPr>
              <w:spacing w:after="0"/>
            </w:pPr>
            <w:r/>
            <w:r>
              <w:rPr>
                <w:sz w:val="17"/>
              </w:rPr>
              <w:t>0.87</w:t>
            </w:r>
          </w:p>
        </w:tc>
        <w:tc>
          <w:tcPr>
            <w:tcW w:type="dxa" w:w="1560"/>
          </w:tcPr>
          <w:p>
            <w:pPr>
              <w:spacing w:after="0"/>
            </w:pPr>
            <w:r/>
            <w:r>
              <w:rPr>
                <w:sz w:val="17"/>
              </w:rPr>
              <w:t>stationary</w:t>
            </w:r>
          </w:p>
        </w:tc>
        <w:tc>
          <w:tcPr>
            <w:tcW w:type="dxa" w:w="1560"/>
          </w:tcPr>
          <w:p>
            <w:pPr>
              <w:spacing w:after="0"/>
            </w:pPr>
            <w:r/>
            <w:r>
              <w:rPr>
                <w:sz w:val="17"/>
              </w:rPr>
              <w:t>stationary</w:t>
            </w:r>
          </w:p>
        </w:tc>
      </w:tr>
      <w:tr>
        <w:tc>
          <w:tcPr>
            <w:tcW w:type="dxa" w:w="1560"/>
            <w:shd w:val="clear" w:color="auto" w:fill="EDF1F5"/>
          </w:tcPr>
          <w:p>
            <w:pPr>
              <w:spacing w:after="0"/>
            </w:pPr>
            <w:r/>
            <w:r>
              <w:rPr>
                <w:sz w:val="17"/>
              </w:rPr>
              <w:t>Cloud Providers-Foundation Models</w:t>
            </w:r>
          </w:p>
        </w:tc>
        <w:tc>
          <w:tcPr>
            <w:tcW w:type="dxa" w:w="1560"/>
            <w:shd w:val="clear" w:color="auto" w:fill="EDF1F5"/>
          </w:tcPr>
          <w:p>
            <w:pPr>
              <w:spacing w:after="0"/>
            </w:pPr>
            <w:r/>
            <w:r>
              <w:rPr>
                <w:sz w:val="17"/>
              </w:rPr>
              <w:t>90612</w:t>
            </w:r>
          </w:p>
        </w:tc>
        <w:tc>
          <w:tcPr>
            <w:tcW w:type="dxa" w:w="1560"/>
            <w:shd w:val="clear" w:color="auto" w:fill="EDF1F5"/>
          </w:tcPr>
          <w:p>
            <w:pPr>
              <w:spacing w:after="0"/>
            </w:pPr>
            <w:r/>
            <w:r>
              <w:rPr>
                <w:sz w:val="17"/>
              </w:rPr>
              <w:t>-0.12</w:t>
            </w:r>
          </w:p>
        </w:tc>
        <w:tc>
          <w:tcPr>
            <w:tcW w:type="dxa" w:w="1560"/>
            <w:shd w:val="clear" w:color="auto" w:fill="EDF1F5"/>
          </w:tcPr>
          <w:p>
            <w:pPr>
              <w:spacing w:after="0"/>
            </w:pPr>
            <w:r/>
            <w:r>
              <w:rPr>
                <w:sz w:val="17"/>
              </w:rPr>
              <w:t>0.90</w:t>
            </w:r>
          </w:p>
        </w:tc>
        <w:tc>
          <w:tcPr>
            <w:tcW w:type="dxa" w:w="1560"/>
            <w:shd w:val="clear" w:color="auto" w:fill="EDF1F5"/>
          </w:tcPr>
          <w:p>
            <w:pPr>
              <w:spacing w:after="0"/>
            </w:pPr>
            <w:r/>
            <w:r>
              <w:rPr>
                <w:sz w:val="17"/>
              </w:rPr>
              <w:t>stationary</w:t>
            </w:r>
          </w:p>
        </w:tc>
        <w:tc>
          <w:tcPr>
            <w:tcW w:type="dxa" w:w="1560"/>
            <w:shd w:val="clear" w:color="auto" w:fill="EDF1F5"/>
          </w:tcPr>
          <w:p>
            <w:pPr>
              <w:spacing w:after="0"/>
            </w:pPr>
            <w:r/>
            <w:r>
              <w:rPr>
                <w:sz w:val="17"/>
              </w:rPr>
              <w:t>stationary</w:t>
            </w:r>
          </w:p>
        </w:tc>
      </w:tr>
      <w:tr>
        <w:tc>
          <w:tcPr>
            <w:tcW w:type="dxa" w:w="1560"/>
          </w:tcPr>
          <w:p>
            <w:pPr>
              <w:spacing w:after="0"/>
            </w:pPr>
            <w:r/>
            <w:r>
              <w:rPr>
                <w:sz w:val="17"/>
              </w:rPr>
              <w:t>Cloud Providers-LLM Wrappers</w:t>
            </w:r>
          </w:p>
        </w:tc>
        <w:tc>
          <w:tcPr>
            <w:tcW w:type="dxa" w:w="1560"/>
          </w:tcPr>
          <w:p>
            <w:pPr>
              <w:spacing w:after="0"/>
            </w:pPr>
            <w:r/>
            <w:r>
              <w:rPr>
                <w:sz w:val="17"/>
              </w:rPr>
              <w:t>99734</w:t>
            </w:r>
          </w:p>
        </w:tc>
        <w:tc>
          <w:tcPr>
            <w:tcW w:type="dxa" w:w="1560"/>
          </w:tcPr>
          <w:p>
            <w:pPr>
              <w:spacing w:after="0"/>
            </w:pPr>
            <w:r/>
            <w:r>
              <w:rPr>
                <w:sz w:val="17"/>
              </w:rPr>
              <w:t>1.20</w:t>
            </w:r>
          </w:p>
        </w:tc>
        <w:tc>
          <w:tcPr>
            <w:tcW w:type="dxa" w:w="1560"/>
          </w:tcPr>
          <w:p>
            <w:pPr>
              <w:spacing w:after="0"/>
            </w:pPr>
            <w:r/>
            <w:r>
              <w:rPr>
                <w:sz w:val="17"/>
              </w:rPr>
              <w:t>0.23</w:t>
            </w:r>
          </w:p>
        </w:tc>
        <w:tc>
          <w:tcPr>
            <w:tcW w:type="dxa" w:w="1560"/>
          </w:tcPr>
          <w:p>
            <w:pPr>
              <w:spacing w:after="0"/>
            </w:pPr>
            <w:r/>
            <w:r>
              <w:rPr>
                <w:sz w:val="17"/>
              </w:rPr>
              <w:t>stationary</w:t>
            </w:r>
          </w:p>
        </w:tc>
        <w:tc>
          <w:tcPr>
            <w:tcW w:type="dxa" w:w="1560"/>
          </w:tcPr>
          <w:p>
            <w:pPr>
              <w:spacing w:after="0"/>
            </w:pPr>
            <w:r/>
            <w:r>
              <w:rPr>
                <w:sz w:val="17"/>
              </w:rPr>
              <w:t>stationary</w:t>
            </w:r>
          </w:p>
        </w:tc>
      </w:tr>
      <w:tr>
        <w:tc>
          <w:tcPr>
            <w:tcW w:type="dxa" w:w="1560"/>
            <w:shd w:val="clear" w:color="auto" w:fill="EDF1F5"/>
          </w:tcPr>
          <w:p>
            <w:pPr>
              <w:spacing w:after="0"/>
            </w:pPr>
            <w:r/>
            <w:r>
              <w:rPr>
                <w:sz w:val="17"/>
              </w:rPr>
              <w:t>Foundation Models-LLM Wrappers</w:t>
            </w:r>
          </w:p>
        </w:tc>
        <w:tc>
          <w:tcPr>
            <w:tcW w:type="dxa" w:w="1560"/>
            <w:shd w:val="clear" w:color="auto" w:fill="EDF1F5"/>
          </w:tcPr>
          <w:p>
            <w:pPr>
              <w:spacing w:after="0"/>
            </w:pPr>
            <w:r/>
            <w:r>
              <w:rPr>
                <w:sz w:val="17"/>
              </w:rPr>
              <w:t>96532</w:t>
            </w:r>
          </w:p>
        </w:tc>
        <w:tc>
          <w:tcPr>
            <w:tcW w:type="dxa" w:w="1560"/>
            <w:shd w:val="clear" w:color="auto" w:fill="EDF1F5"/>
          </w:tcPr>
          <w:p>
            <w:pPr>
              <w:spacing w:after="0"/>
            </w:pPr>
            <w:r/>
            <w:r>
              <w:rPr>
                <w:sz w:val="17"/>
              </w:rPr>
              <w:t>-0.13</w:t>
            </w:r>
          </w:p>
        </w:tc>
        <w:tc>
          <w:tcPr>
            <w:tcW w:type="dxa" w:w="1560"/>
            <w:shd w:val="clear" w:color="auto" w:fill="EDF1F5"/>
          </w:tcPr>
          <w:p>
            <w:pPr>
              <w:spacing w:after="0"/>
            </w:pPr>
            <w:r/>
            <w:r>
              <w:rPr>
                <w:sz w:val="17"/>
              </w:rPr>
              <w:t>0.89</w:t>
            </w:r>
          </w:p>
        </w:tc>
        <w:tc>
          <w:tcPr>
            <w:tcW w:type="dxa" w:w="1560"/>
            <w:shd w:val="clear" w:color="auto" w:fill="EDF1F5"/>
          </w:tcPr>
          <w:p>
            <w:pPr>
              <w:spacing w:after="0"/>
            </w:pPr>
            <w:r/>
            <w:r>
              <w:rPr>
                <w:sz w:val="17"/>
              </w:rPr>
              <w:t>stationary</w:t>
            </w:r>
          </w:p>
        </w:tc>
        <w:tc>
          <w:tcPr>
            <w:tcW w:type="dxa" w:w="1560"/>
            <w:shd w:val="clear" w:color="auto" w:fill="EDF1F5"/>
          </w:tcPr>
          <w:p>
            <w:pPr>
              <w:spacing w:after="0"/>
            </w:pPr>
            <w:r/>
            <w:r>
              <w:rPr>
                <w:sz w:val="17"/>
              </w:rPr>
              <w:t>stationary</w:t>
            </w:r>
          </w:p>
        </w:tc>
      </w:tr>
    </w:tbl>
    <w:p>
      <w:pPr>
        <w:spacing w:after="80"/>
      </w:pPr>
      <w:r>
        <w:rPr>
          <w:sz w:val="4"/>
        </w:rPr>
      </w:r>
    </w:p>
    <w:p>
      <w:pPr>
        <w:keepNext/>
        <w:spacing w:before="200" w:after="40"/>
      </w:pPr>
      <w:r>
        <w:rPr>
          <w:b/>
          <w:color w:val="2C3E50"/>
          <w:sz w:val="20"/>
        </w:rPr>
        <w:t>Table 8.2: Multi-Seed Replicability (also in Section 6)</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Game</w:t>
            </w:r>
          </w:p>
        </w:tc>
        <w:tc>
          <w:tcPr>
            <w:tcW w:type="dxa" w:w="1337"/>
            <w:tblHeader w:val="true"/>
            <w:shd w:val="clear" w:color="auto" w:fill="2C3E50"/>
          </w:tcPr>
          <w:p>
            <w:pPr>
              <w:jc w:val="center"/>
            </w:pPr>
            <w:r/>
            <w:r>
              <w:rPr>
                <w:b/>
                <w:color w:val="FFFFFF"/>
                <w:sz w:val="18"/>
              </w:rPr>
              <w:t>Seed</w:t>
            </w:r>
          </w:p>
        </w:tc>
        <w:tc>
          <w:tcPr>
            <w:tcW w:type="dxa" w:w="1337"/>
            <w:tblHeader w:val="true"/>
            <w:shd w:val="clear" w:color="auto" w:fill="2C3E50"/>
          </w:tcPr>
          <w:p>
            <w:pPr>
              <w:jc w:val="center"/>
            </w:pPr>
            <w:r/>
            <w:r>
              <w:rPr>
                <w:b/>
                <w:color w:val="FFFFFF"/>
                <w:sz w:val="18"/>
              </w:rPr>
              <w:t>Base_Mean_DWL_$B</w:t>
            </w:r>
          </w:p>
        </w:tc>
        <w:tc>
          <w:tcPr>
            <w:tcW w:type="dxa" w:w="1337"/>
            <w:tblHeader w:val="true"/>
            <w:shd w:val="clear" w:color="auto" w:fill="2C3E50"/>
          </w:tcPr>
          <w:p>
            <w:pPr>
              <w:jc w:val="center"/>
            </w:pPr>
            <w:r/>
            <w:r>
              <w:rPr>
                <w:b/>
                <w:color w:val="FFFFFF"/>
                <w:sz w:val="18"/>
              </w:rPr>
              <w:t>Seed_Mean_DWL_$B</w:t>
            </w:r>
          </w:p>
        </w:tc>
        <w:tc>
          <w:tcPr>
            <w:tcW w:type="dxa" w:w="1337"/>
            <w:tblHeader w:val="true"/>
            <w:shd w:val="clear" w:color="auto" w:fill="2C3E50"/>
          </w:tcPr>
          <w:p>
            <w:pPr>
              <w:jc w:val="center"/>
            </w:pPr>
            <w:r/>
            <w:r>
              <w:rPr>
                <w:b/>
                <w:color w:val="FFFFFF"/>
                <w:sz w:val="18"/>
              </w:rPr>
              <w:t>Drift_$B</w:t>
            </w:r>
          </w:p>
        </w:tc>
        <w:tc>
          <w:tcPr>
            <w:tcW w:type="dxa" w:w="1337"/>
            <w:tblHeader w:val="true"/>
            <w:shd w:val="clear" w:color="auto" w:fill="2C3E50"/>
          </w:tcPr>
          <w:p>
            <w:pPr>
              <w:jc w:val="center"/>
            </w:pPr>
            <w:r/>
            <w:r>
              <w:rPr>
                <w:b/>
                <w:color w:val="FFFFFF"/>
                <w:sz w:val="18"/>
              </w:rPr>
              <w:t>Drift_in_SE</w:t>
            </w:r>
          </w:p>
        </w:tc>
        <w:tc>
          <w:tcPr>
            <w:tcW w:type="dxa" w:w="1337"/>
            <w:tblHeader w:val="true"/>
            <w:shd w:val="clear" w:color="auto" w:fill="2C3E50"/>
          </w:tcPr>
          <w:p>
            <w:pPr>
              <w:jc w:val="center"/>
            </w:pPr>
            <w:r/>
            <w:r>
              <w:rPr>
                <w:b/>
                <w:color w:val="FFFFFF"/>
                <w:sz w:val="18"/>
              </w:rPr>
              <w:t>Verdict</w:t>
            </w:r>
          </w:p>
        </w:tc>
      </w:tr>
      <w:tr>
        <w:tc>
          <w:tcPr>
            <w:tcW w:type="dxa" w:w="1337"/>
          </w:tcPr>
          <w:p>
            <w:pPr>
              <w:spacing w:after="0"/>
            </w:pPr>
            <w:r/>
            <w:r>
              <w:rPr>
                <w:sz w:val="17"/>
              </w:rPr>
              <w:t>Hardware-Cloud Providers</w:t>
            </w:r>
          </w:p>
        </w:tc>
        <w:tc>
          <w:tcPr>
            <w:tcW w:type="dxa" w:w="1337"/>
          </w:tcPr>
          <w:p>
            <w:pPr>
              <w:spacing w:after="0"/>
            </w:pPr>
            <w:r/>
            <w:r>
              <w:rPr>
                <w:sz w:val="17"/>
              </w:rPr>
              <w:t>GLOBAL_SEED+1</w:t>
            </w:r>
          </w:p>
        </w:tc>
        <w:tc>
          <w:tcPr>
            <w:tcW w:type="dxa" w:w="1337"/>
          </w:tcPr>
          <w:p>
            <w:pPr>
              <w:spacing w:after="0"/>
            </w:pPr>
            <w:r/>
            <w:r>
              <w:rPr>
                <w:sz w:val="17"/>
              </w:rPr>
              <w:t>60.09</w:t>
            </w:r>
          </w:p>
        </w:tc>
        <w:tc>
          <w:tcPr>
            <w:tcW w:type="dxa" w:w="1337"/>
          </w:tcPr>
          <w:p>
            <w:pPr>
              <w:spacing w:after="0"/>
            </w:pPr>
            <w:r/>
            <w:r>
              <w:rPr>
                <w:sz w:val="17"/>
              </w:rPr>
              <w:t>60.16</w:t>
            </w:r>
          </w:p>
        </w:tc>
        <w:tc>
          <w:tcPr>
            <w:tcW w:type="dxa" w:w="1337"/>
          </w:tcPr>
          <w:p>
            <w:pPr>
              <w:spacing w:after="0"/>
            </w:pPr>
            <w:r/>
            <w:r>
              <w:rPr>
                <w:sz w:val="17"/>
              </w:rPr>
              <w:t>0.07</w:t>
            </w:r>
          </w:p>
        </w:tc>
        <w:tc>
          <w:tcPr>
            <w:tcW w:type="dxa" w:w="1337"/>
          </w:tcPr>
          <w:p>
            <w:pPr>
              <w:spacing w:after="0"/>
            </w:pPr>
            <w:r/>
            <w:r>
              <w:rPr>
                <w:sz w:val="17"/>
              </w:rPr>
              <w:t>0.21</w:t>
            </w:r>
          </w:p>
        </w:tc>
        <w:tc>
          <w:tcPr>
            <w:tcW w:type="dxa" w:w="1337"/>
          </w:tcPr>
          <w:p>
            <w:pPr>
              <w:spacing w:after="0"/>
            </w:pPr>
            <w:r/>
            <w:r>
              <w:rPr>
                <w:sz w:val="17"/>
              </w:rPr>
              <w:t>replicated</w:t>
            </w:r>
          </w:p>
        </w:tc>
      </w:tr>
      <w:tr>
        <w:tc>
          <w:tcPr>
            <w:tcW w:type="dxa" w:w="1337"/>
            <w:shd w:val="clear" w:color="auto" w:fill="EDF1F5"/>
          </w:tcPr>
          <w:p>
            <w:pPr>
              <w:spacing w:after="0"/>
            </w:pPr>
            <w:r/>
            <w:r>
              <w:rPr>
                <w:sz w:val="17"/>
              </w:rPr>
              <w:t>Hardware-Foundation Models</w:t>
            </w:r>
          </w:p>
        </w:tc>
        <w:tc>
          <w:tcPr>
            <w:tcW w:type="dxa" w:w="1337"/>
            <w:shd w:val="clear" w:color="auto" w:fill="EDF1F5"/>
          </w:tcPr>
          <w:p>
            <w:pPr>
              <w:spacing w:after="0"/>
            </w:pPr>
            <w:r/>
            <w:r>
              <w:rPr>
                <w:sz w:val="17"/>
              </w:rPr>
              <w:t>GLOBAL_SEED+1</w:t>
            </w:r>
          </w:p>
        </w:tc>
        <w:tc>
          <w:tcPr>
            <w:tcW w:type="dxa" w:w="1337"/>
            <w:shd w:val="clear" w:color="auto" w:fill="EDF1F5"/>
          </w:tcPr>
          <w:p>
            <w:pPr>
              <w:spacing w:after="0"/>
            </w:pPr>
            <w:r/>
            <w:r>
              <w:rPr>
                <w:sz w:val="17"/>
              </w:rPr>
              <w:t>198.67</w:t>
            </w:r>
          </w:p>
        </w:tc>
        <w:tc>
          <w:tcPr>
            <w:tcW w:type="dxa" w:w="1337"/>
            <w:shd w:val="clear" w:color="auto" w:fill="EDF1F5"/>
          </w:tcPr>
          <w:p>
            <w:pPr>
              <w:spacing w:after="0"/>
            </w:pPr>
            <w:r/>
            <w:r>
              <w:rPr>
                <w:sz w:val="17"/>
              </w:rPr>
              <w:t>198.64</w:t>
            </w:r>
          </w:p>
        </w:tc>
        <w:tc>
          <w:tcPr>
            <w:tcW w:type="dxa" w:w="1337"/>
            <w:shd w:val="clear" w:color="auto" w:fill="EDF1F5"/>
          </w:tcPr>
          <w:p>
            <w:pPr>
              <w:spacing w:after="0"/>
            </w:pPr>
            <w:r/>
            <w:r>
              <w:rPr>
                <w:sz w:val="17"/>
              </w:rPr>
              <w:t>0.03</w:t>
            </w:r>
          </w:p>
        </w:tc>
        <w:tc>
          <w:tcPr>
            <w:tcW w:type="dxa" w:w="1337"/>
            <w:shd w:val="clear" w:color="auto" w:fill="EDF1F5"/>
          </w:tcPr>
          <w:p>
            <w:pPr>
              <w:spacing w:after="0"/>
            </w:pPr>
            <w:r/>
            <w:r>
              <w:rPr>
                <w:sz w:val="17"/>
              </w:rPr>
              <w:t>0.11</w:t>
            </w:r>
          </w:p>
        </w:tc>
        <w:tc>
          <w:tcPr>
            <w:tcW w:type="dxa" w:w="1337"/>
            <w:shd w:val="clear" w:color="auto" w:fill="EDF1F5"/>
          </w:tcPr>
          <w:p>
            <w:pPr>
              <w:spacing w:after="0"/>
            </w:pPr>
            <w:r/>
            <w:r>
              <w:rPr>
                <w:sz w:val="17"/>
              </w:rPr>
              <w:t>replicated</w:t>
            </w:r>
          </w:p>
        </w:tc>
      </w:tr>
      <w:tr>
        <w:tc>
          <w:tcPr>
            <w:tcW w:type="dxa" w:w="1337"/>
          </w:tcPr>
          <w:p>
            <w:pPr>
              <w:spacing w:after="0"/>
            </w:pPr>
            <w:r/>
            <w:r>
              <w:rPr>
                <w:sz w:val="17"/>
              </w:rPr>
              <w:t>Hardware-LLM Wrappers</w:t>
            </w:r>
          </w:p>
        </w:tc>
        <w:tc>
          <w:tcPr>
            <w:tcW w:type="dxa" w:w="1337"/>
          </w:tcPr>
          <w:p>
            <w:pPr>
              <w:spacing w:after="0"/>
            </w:pPr>
            <w:r/>
            <w:r>
              <w:rPr>
                <w:sz w:val="17"/>
              </w:rPr>
              <w:t>GLOBAL_SEED+1</w:t>
            </w:r>
          </w:p>
        </w:tc>
        <w:tc>
          <w:tcPr>
            <w:tcW w:type="dxa" w:w="1337"/>
          </w:tcPr>
          <w:p>
            <w:pPr>
              <w:spacing w:after="0"/>
            </w:pPr>
            <w:r/>
            <w:r>
              <w:rPr>
                <w:sz w:val="17"/>
              </w:rPr>
              <w:t>241.69</w:t>
            </w:r>
          </w:p>
        </w:tc>
        <w:tc>
          <w:tcPr>
            <w:tcW w:type="dxa" w:w="1337"/>
          </w:tcPr>
          <w:p>
            <w:pPr>
              <w:spacing w:after="0"/>
            </w:pPr>
            <w:r/>
            <w:r>
              <w:rPr>
                <w:sz w:val="17"/>
              </w:rPr>
              <w:t>241.89</w:t>
            </w:r>
          </w:p>
        </w:tc>
        <w:tc>
          <w:tcPr>
            <w:tcW w:type="dxa" w:w="1337"/>
          </w:tcPr>
          <w:p>
            <w:pPr>
              <w:spacing w:after="0"/>
            </w:pPr>
            <w:r/>
            <w:r>
              <w:rPr>
                <w:sz w:val="17"/>
              </w:rPr>
              <w:t>0.20</w:t>
            </w:r>
          </w:p>
        </w:tc>
        <w:tc>
          <w:tcPr>
            <w:tcW w:type="dxa" w:w="1337"/>
          </w:tcPr>
          <w:p>
            <w:pPr>
              <w:spacing w:after="0"/>
            </w:pPr>
            <w:r/>
            <w:r>
              <w:rPr>
                <w:sz w:val="17"/>
              </w:rPr>
              <w:t>0.74</w:t>
            </w:r>
          </w:p>
        </w:tc>
        <w:tc>
          <w:tcPr>
            <w:tcW w:type="dxa" w:w="1337"/>
          </w:tcPr>
          <w:p>
            <w:pPr>
              <w:spacing w:after="0"/>
            </w:pPr>
            <w:r/>
            <w:r>
              <w:rPr>
                <w:sz w:val="17"/>
              </w:rPr>
              <w:t>replicated</w:t>
            </w:r>
          </w:p>
        </w:tc>
      </w:tr>
      <w:tr>
        <w:tc>
          <w:tcPr>
            <w:tcW w:type="dxa" w:w="1337"/>
            <w:shd w:val="clear" w:color="auto" w:fill="EDF1F5"/>
          </w:tcPr>
          <w:p>
            <w:pPr>
              <w:spacing w:after="0"/>
            </w:pPr>
            <w:r/>
            <w:r>
              <w:rPr>
                <w:sz w:val="17"/>
              </w:rPr>
              <w:t>Cloud Providers-Foundation Models</w:t>
            </w:r>
          </w:p>
        </w:tc>
        <w:tc>
          <w:tcPr>
            <w:tcW w:type="dxa" w:w="1337"/>
            <w:shd w:val="clear" w:color="auto" w:fill="EDF1F5"/>
          </w:tcPr>
          <w:p>
            <w:pPr>
              <w:spacing w:after="0"/>
            </w:pPr>
            <w:r/>
            <w:r>
              <w:rPr>
                <w:sz w:val="17"/>
              </w:rPr>
              <w:t>GLOBAL_SEED+1</w:t>
            </w:r>
          </w:p>
        </w:tc>
        <w:tc>
          <w:tcPr>
            <w:tcW w:type="dxa" w:w="1337"/>
            <w:shd w:val="clear" w:color="auto" w:fill="EDF1F5"/>
          </w:tcPr>
          <w:p>
            <w:pPr>
              <w:spacing w:after="0"/>
            </w:pPr>
            <w:r/>
            <w:r>
              <w:rPr>
                <w:sz w:val="17"/>
              </w:rPr>
              <w:t>137.75</w:t>
            </w:r>
          </w:p>
        </w:tc>
        <w:tc>
          <w:tcPr>
            <w:tcW w:type="dxa" w:w="1337"/>
            <w:shd w:val="clear" w:color="auto" w:fill="EDF1F5"/>
          </w:tcPr>
          <w:p>
            <w:pPr>
              <w:spacing w:after="0"/>
            </w:pPr>
            <w:r/>
            <w:r>
              <w:rPr>
                <w:sz w:val="17"/>
              </w:rPr>
              <w:t>137.96</w:t>
            </w:r>
          </w:p>
        </w:tc>
        <w:tc>
          <w:tcPr>
            <w:tcW w:type="dxa" w:w="1337"/>
            <w:shd w:val="clear" w:color="auto" w:fill="EDF1F5"/>
          </w:tcPr>
          <w:p>
            <w:pPr>
              <w:spacing w:after="0"/>
            </w:pPr>
            <w:r/>
            <w:r>
              <w:rPr>
                <w:sz w:val="17"/>
              </w:rPr>
              <w:t>0.20</w:t>
            </w:r>
          </w:p>
        </w:tc>
        <w:tc>
          <w:tcPr>
            <w:tcW w:type="dxa" w:w="1337"/>
            <w:shd w:val="clear" w:color="auto" w:fill="EDF1F5"/>
          </w:tcPr>
          <w:p>
            <w:pPr>
              <w:spacing w:after="0"/>
            </w:pPr>
            <w:r/>
            <w:r>
              <w:rPr>
                <w:sz w:val="17"/>
              </w:rPr>
              <w:t>0.92</w:t>
            </w:r>
          </w:p>
        </w:tc>
        <w:tc>
          <w:tcPr>
            <w:tcW w:type="dxa" w:w="1337"/>
            <w:shd w:val="clear" w:color="auto" w:fill="EDF1F5"/>
          </w:tcPr>
          <w:p>
            <w:pPr>
              <w:spacing w:after="0"/>
            </w:pPr>
            <w:r/>
            <w:r>
              <w:rPr>
                <w:sz w:val="17"/>
              </w:rPr>
              <w:t>replicated</w:t>
            </w:r>
          </w:p>
        </w:tc>
      </w:tr>
      <w:tr>
        <w:tc>
          <w:tcPr>
            <w:tcW w:type="dxa" w:w="1337"/>
          </w:tcPr>
          <w:p>
            <w:pPr>
              <w:spacing w:after="0"/>
            </w:pPr>
            <w:r/>
            <w:r>
              <w:rPr>
                <w:sz w:val="17"/>
              </w:rPr>
              <w:t>Cloud Providers-LLM Wrappers</w:t>
            </w:r>
          </w:p>
        </w:tc>
        <w:tc>
          <w:tcPr>
            <w:tcW w:type="dxa" w:w="1337"/>
          </w:tcPr>
          <w:p>
            <w:pPr>
              <w:spacing w:after="0"/>
            </w:pPr>
            <w:r/>
            <w:r>
              <w:rPr>
                <w:sz w:val="17"/>
              </w:rPr>
              <w:t>GLOBAL_SEED+1</w:t>
            </w:r>
          </w:p>
        </w:tc>
        <w:tc>
          <w:tcPr>
            <w:tcW w:type="dxa" w:w="1337"/>
          </w:tcPr>
          <w:p>
            <w:pPr>
              <w:spacing w:after="0"/>
            </w:pPr>
            <w:r/>
            <w:r>
              <w:rPr>
                <w:sz w:val="17"/>
              </w:rPr>
              <w:t>176.85</w:t>
            </w:r>
          </w:p>
        </w:tc>
        <w:tc>
          <w:tcPr>
            <w:tcW w:type="dxa" w:w="1337"/>
          </w:tcPr>
          <w:p>
            <w:pPr>
              <w:spacing w:after="0"/>
            </w:pPr>
            <w:r/>
            <w:r>
              <w:rPr>
                <w:sz w:val="17"/>
              </w:rPr>
              <w:t>177.32</w:t>
            </w:r>
          </w:p>
        </w:tc>
        <w:tc>
          <w:tcPr>
            <w:tcW w:type="dxa" w:w="1337"/>
          </w:tcPr>
          <w:p>
            <w:pPr>
              <w:spacing w:after="0"/>
            </w:pPr>
            <w:r/>
            <w:r>
              <w:rPr>
                <w:sz w:val="17"/>
              </w:rPr>
              <w:t>0.46</w:t>
            </w:r>
          </w:p>
        </w:tc>
        <w:tc>
          <w:tcPr>
            <w:tcW w:type="dxa" w:w="1337"/>
          </w:tcPr>
          <w:p>
            <w:pPr>
              <w:spacing w:after="0"/>
            </w:pPr>
            <w:r/>
            <w:r>
              <w:rPr>
                <w:sz w:val="17"/>
              </w:rPr>
              <w:t>2.14</w:t>
            </w:r>
          </w:p>
        </w:tc>
        <w:tc>
          <w:tcPr>
            <w:tcW w:type="dxa" w:w="1337"/>
          </w:tcPr>
          <w:p>
            <w:pPr>
              <w:spacing w:after="0"/>
            </w:pPr>
            <w:r/>
            <w:r>
              <w:rPr>
                <w:sz w:val="17"/>
              </w:rPr>
              <w:t>replicated</w:t>
            </w:r>
          </w:p>
        </w:tc>
      </w:tr>
      <w:tr>
        <w:tc>
          <w:tcPr>
            <w:tcW w:type="dxa" w:w="1337"/>
            <w:shd w:val="clear" w:color="auto" w:fill="EDF1F5"/>
          </w:tcPr>
          <w:p>
            <w:pPr>
              <w:spacing w:after="0"/>
            </w:pPr>
            <w:r/>
            <w:r>
              <w:rPr>
                <w:sz w:val="17"/>
              </w:rPr>
              <w:t>Foundation Models-LLM Wrappers</w:t>
            </w:r>
          </w:p>
        </w:tc>
        <w:tc>
          <w:tcPr>
            <w:tcW w:type="dxa" w:w="1337"/>
            <w:shd w:val="clear" w:color="auto" w:fill="EDF1F5"/>
          </w:tcPr>
          <w:p>
            <w:pPr>
              <w:spacing w:after="0"/>
            </w:pPr>
            <w:r/>
            <w:r>
              <w:rPr>
                <w:sz w:val="17"/>
              </w:rPr>
              <w:t>GLOBAL_SEED+1</w:t>
            </w:r>
          </w:p>
        </w:tc>
        <w:tc>
          <w:tcPr>
            <w:tcW w:type="dxa" w:w="1337"/>
            <w:shd w:val="clear" w:color="auto" w:fill="EDF1F5"/>
          </w:tcPr>
          <w:p>
            <w:pPr>
              <w:spacing w:after="0"/>
            </w:pPr>
            <w:r/>
            <w:r>
              <w:rPr>
                <w:sz w:val="17"/>
              </w:rPr>
              <w:t>25.57</w:t>
            </w:r>
          </w:p>
        </w:tc>
        <w:tc>
          <w:tcPr>
            <w:tcW w:type="dxa" w:w="1337"/>
            <w:shd w:val="clear" w:color="auto" w:fill="EDF1F5"/>
          </w:tcPr>
          <w:p>
            <w:pPr>
              <w:spacing w:after="0"/>
            </w:pPr>
            <w:r/>
            <w:r>
              <w:rPr>
                <w:sz w:val="17"/>
              </w:rPr>
              <w:t>25.56</w:t>
            </w:r>
          </w:p>
        </w:tc>
        <w:tc>
          <w:tcPr>
            <w:tcW w:type="dxa" w:w="1337"/>
            <w:shd w:val="clear" w:color="auto" w:fill="EDF1F5"/>
          </w:tcPr>
          <w:p>
            <w:pPr>
              <w:spacing w:after="0"/>
            </w:pPr>
            <w:r/>
            <w:r>
              <w:rPr>
                <w:sz w:val="17"/>
              </w:rPr>
              <w:t>0.02</w:t>
            </w:r>
          </w:p>
        </w:tc>
        <w:tc>
          <w:tcPr>
            <w:tcW w:type="dxa" w:w="1337"/>
            <w:shd w:val="clear" w:color="auto" w:fill="EDF1F5"/>
          </w:tcPr>
          <w:p>
            <w:pPr>
              <w:spacing w:after="0"/>
            </w:pPr>
            <w:r/>
            <w:r>
              <w:rPr>
                <w:sz w:val="17"/>
              </w:rPr>
              <w:t>0.20</w:t>
            </w:r>
          </w:p>
        </w:tc>
        <w:tc>
          <w:tcPr>
            <w:tcW w:type="dxa" w:w="1337"/>
            <w:shd w:val="clear" w:color="auto" w:fill="EDF1F5"/>
          </w:tcPr>
          <w:p>
            <w:pPr>
              <w:spacing w:after="0"/>
            </w:pPr>
            <w:r/>
            <w:r>
              <w:rPr>
                <w:sz w:val="17"/>
              </w:rPr>
              <w:t>replicated</w:t>
            </w:r>
          </w:p>
        </w:tc>
      </w:tr>
      <w:tr>
        <w:tc>
          <w:tcPr>
            <w:tcW w:type="dxa" w:w="1337"/>
          </w:tcPr>
          <w:p>
            <w:pPr>
              <w:spacing w:after="0"/>
            </w:pPr>
            <w:r/>
            <w:r>
              <w:rPr>
                <w:sz w:val="17"/>
              </w:rPr>
              <w:t>Hardware-Cloud Providers</w:t>
            </w:r>
          </w:p>
        </w:tc>
        <w:tc>
          <w:tcPr>
            <w:tcW w:type="dxa" w:w="1337"/>
          </w:tcPr>
          <w:p>
            <w:pPr>
              <w:spacing w:after="0"/>
            </w:pPr>
            <w:r/>
            <w:r>
              <w:rPr>
                <w:sz w:val="17"/>
              </w:rPr>
              <w:t>GLOBAL_SEED+2</w:t>
            </w:r>
          </w:p>
        </w:tc>
        <w:tc>
          <w:tcPr>
            <w:tcW w:type="dxa" w:w="1337"/>
          </w:tcPr>
          <w:p>
            <w:pPr>
              <w:spacing w:after="0"/>
            </w:pPr>
            <w:r/>
            <w:r>
              <w:rPr>
                <w:sz w:val="17"/>
              </w:rPr>
              <w:t>60.09</w:t>
            </w:r>
          </w:p>
        </w:tc>
        <w:tc>
          <w:tcPr>
            <w:tcW w:type="dxa" w:w="1337"/>
          </w:tcPr>
          <w:p>
            <w:pPr>
              <w:spacing w:after="0"/>
            </w:pPr>
            <w:r/>
            <w:r>
              <w:rPr>
                <w:sz w:val="17"/>
              </w:rPr>
              <w:t>60.36</w:t>
            </w:r>
          </w:p>
        </w:tc>
        <w:tc>
          <w:tcPr>
            <w:tcW w:type="dxa" w:w="1337"/>
          </w:tcPr>
          <w:p>
            <w:pPr>
              <w:spacing w:after="0"/>
            </w:pPr>
            <w:r/>
            <w:r>
              <w:rPr>
                <w:sz w:val="17"/>
              </w:rPr>
              <w:t>0.27</w:t>
            </w:r>
          </w:p>
        </w:tc>
        <w:tc>
          <w:tcPr>
            <w:tcW w:type="dxa" w:w="1337"/>
          </w:tcPr>
          <w:p>
            <w:pPr>
              <w:spacing w:after="0"/>
            </w:pPr>
            <w:r/>
            <w:r>
              <w:rPr>
                <w:sz w:val="17"/>
              </w:rPr>
              <w:t>0.83</w:t>
            </w:r>
          </w:p>
        </w:tc>
        <w:tc>
          <w:tcPr>
            <w:tcW w:type="dxa" w:w="1337"/>
          </w:tcPr>
          <w:p>
            <w:pPr>
              <w:spacing w:after="0"/>
            </w:pPr>
            <w:r/>
            <w:r>
              <w:rPr>
                <w:sz w:val="17"/>
              </w:rPr>
              <w:t>replicated</w:t>
            </w:r>
          </w:p>
        </w:tc>
      </w:tr>
      <w:tr>
        <w:tc>
          <w:tcPr>
            <w:tcW w:type="dxa" w:w="1337"/>
            <w:shd w:val="clear" w:color="auto" w:fill="EDF1F5"/>
          </w:tcPr>
          <w:p>
            <w:pPr>
              <w:spacing w:after="0"/>
            </w:pPr>
            <w:r/>
            <w:r>
              <w:rPr>
                <w:sz w:val="17"/>
              </w:rPr>
              <w:t>Hardware-Foundation Models</w:t>
            </w:r>
          </w:p>
        </w:tc>
        <w:tc>
          <w:tcPr>
            <w:tcW w:type="dxa" w:w="1337"/>
            <w:shd w:val="clear" w:color="auto" w:fill="EDF1F5"/>
          </w:tcPr>
          <w:p>
            <w:pPr>
              <w:spacing w:after="0"/>
            </w:pPr>
            <w:r/>
            <w:r>
              <w:rPr>
                <w:sz w:val="17"/>
              </w:rPr>
              <w:t>GLOBAL_SEED+2</w:t>
            </w:r>
          </w:p>
        </w:tc>
        <w:tc>
          <w:tcPr>
            <w:tcW w:type="dxa" w:w="1337"/>
            <w:shd w:val="clear" w:color="auto" w:fill="EDF1F5"/>
          </w:tcPr>
          <w:p>
            <w:pPr>
              <w:spacing w:after="0"/>
            </w:pPr>
            <w:r/>
            <w:r>
              <w:rPr>
                <w:sz w:val="17"/>
              </w:rPr>
              <w:t>198.67</w:t>
            </w:r>
          </w:p>
        </w:tc>
        <w:tc>
          <w:tcPr>
            <w:tcW w:type="dxa" w:w="1337"/>
            <w:shd w:val="clear" w:color="auto" w:fill="EDF1F5"/>
          </w:tcPr>
          <w:p>
            <w:pPr>
              <w:spacing w:after="0"/>
            </w:pPr>
            <w:r/>
            <w:r>
              <w:rPr>
                <w:sz w:val="17"/>
              </w:rPr>
              <w:t>198.28</w:t>
            </w:r>
          </w:p>
        </w:tc>
        <w:tc>
          <w:tcPr>
            <w:tcW w:type="dxa" w:w="1337"/>
            <w:shd w:val="clear" w:color="auto" w:fill="EDF1F5"/>
          </w:tcPr>
          <w:p>
            <w:pPr>
              <w:spacing w:after="0"/>
            </w:pPr>
            <w:r/>
            <w:r>
              <w:rPr>
                <w:sz w:val="17"/>
              </w:rPr>
              <w:t>0.40</w:t>
            </w:r>
          </w:p>
        </w:tc>
        <w:tc>
          <w:tcPr>
            <w:tcW w:type="dxa" w:w="1337"/>
            <w:shd w:val="clear" w:color="auto" w:fill="EDF1F5"/>
          </w:tcPr>
          <w:p>
            <w:pPr>
              <w:spacing w:after="0"/>
            </w:pPr>
            <w:r/>
            <w:r>
              <w:rPr>
                <w:sz w:val="17"/>
              </w:rPr>
              <w:t>1.39</w:t>
            </w:r>
          </w:p>
        </w:tc>
        <w:tc>
          <w:tcPr>
            <w:tcW w:type="dxa" w:w="1337"/>
            <w:shd w:val="clear" w:color="auto" w:fill="EDF1F5"/>
          </w:tcPr>
          <w:p>
            <w:pPr>
              <w:spacing w:after="0"/>
            </w:pPr>
            <w:r/>
            <w:r>
              <w:rPr>
                <w:sz w:val="17"/>
              </w:rPr>
              <w:t>replicated</w:t>
            </w:r>
          </w:p>
        </w:tc>
      </w:tr>
      <w:tr>
        <w:tc>
          <w:tcPr>
            <w:tcW w:type="dxa" w:w="1337"/>
          </w:tcPr>
          <w:p>
            <w:pPr>
              <w:spacing w:after="0"/>
            </w:pPr>
            <w:r/>
            <w:r>
              <w:rPr>
                <w:sz w:val="17"/>
              </w:rPr>
              <w:t>Hardware-LLM Wrappers</w:t>
            </w:r>
          </w:p>
        </w:tc>
        <w:tc>
          <w:tcPr>
            <w:tcW w:type="dxa" w:w="1337"/>
          </w:tcPr>
          <w:p>
            <w:pPr>
              <w:spacing w:after="0"/>
            </w:pPr>
            <w:r/>
            <w:r>
              <w:rPr>
                <w:sz w:val="17"/>
              </w:rPr>
              <w:t>GLOBAL_SEED+2</w:t>
            </w:r>
          </w:p>
        </w:tc>
        <w:tc>
          <w:tcPr>
            <w:tcW w:type="dxa" w:w="1337"/>
          </w:tcPr>
          <w:p>
            <w:pPr>
              <w:spacing w:after="0"/>
            </w:pPr>
            <w:r/>
            <w:r>
              <w:rPr>
                <w:sz w:val="17"/>
              </w:rPr>
              <w:t>241.69</w:t>
            </w:r>
          </w:p>
        </w:tc>
        <w:tc>
          <w:tcPr>
            <w:tcW w:type="dxa" w:w="1337"/>
          </w:tcPr>
          <w:p>
            <w:pPr>
              <w:spacing w:after="0"/>
            </w:pPr>
            <w:r/>
            <w:r>
              <w:rPr>
                <w:sz w:val="17"/>
              </w:rPr>
              <w:t>241.76</w:t>
            </w:r>
          </w:p>
        </w:tc>
        <w:tc>
          <w:tcPr>
            <w:tcW w:type="dxa" w:w="1337"/>
          </w:tcPr>
          <w:p>
            <w:pPr>
              <w:spacing w:after="0"/>
            </w:pPr>
            <w:r/>
            <w:r>
              <w:rPr>
                <w:sz w:val="17"/>
              </w:rPr>
              <w:t>0.06</w:t>
            </w:r>
          </w:p>
        </w:tc>
        <w:tc>
          <w:tcPr>
            <w:tcW w:type="dxa" w:w="1337"/>
          </w:tcPr>
          <w:p>
            <w:pPr>
              <w:spacing w:after="0"/>
            </w:pPr>
            <w:r/>
            <w:r>
              <w:rPr>
                <w:sz w:val="17"/>
              </w:rPr>
              <w:t>0.24</w:t>
            </w:r>
          </w:p>
        </w:tc>
        <w:tc>
          <w:tcPr>
            <w:tcW w:type="dxa" w:w="1337"/>
          </w:tcPr>
          <w:p>
            <w:pPr>
              <w:spacing w:after="0"/>
            </w:pPr>
            <w:r/>
            <w:r>
              <w:rPr>
                <w:sz w:val="17"/>
              </w:rPr>
              <w:t>replicated</w:t>
            </w:r>
          </w:p>
        </w:tc>
      </w:tr>
      <w:tr>
        <w:tc>
          <w:tcPr>
            <w:tcW w:type="dxa" w:w="1337"/>
            <w:shd w:val="clear" w:color="auto" w:fill="EDF1F5"/>
          </w:tcPr>
          <w:p>
            <w:pPr>
              <w:spacing w:after="0"/>
            </w:pPr>
            <w:r/>
            <w:r>
              <w:rPr>
                <w:sz w:val="17"/>
              </w:rPr>
              <w:t>Cloud Providers-Foundation Models</w:t>
            </w:r>
          </w:p>
        </w:tc>
        <w:tc>
          <w:tcPr>
            <w:tcW w:type="dxa" w:w="1337"/>
            <w:shd w:val="clear" w:color="auto" w:fill="EDF1F5"/>
          </w:tcPr>
          <w:p>
            <w:pPr>
              <w:spacing w:after="0"/>
            </w:pPr>
            <w:r/>
            <w:r>
              <w:rPr>
                <w:sz w:val="17"/>
              </w:rPr>
              <w:t>GLOBAL_SEED+2</w:t>
            </w:r>
          </w:p>
        </w:tc>
        <w:tc>
          <w:tcPr>
            <w:tcW w:type="dxa" w:w="1337"/>
            <w:shd w:val="clear" w:color="auto" w:fill="EDF1F5"/>
          </w:tcPr>
          <w:p>
            <w:pPr>
              <w:spacing w:after="0"/>
            </w:pPr>
            <w:r/>
            <w:r>
              <w:rPr>
                <w:sz w:val="17"/>
              </w:rPr>
              <w:t>137.75</w:t>
            </w:r>
          </w:p>
        </w:tc>
        <w:tc>
          <w:tcPr>
            <w:tcW w:type="dxa" w:w="1337"/>
            <w:shd w:val="clear" w:color="auto" w:fill="EDF1F5"/>
          </w:tcPr>
          <w:p>
            <w:pPr>
              <w:spacing w:after="0"/>
            </w:pPr>
            <w:r/>
            <w:r>
              <w:rPr>
                <w:sz w:val="17"/>
              </w:rPr>
              <w:t>137.87</w:t>
            </w:r>
          </w:p>
        </w:tc>
        <w:tc>
          <w:tcPr>
            <w:tcW w:type="dxa" w:w="1337"/>
            <w:shd w:val="clear" w:color="auto" w:fill="EDF1F5"/>
          </w:tcPr>
          <w:p>
            <w:pPr>
              <w:spacing w:after="0"/>
            </w:pPr>
            <w:r/>
            <w:r>
              <w:rPr>
                <w:sz w:val="17"/>
              </w:rPr>
              <w:t>0.12</w:t>
            </w:r>
          </w:p>
        </w:tc>
        <w:tc>
          <w:tcPr>
            <w:tcW w:type="dxa" w:w="1337"/>
            <w:shd w:val="clear" w:color="auto" w:fill="EDF1F5"/>
          </w:tcPr>
          <w:p>
            <w:pPr>
              <w:spacing w:after="0"/>
            </w:pPr>
            <w:r/>
            <w:r>
              <w:rPr>
                <w:sz w:val="17"/>
              </w:rPr>
              <w:t>0.52</w:t>
            </w:r>
          </w:p>
        </w:tc>
        <w:tc>
          <w:tcPr>
            <w:tcW w:type="dxa" w:w="1337"/>
            <w:shd w:val="clear" w:color="auto" w:fill="EDF1F5"/>
          </w:tcPr>
          <w:p>
            <w:pPr>
              <w:spacing w:after="0"/>
            </w:pPr>
            <w:r/>
            <w:r>
              <w:rPr>
                <w:sz w:val="17"/>
              </w:rPr>
              <w:t>replicated</w:t>
            </w:r>
          </w:p>
        </w:tc>
      </w:tr>
      <w:tr>
        <w:tc>
          <w:tcPr>
            <w:tcW w:type="dxa" w:w="1337"/>
          </w:tcPr>
          <w:p>
            <w:pPr>
              <w:spacing w:after="0"/>
            </w:pPr>
            <w:r/>
            <w:r>
              <w:rPr>
                <w:sz w:val="17"/>
              </w:rPr>
              <w:t>Cloud Providers-LLM Wrappers</w:t>
            </w:r>
          </w:p>
        </w:tc>
        <w:tc>
          <w:tcPr>
            <w:tcW w:type="dxa" w:w="1337"/>
          </w:tcPr>
          <w:p>
            <w:pPr>
              <w:spacing w:after="0"/>
            </w:pPr>
            <w:r/>
            <w:r>
              <w:rPr>
                <w:sz w:val="17"/>
              </w:rPr>
              <w:t>GLOBAL_SEED+2</w:t>
            </w:r>
          </w:p>
        </w:tc>
        <w:tc>
          <w:tcPr>
            <w:tcW w:type="dxa" w:w="1337"/>
          </w:tcPr>
          <w:p>
            <w:pPr>
              <w:spacing w:after="0"/>
            </w:pPr>
            <w:r/>
            <w:r>
              <w:rPr>
                <w:sz w:val="17"/>
              </w:rPr>
              <w:t>176.85</w:t>
            </w:r>
          </w:p>
        </w:tc>
        <w:tc>
          <w:tcPr>
            <w:tcW w:type="dxa" w:w="1337"/>
          </w:tcPr>
          <w:p>
            <w:pPr>
              <w:spacing w:after="0"/>
            </w:pPr>
            <w:r/>
            <w:r>
              <w:rPr>
                <w:sz w:val="17"/>
              </w:rPr>
              <w:t>177.10</w:t>
            </w:r>
          </w:p>
        </w:tc>
        <w:tc>
          <w:tcPr>
            <w:tcW w:type="dxa" w:w="1337"/>
          </w:tcPr>
          <w:p>
            <w:pPr>
              <w:spacing w:after="0"/>
            </w:pPr>
            <w:r/>
            <w:r>
              <w:rPr>
                <w:sz w:val="17"/>
              </w:rPr>
              <w:t>0.24</w:t>
            </w:r>
          </w:p>
        </w:tc>
        <w:tc>
          <w:tcPr>
            <w:tcW w:type="dxa" w:w="1337"/>
          </w:tcPr>
          <w:p>
            <w:pPr>
              <w:spacing w:after="0"/>
            </w:pPr>
            <w:r/>
            <w:r>
              <w:rPr>
                <w:sz w:val="17"/>
              </w:rPr>
              <w:t>1.12</w:t>
            </w:r>
          </w:p>
        </w:tc>
        <w:tc>
          <w:tcPr>
            <w:tcW w:type="dxa" w:w="1337"/>
          </w:tcPr>
          <w:p>
            <w:pPr>
              <w:spacing w:after="0"/>
            </w:pPr>
            <w:r/>
            <w:r>
              <w:rPr>
                <w:sz w:val="17"/>
              </w:rPr>
              <w:t>replicated</w:t>
            </w:r>
          </w:p>
        </w:tc>
      </w:tr>
      <w:tr>
        <w:tc>
          <w:tcPr>
            <w:tcW w:type="dxa" w:w="1337"/>
            <w:shd w:val="clear" w:color="auto" w:fill="EDF1F5"/>
          </w:tcPr>
          <w:p>
            <w:pPr>
              <w:spacing w:after="0"/>
            </w:pPr>
            <w:r/>
            <w:r>
              <w:rPr>
                <w:sz w:val="17"/>
              </w:rPr>
              <w:t>Foundation Models-LLM Wrappers</w:t>
            </w:r>
          </w:p>
        </w:tc>
        <w:tc>
          <w:tcPr>
            <w:tcW w:type="dxa" w:w="1337"/>
            <w:shd w:val="clear" w:color="auto" w:fill="EDF1F5"/>
          </w:tcPr>
          <w:p>
            <w:pPr>
              <w:spacing w:after="0"/>
            </w:pPr>
            <w:r/>
            <w:r>
              <w:rPr>
                <w:sz w:val="17"/>
              </w:rPr>
              <w:t>GLOBAL_SEED+2</w:t>
            </w:r>
          </w:p>
        </w:tc>
        <w:tc>
          <w:tcPr>
            <w:tcW w:type="dxa" w:w="1337"/>
            <w:shd w:val="clear" w:color="auto" w:fill="EDF1F5"/>
          </w:tcPr>
          <w:p>
            <w:pPr>
              <w:spacing w:after="0"/>
            </w:pPr>
            <w:r/>
            <w:r>
              <w:rPr>
                <w:sz w:val="17"/>
              </w:rPr>
              <w:t>25.57</w:t>
            </w:r>
          </w:p>
        </w:tc>
        <w:tc>
          <w:tcPr>
            <w:tcW w:type="dxa" w:w="1337"/>
            <w:shd w:val="clear" w:color="auto" w:fill="EDF1F5"/>
          </w:tcPr>
          <w:p>
            <w:pPr>
              <w:spacing w:after="0"/>
            </w:pPr>
            <w:r/>
            <w:r>
              <w:rPr>
                <w:sz w:val="17"/>
              </w:rPr>
              <w:t>25.60</w:t>
            </w:r>
          </w:p>
        </w:tc>
        <w:tc>
          <w:tcPr>
            <w:tcW w:type="dxa" w:w="1337"/>
            <w:shd w:val="clear" w:color="auto" w:fill="EDF1F5"/>
          </w:tcPr>
          <w:p>
            <w:pPr>
              <w:spacing w:after="0"/>
            </w:pPr>
            <w:r/>
            <w:r>
              <w:rPr>
                <w:sz w:val="17"/>
              </w:rPr>
              <w:t>0.02</w:t>
            </w:r>
          </w:p>
        </w:tc>
        <w:tc>
          <w:tcPr>
            <w:tcW w:type="dxa" w:w="1337"/>
            <w:shd w:val="clear" w:color="auto" w:fill="EDF1F5"/>
          </w:tcPr>
          <w:p>
            <w:pPr>
              <w:spacing w:after="0"/>
            </w:pPr>
            <w:r/>
            <w:r>
              <w:rPr>
                <w:sz w:val="17"/>
              </w:rPr>
              <w:t>0.31</w:t>
            </w:r>
          </w:p>
        </w:tc>
        <w:tc>
          <w:tcPr>
            <w:tcW w:type="dxa" w:w="1337"/>
            <w:shd w:val="clear" w:color="auto" w:fill="EDF1F5"/>
          </w:tcPr>
          <w:p>
            <w:pPr>
              <w:spacing w:after="0"/>
            </w:pPr>
            <w:r/>
            <w:r>
              <w:rPr>
                <w:sz w:val="17"/>
              </w:rPr>
              <w:t>replicated</w:t>
            </w:r>
          </w:p>
        </w:tc>
      </w:tr>
    </w:tbl>
    <w:p>
      <w:pPr>
        <w:spacing w:after="80"/>
      </w:pPr>
      <w:r>
        <w:rPr>
          <w:sz w:val="4"/>
        </w:rPr>
      </w:r>
    </w:p>
    <w:p>
      <w:pPr>
        <w:keepNext/>
        <w:spacing w:before="200" w:after="40"/>
      </w:pPr>
      <w:r>
        <w:rPr>
          <w:b/>
          <w:color w:val="2C3E50"/>
          <w:sz w:val="20"/>
        </w:rPr>
        <w:t>Table 8.3: Noise-Level Robustness (also in Section 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Game</w:t>
            </w:r>
          </w:p>
        </w:tc>
        <w:tc>
          <w:tcPr>
            <w:tcW w:type="dxa" w:w="1872"/>
            <w:tblHeader w:val="true"/>
            <w:shd w:val="clear" w:color="auto" w:fill="2C3E50"/>
          </w:tcPr>
          <w:p>
            <w:pPr>
              <w:jc w:val="center"/>
            </w:pPr>
            <w:r/>
            <w:r>
              <w:rPr>
                <w:b/>
                <w:color w:val="FFFFFF"/>
                <w:sz w:val="18"/>
              </w:rPr>
              <w:t>Sigma</w:t>
            </w:r>
          </w:p>
        </w:tc>
        <w:tc>
          <w:tcPr>
            <w:tcW w:type="dxa" w:w="1872"/>
            <w:tblHeader w:val="true"/>
            <w:shd w:val="clear" w:color="auto" w:fill="2C3E50"/>
          </w:tcPr>
          <w:p>
            <w:pPr>
              <w:jc w:val="center"/>
            </w:pPr>
            <w:r/>
            <w:r>
              <w:rPr>
                <w:b/>
                <w:color w:val="FFFFFF"/>
                <w:sz w:val="18"/>
              </w:rPr>
              <w:t>Stability_Pct</w:t>
            </w:r>
          </w:p>
        </w:tc>
        <w:tc>
          <w:tcPr>
            <w:tcW w:type="dxa" w:w="1872"/>
            <w:tblHeader w:val="true"/>
            <w:shd w:val="clear" w:color="auto" w:fill="2C3E50"/>
          </w:tcPr>
          <w:p>
            <w:pPr>
              <w:jc w:val="center"/>
            </w:pPr>
            <w:r/>
            <w:r>
              <w:rPr>
                <w:b/>
                <w:color w:val="FFFFFF"/>
                <w:sz w:val="18"/>
              </w:rPr>
              <w:t>Mean_DWL_$B</w:t>
            </w:r>
          </w:p>
        </w:tc>
        <w:tc>
          <w:tcPr>
            <w:tcW w:type="dxa" w:w="1872"/>
            <w:tblHeader w:val="true"/>
            <w:shd w:val="clear" w:color="auto" w:fill="2C3E50"/>
          </w:tcPr>
          <w:p>
            <w:pPr>
              <w:jc w:val="center"/>
            </w:pPr>
            <w:r/>
            <w:r>
              <w:rPr>
                <w:b/>
                <w:color w:val="FFFFFF"/>
                <w:sz w:val="18"/>
              </w:rPr>
              <w:t>Verdict</w:t>
            </w:r>
          </w:p>
        </w:tc>
      </w:tr>
      <w:tr>
        <w:tc>
          <w:tcPr>
            <w:tcW w:type="dxa" w:w="1872"/>
          </w:tcPr>
          <w:p>
            <w:pPr>
              <w:spacing w:after="0"/>
            </w:pPr>
            <w:r/>
            <w:r>
              <w:rPr>
                <w:sz w:val="17"/>
              </w:rPr>
              <w:t>Hardware-Cloud Providers</w:t>
            </w:r>
          </w:p>
        </w:tc>
        <w:tc>
          <w:tcPr>
            <w:tcW w:type="dxa" w:w="1872"/>
          </w:tcPr>
          <w:p>
            <w:pPr>
              <w:spacing w:after="0"/>
            </w:pPr>
            <w:r/>
            <w:r>
              <w:rPr>
                <w:sz w:val="17"/>
              </w:rPr>
              <w:t>0.03</w:t>
            </w:r>
          </w:p>
        </w:tc>
        <w:tc>
          <w:tcPr>
            <w:tcW w:type="dxa" w:w="1872"/>
          </w:tcPr>
          <w:p>
            <w:pPr>
              <w:spacing w:after="0"/>
            </w:pPr>
            <w:r/>
            <w:r>
              <w:rPr>
                <w:sz w:val="17"/>
              </w:rPr>
              <w:t>77.27</w:t>
            </w:r>
          </w:p>
        </w:tc>
        <w:tc>
          <w:tcPr>
            <w:tcW w:type="dxa" w:w="1872"/>
          </w:tcPr>
          <w:p>
            <w:pPr>
              <w:spacing w:after="0"/>
            </w:pPr>
            <w:r/>
            <w:r>
              <w:rPr>
                <w:sz w:val="17"/>
              </w:rPr>
              <w:t>52.72</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Hardware-Foundation Models</w:t>
            </w:r>
          </w:p>
        </w:tc>
        <w:tc>
          <w:tcPr>
            <w:tcW w:type="dxa" w:w="1872"/>
            <w:shd w:val="clear" w:color="auto" w:fill="EDF1F5"/>
          </w:tcPr>
          <w:p>
            <w:pPr>
              <w:spacing w:after="0"/>
            </w:pPr>
            <w:r/>
            <w:r>
              <w:rPr>
                <w:sz w:val="17"/>
              </w:rPr>
              <w:t>0.03</w:t>
            </w:r>
          </w:p>
        </w:tc>
        <w:tc>
          <w:tcPr>
            <w:tcW w:type="dxa" w:w="1872"/>
            <w:shd w:val="clear" w:color="auto" w:fill="EDF1F5"/>
          </w:tcPr>
          <w:p>
            <w:pPr>
              <w:spacing w:after="0"/>
            </w:pPr>
            <w:r/>
            <w:r>
              <w:rPr>
                <w:sz w:val="17"/>
              </w:rPr>
              <w:t>98.69</w:t>
            </w:r>
          </w:p>
        </w:tc>
        <w:tc>
          <w:tcPr>
            <w:tcW w:type="dxa" w:w="1872"/>
            <w:shd w:val="clear" w:color="auto" w:fill="EDF1F5"/>
          </w:tcPr>
          <w:p>
            <w:pPr>
              <w:spacing w:after="0"/>
            </w:pPr>
            <w:r/>
            <w:r>
              <w:rPr>
                <w:sz w:val="17"/>
              </w:rPr>
              <w:t>205.58</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Hardware-LLM Wrappers</w:t>
            </w:r>
          </w:p>
        </w:tc>
        <w:tc>
          <w:tcPr>
            <w:tcW w:type="dxa" w:w="1872"/>
          </w:tcPr>
          <w:p>
            <w:pPr>
              <w:spacing w:after="0"/>
            </w:pPr>
            <w:r/>
            <w:r>
              <w:rPr>
                <w:sz w:val="17"/>
              </w:rPr>
              <w:t>0.03</w:t>
            </w:r>
          </w:p>
        </w:tc>
        <w:tc>
          <w:tcPr>
            <w:tcW w:type="dxa" w:w="1872"/>
          </w:tcPr>
          <w:p>
            <w:pPr>
              <w:spacing w:after="0"/>
            </w:pPr>
            <w:r/>
            <w:r>
              <w:rPr>
                <w:sz w:val="17"/>
              </w:rPr>
              <w:t>100</w:t>
            </w:r>
          </w:p>
        </w:tc>
        <w:tc>
          <w:tcPr>
            <w:tcW w:type="dxa" w:w="1872"/>
          </w:tcPr>
          <w:p>
            <w:pPr>
              <w:spacing w:after="0"/>
            </w:pPr>
            <w:r/>
            <w:r>
              <w:rPr>
                <w:sz w:val="17"/>
              </w:rPr>
              <w:t>247.46</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Cloud Providers-Foundation Models</w:t>
            </w:r>
          </w:p>
        </w:tc>
        <w:tc>
          <w:tcPr>
            <w:tcW w:type="dxa" w:w="1872"/>
            <w:shd w:val="clear" w:color="auto" w:fill="EDF1F5"/>
          </w:tcPr>
          <w:p>
            <w:pPr>
              <w:spacing w:after="0"/>
            </w:pPr>
            <w:r/>
            <w:r>
              <w:rPr>
                <w:sz w:val="17"/>
              </w:rPr>
              <w:t>0.03</w:t>
            </w:r>
          </w:p>
        </w:tc>
        <w:tc>
          <w:tcPr>
            <w:tcW w:type="dxa" w:w="1872"/>
            <w:shd w:val="clear" w:color="auto" w:fill="EDF1F5"/>
          </w:tcPr>
          <w:p>
            <w:pPr>
              <w:spacing w:after="0"/>
            </w:pPr>
            <w:r/>
            <w:r>
              <w:rPr>
                <w:sz w:val="17"/>
              </w:rPr>
              <w:t>98.73</w:t>
            </w:r>
          </w:p>
        </w:tc>
        <w:tc>
          <w:tcPr>
            <w:tcW w:type="dxa" w:w="1872"/>
            <w:shd w:val="clear" w:color="auto" w:fill="EDF1F5"/>
          </w:tcPr>
          <w:p>
            <w:pPr>
              <w:spacing w:after="0"/>
            </w:pPr>
            <w:r/>
            <w:r>
              <w:rPr>
                <w:sz w:val="17"/>
              </w:rPr>
              <w:t>141.56</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Cloud Providers-LLM Wrappers</w:t>
            </w:r>
          </w:p>
        </w:tc>
        <w:tc>
          <w:tcPr>
            <w:tcW w:type="dxa" w:w="1872"/>
          </w:tcPr>
          <w:p>
            <w:pPr>
              <w:spacing w:after="0"/>
            </w:pPr>
            <w:r/>
            <w:r>
              <w:rPr>
                <w:sz w:val="17"/>
              </w:rPr>
              <w:t>0.03</w:t>
            </w:r>
          </w:p>
        </w:tc>
        <w:tc>
          <w:tcPr>
            <w:tcW w:type="dxa" w:w="1872"/>
          </w:tcPr>
          <w:p>
            <w:pPr>
              <w:spacing w:after="0"/>
            </w:pPr>
            <w:r/>
            <w:r>
              <w:rPr>
                <w:sz w:val="17"/>
              </w:rPr>
              <w:t>100</w:t>
            </w:r>
          </w:p>
        </w:tc>
        <w:tc>
          <w:tcPr>
            <w:tcW w:type="dxa" w:w="1872"/>
          </w:tcPr>
          <w:p>
            <w:pPr>
              <w:spacing w:after="0"/>
            </w:pPr>
            <w:r/>
            <w:r>
              <w:rPr>
                <w:sz w:val="17"/>
              </w:rPr>
              <w:t>180.62</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Foundation Models-LLM Wrappers</w:t>
            </w:r>
          </w:p>
        </w:tc>
        <w:tc>
          <w:tcPr>
            <w:tcW w:type="dxa" w:w="1872"/>
            <w:shd w:val="clear" w:color="auto" w:fill="EDF1F5"/>
          </w:tcPr>
          <w:p>
            <w:pPr>
              <w:spacing w:after="0"/>
            </w:pPr>
            <w:r/>
            <w:r>
              <w:rPr>
                <w:sz w:val="17"/>
              </w:rPr>
              <w:t>0.03</w:t>
            </w:r>
          </w:p>
        </w:tc>
        <w:tc>
          <w:tcPr>
            <w:tcW w:type="dxa" w:w="1872"/>
            <w:shd w:val="clear" w:color="auto" w:fill="EDF1F5"/>
          </w:tcPr>
          <w:p>
            <w:pPr>
              <w:spacing w:after="0"/>
            </w:pPr>
            <w:r/>
            <w:r>
              <w:rPr>
                <w:sz w:val="17"/>
              </w:rPr>
              <w:t>81.39</w:t>
            </w:r>
          </w:p>
        </w:tc>
        <w:tc>
          <w:tcPr>
            <w:tcW w:type="dxa" w:w="1872"/>
            <w:shd w:val="clear" w:color="auto" w:fill="EDF1F5"/>
          </w:tcPr>
          <w:p>
            <w:pPr>
              <w:spacing w:after="0"/>
            </w:pPr>
            <w:r/>
            <w:r>
              <w:rPr>
                <w:sz w:val="17"/>
              </w:rPr>
              <w:t>29.17</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Hardware-Cloud Providers</w:t>
            </w:r>
          </w:p>
        </w:tc>
        <w:tc>
          <w:tcPr>
            <w:tcW w:type="dxa" w:w="1872"/>
          </w:tcPr>
          <w:p>
            <w:pPr>
              <w:spacing w:after="0"/>
            </w:pPr>
            <w:r/>
            <w:r>
              <w:rPr>
                <w:sz w:val="17"/>
              </w:rPr>
              <w:t>0.05</w:t>
            </w:r>
          </w:p>
        </w:tc>
        <w:tc>
          <w:tcPr>
            <w:tcW w:type="dxa" w:w="1872"/>
          </w:tcPr>
          <w:p>
            <w:pPr>
              <w:spacing w:after="0"/>
            </w:pPr>
            <w:r/>
            <w:r>
              <w:rPr>
                <w:sz w:val="17"/>
              </w:rPr>
              <w:t>63.73</w:t>
            </w:r>
          </w:p>
        </w:tc>
        <w:tc>
          <w:tcPr>
            <w:tcW w:type="dxa" w:w="1872"/>
          </w:tcPr>
          <w:p>
            <w:pPr>
              <w:spacing w:after="0"/>
            </w:pPr>
            <w:r/>
            <w:r>
              <w:rPr>
                <w:sz w:val="17"/>
              </w:rPr>
              <w:t>61.28</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Hardware-Foundation Models</w:t>
            </w:r>
          </w:p>
        </w:tc>
        <w:tc>
          <w:tcPr>
            <w:tcW w:type="dxa" w:w="1872"/>
            <w:shd w:val="clear" w:color="auto" w:fill="EDF1F5"/>
          </w:tcPr>
          <w:p>
            <w:pPr>
              <w:spacing w:after="0"/>
            </w:pPr>
            <w:r/>
            <w:r>
              <w:rPr>
                <w:sz w:val="17"/>
              </w:rPr>
              <w:t>0.05</w:t>
            </w:r>
          </w:p>
        </w:tc>
        <w:tc>
          <w:tcPr>
            <w:tcW w:type="dxa" w:w="1872"/>
            <w:shd w:val="clear" w:color="auto" w:fill="EDF1F5"/>
          </w:tcPr>
          <w:p>
            <w:pPr>
              <w:spacing w:after="0"/>
            </w:pPr>
            <w:r/>
            <w:r>
              <w:rPr>
                <w:sz w:val="17"/>
              </w:rPr>
              <w:t>80.99</w:t>
            </w:r>
          </w:p>
        </w:tc>
        <w:tc>
          <w:tcPr>
            <w:tcW w:type="dxa" w:w="1872"/>
            <w:shd w:val="clear" w:color="auto" w:fill="EDF1F5"/>
          </w:tcPr>
          <w:p>
            <w:pPr>
              <w:spacing w:after="0"/>
            </w:pPr>
            <w:r/>
            <w:r>
              <w:rPr>
                <w:sz w:val="17"/>
              </w:rPr>
              <w:t>198.55</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Hardware-LLM Wrappers</w:t>
            </w:r>
          </w:p>
        </w:tc>
        <w:tc>
          <w:tcPr>
            <w:tcW w:type="dxa" w:w="1872"/>
          </w:tcPr>
          <w:p>
            <w:pPr>
              <w:spacing w:after="0"/>
            </w:pPr>
            <w:r/>
            <w:r>
              <w:rPr>
                <w:sz w:val="17"/>
              </w:rPr>
              <w:t>0.05</w:t>
            </w:r>
          </w:p>
        </w:tc>
        <w:tc>
          <w:tcPr>
            <w:tcW w:type="dxa" w:w="1872"/>
          </w:tcPr>
          <w:p>
            <w:pPr>
              <w:spacing w:after="0"/>
            </w:pPr>
            <w:r/>
            <w:r>
              <w:rPr>
                <w:sz w:val="17"/>
              </w:rPr>
              <w:t>97.14</w:t>
            </w:r>
          </w:p>
        </w:tc>
        <w:tc>
          <w:tcPr>
            <w:tcW w:type="dxa" w:w="1872"/>
          </w:tcPr>
          <w:p>
            <w:pPr>
              <w:spacing w:after="0"/>
            </w:pPr>
            <w:r/>
            <w:r>
              <w:rPr>
                <w:sz w:val="17"/>
              </w:rPr>
              <w:t>241.19</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Cloud Providers-Foundation Models</w:t>
            </w:r>
          </w:p>
        </w:tc>
        <w:tc>
          <w:tcPr>
            <w:tcW w:type="dxa" w:w="1872"/>
            <w:shd w:val="clear" w:color="auto" w:fill="EDF1F5"/>
          </w:tcPr>
          <w:p>
            <w:pPr>
              <w:spacing w:after="0"/>
            </w:pPr>
            <w:r/>
            <w:r>
              <w:rPr>
                <w:sz w:val="17"/>
              </w:rPr>
              <w:t>0.05</w:t>
            </w:r>
          </w:p>
        </w:tc>
        <w:tc>
          <w:tcPr>
            <w:tcW w:type="dxa" w:w="1872"/>
            <w:shd w:val="clear" w:color="auto" w:fill="EDF1F5"/>
          </w:tcPr>
          <w:p>
            <w:pPr>
              <w:spacing w:after="0"/>
            </w:pPr>
            <w:r/>
            <w:r>
              <w:rPr>
                <w:sz w:val="17"/>
              </w:rPr>
              <w:t>80.64</w:t>
            </w:r>
          </w:p>
        </w:tc>
        <w:tc>
          <w:tcPr>
            <w:tcW w:type="dxa" w:w="1872"/>
            <w:shd w:val="clear" w:color="auto" w:fill="EDF1F5"/>
          </w:tcPr>
          <w:p>
            <w:pPr>
              <w:spacing w:after="0"/>
            </w:pPr>
            <w:r/>
            <w:r>
              <w:rPr>
                <w:sz w:val="17"/>
              </w:rPr>
              <w:t>137.93</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Cloud Providers-LLM Wrappers</w:t>
            </w:r>
          </w:p>
        </w:tc>
        <w:tc>
          <w:tcPr>
            <w:tcW w:type="dxa" w:w="1872"/>
          </w:tcPr>
          <w:p>
            <w:pPr>
              <w:spacing w:after="0"/>
            </w:pPr>
            <w:r/>
            <w:r>
              <w:rPr>
                <w:sz w:val="17"/>
              </w:rPr>
              <w:t>0.05</w:t>
            </w:r>
          </w:p>
        </w:tc>
        <w:tc>
          <w:tcPr>
            <w:tcW w:type="dxa" w:w="1872"/>
          </w:tcPr>
          <w:p>
            <w:pPr>
              <w:spacing w:after="0"/>
            </w:pPr>
            <w:r/>
            <w:r>
              <w:rPr>
                <w:sz w:val="17"/>
              </w:rPr>
              <w:t>97.49</w:t>
            </w:r>
          </w:p>
        </w:tc>
        <w:tc>
          <w:tcPr>
            <w:tcW w:type="dxa" w:w="1872"/>
          </w:tcPr>
          <w:p>
            <w:pPr>
              <w:spacing w:after="0"/>
            </w:pPr>
            <w:r/>
            <w:r>
              <w:rPr>
                <w:sz w:val="17"/>
              </w:rPr>
              <w:t>177.26</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Foundation Models-LLM Wrappers</w:t>
            </w:r>
          </w:p>
        </w:tc>
        <w:tc>
          <w:tcPr>
            <w:tcW w:type="dxa" w:w="1872"/>
            <w:shd w:val="clear" w:color="auto" w:fill="EDF1F5"/>
          </w:tcPr>
          <w:p>
            <w:pPr>
              <w:spacing w:after="0"/>
            </w:pPr>
            <w:r/>
            <w:r>
              <w:rPr>
                <w:sz w:val="17"/>
              </w:rPr>
              <w:t>0.05</w:t>
            </w:r>
          </w:p>
        </w:tc>
        <w:tc>
          <w:tcPr>
            <w:tcW w:type="dxa" w:w="1872"/>
            <w:shd w:val="clear" w:color="auto" w:fill="EDF1F5"/>
          </w:tcPr>
          <w:p>
            <w:pPr>
              <w:spacing w:after="0"/>
            </w:pPr>
            <w:r/>
            <w:r>
              <w:rPr>
                <w:sz w:val="17"/>
              </w:rPr>
              <w:t>60.99</w:t>
            </w:r>
          </w:p>
        </w:tc>
        <w:tc>
          <w:tcPr>
            <w:tcW w:type="dxa" w:w="1872"/>
            <w:shd w:val="clear" w:color="auto" w:fill="EDF1F5"/>
          </w:tcPr>
          <w:p>
            <w:pPr>
              <w:spacing w:after="0"/>
            </w:pPr>
            <w:r/>
            <w:r>
              <w:rPr>
                <w:sz w:val="17"/>
              </w:rPr>
              <w:t>25.53</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Hardware-Cloud Providers</w:t>
            </w:r>
          </w:p>
        </w:tc>
        <w:tc>
          <w:tcPr>
            <w:tcW w:type="dxa" w:w="1872"/>
          </w:tcPr>
          <w:p>
            <w:pPr>
              <w:spacing w:after="0"/>
            </w:pPr>
            <w:r/>
            <w:r>
              <w:rPr>
                <w:sz w:val="17"/>
              </w:rPr>
              <w:t>0.10</w:t>
            </w:r>
          </w:p>
        </w:tc>
        <w:tc>
          <w:tcPr>
            <w:tcW w:type="dxa" w:w="1872"/>
          </w:tcPr>
          <w:p>
            <w:pPr>
              <w:spacing w:after="0"/>
            </w:pPr>
            <w:r/>
            <w:r>
              <w:rPr>
                <w:sz w:val="17"/>
              </w:rPr>
              <w:t>53.52</w:t>
            </w:r>
          </w:p>
        </w:tc>
        <w:tc>
          <w:tcPr>
            <w:tcW w:type="dxa" w:w="1872"/>
          </w:tcPr>
          <w:p>
            <w:pPr>
              <w:spacing w:after="0"/>
            </w:pPr>
            <w:r/>
            <w:r>
              <w:rPr>
                <w:sz w:val="17"/>
              </w:rPr>
              <w:t>74.13</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Hardware-Foundation Models</w:t>
            </w:r>
          </w:p>
        </w:tc>
        <w:tc>
          <w:tcPr>
            <w:tcW w:type="dxa" w:w="1872"/>
            <w:shd w:val="clear" w:color="auto" w:fill="EDF1F5"/>
          </w:tcPr>
          <w:p>
            <w:pPr>
              <w:spacing w:after="0"/>
            </w:pPr>
            <w:r/>
            <w:r>
              <w:rPr>
                <w:sz w:val="17"/>
              </w:rPr>
              <w:t>0.10</w:t>
            </w:r>
          </w:p>
        </w:tc>
        <w:tc>
          <w:tcPr>
            <w:tcW w:type="dxa" w:w="1872"/>
            <w:shd w:val="clear" w:color="auto" w:fill="EDF1F5"/>
          </w:tcPr>
          <w:p>
            <w:pPr>
              <w:spacing w:after="0"/>
            </w:pPr>
            <w:r/>
            <w:r>
              <w:rPr>
                <w:sz w:val="17"/>
              </w:rPr>
              <w:t>54.92</w:t>
            </w:r>
          </w:p>
        </w:tc>
        <w:tc>
          <w:tcPr>
            <w:tcW w:type="dxa" w:w="1872"/>
            <w:shd w:val="clear" w:color="auto" w:fill="EDF1F5"/>
          </w:tcPr>
          <w:p>
            <w:pPr>
              <w:spacing w:after="0"/>
            </w:pPr>
            <w:r/>
            <w:r>
              <w:rPr>
                <w:sz w:val="17"/>
              </w:rPr>
              <w:t>168.60</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Hardware-LLM Wrappers</w:t>
            </w:r>
          </w:p>
        </w:tc>
        <w:tc>
          <w:tcPr>
            <w:tcW w:type="dxa" w:w="1872"/>
          </w:tcPr>
          <w:p>
            <w:pPr>
              <w:spacing w:after="0"/>
            </w:pPr>
            <w:r/>
            <w:r>
              <w:rPr>
                <w:sz w:val="17"/>
              </w:rPr>
              <w:t>0.10</w:t>
            </w:r>
          </w:p>
        </w:tc>
        <w:tc>
          <w:tcPr>
            <w:tcW w:type="dxa" w:w="1872"/>
          </w:tcPr>
          <w:p>
            <w:pPr>
              <w:spacing w:after="0"/>
            </w:pPr>
            <w:r/>
            <w:r>
              <w:rPr>
                <w:sz w:val="17"/>
              </w:rPr>
              <w:t>75.14</w:t>
            </w:r>
          </w:p>
        </w:tc>
        <w:tc>
          <w:tcPr>
            <w:tcW w:type="dxa" w:w="1872"/>
          </w:tcPr>
          <w:p>
            <w:pPr>
              <w:spacing w:after="0"/>
            </w:pPr>
            <w:r/>
            <w:r>
              <w:rPr>
                <w:sz w:val="17"/>
              </w:rPr>
              <w:t>202.63</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Cloud Providers-Foundation Models</w:t>
            </w:r>
          </w:p>
        </w:tc>
        <w:tc>
          <w:tcPr>
            <w:tcW w:type="dxa" w:w="1872"/>
            <w:shd w:val="clear" w:color="auto" w:fill="EDF1F5"/>
          </w:tcPr>
          <w:p>
            <w:pPr>
              <w:spacing w:after="0"/>
            </w:pPr>
            <w:r/>
            <w:r>
              <w:rPr>
                <w:sz w:val="17"/>
              </w:rPr>
              <w:t>0.10</w:t>
            </w:r>
          </w:p>
        </w:tc>
        <w:tc>
          <w:tcPr>
            <w:tcW w:type="dxa" w:w="1872"/>
            <w:shd w:val="clear" w:color="auto" w:fill="EDF1F5"/>
          </w:tcPr>
          <w:p>
            <w:pPr>
              <w:spacing w:after="0"/>
            </w:pPr>
            <w:r/>
            <w:r>
              <w:rPr>
                <w:sz w:val="17"/>
              </w:rPr>
              <w:t>54.15</w:t>
            </w:r>
          </w:p>
        </w:tc>
        <w:tc>
          <w:tcPr>
            <w:tcW w:type="dxa" w:w="1872"/>
            <w:shd w:val="clear" w:color="auto" w:fill="EDF1F5"/>
          </w:tcPr>
          <w:p>
            <w:pPr>
              <w:spacing w:after="0"/>
            </w:pPr>
            <w:r/>
            <w:r>
              <w:rPr>
                <w:sz w:val="17"/>
              </w:rPr>
              <w:t>119.67</w:t>
            </w:r>
          </w:p>
        </w:tc>
        <w:tc>
          <w:tcPr>
            <w:tcW w:type="dxa" w:w="1872"/>
            <w:shd w:val="clear" w:color="auto" w:fill="EDF1F5"/>
          </w:tcPr>
          <w:p>
            <w:pPr>
              <w:spacing w:after="0"/>
            </w:pPr>
            <w:r/>
            <w:r>
              <w:rPr>
                <w:sz w:val="17"/>
              </w:rPr>
              <w:t>rank preserved (min Spearman 1.000)</w:t>
            </w:r>
          </w:p>
        </w:tc>
      </w:tr>
      <w:tr>
        <w:tc>
          <w:tcPr>
            <w:tcW w:type="dxa" w:w="1872"/>
          </w:tcPr>
          <w:p>
            <w:pPr>
              <w:spacing w:after="0"/>
            </w:pPr>
            <w:r/>
            <w:r>
              <w:rPr>
                <w:sz w:val="17"/>
              </w:rPr>
              <w:t>Cloud Providers-LLM Wrappers</w:t>
            </w:r>
          </w:p>
        </w:tc>
        <w:tc>
          <w:tcPr>
            <w:tcW w:type="dxa" w:w="1872"/>
          </w:tcPr>
          <w:p>
            <w:pPr>
              <w:spacing w:after="0"/>
            </w:pPr>
            <w:r/>
            <w:r>
              <w:rPr>
                <w:sz w:val="17"/>
              </w:rPr>
              <w:t>0.10</w:t>
            </w:r>
          </w:p>
        </w:tc>
        <w:tc>
          <w:tcPr>
            <w:tcW w:type="dxa" w:w="1872"/>
          </w:tcPr>
          <w:p>
            <w:pPr>
              <w:spacing w:after="0"/>
            </w:pPr>
            <w:r/>
            <w:r>
              <w:rPr>
                <w:sz w:val="17"/>
              </w:rPr>
              <w:t>76.11</w:t>
            </w:r>
          </w:p>
        </w:tc>
        <w:tc>
          <w:tcPr>
            <w:tcW w:type="dxa" w:w="1872"/>
          </w:tcPr>
          <w:p>
            <w:pPr>
              <w:spacing w:after="0"/>
            </w:pPr>
            <w:r/>
            <w:r>
              <w:rPr>
                <w:sz w:val="17"/>
              </w:rPr>
              <w:t>150.79</w:t>
            </w:r>
          </w:p>
        </w:tc>
        <w:tc>
          <w:tcPr>
            <w:tcW w:type="dxa" w:w="1872"/>
          </w:tcPr>
          <w:p>
            <w:pPr>
              <w:spacing w:after="0"/>
            </w:pPr>
            <w:r/>
            <w:r>
              <w:rPr>
                <w:sz w:val="17"/>
              </w:rPr>
              <w:t>rank preserved (min Spearman 1.000)</w:t>
            </w:r>
          </w:p>
        </w:tc>
      </w:tr>
      <w:tr>
        <w:tc>
          <w:tcPr>
            <w:tcW w:type="dxa" w:w="1872"/>
            <w:shd w:val="clear" w:color="auto" w:fill="EDF1F5"/>
          </w:tcPr>
          <w:p>
            <w:pPr>
              <w:spacing w:after="0"/>
            </w:pPr>
            <w:r/>
            <w:r>
              <w:rPr>
                <w:sz w:val="17"/>
              </w:rPr>
              <w:t>Foundation Models-LLM Wrappers</w:t>
            </w:r>
          </w:p>
        </w:tc>
        <w:tc>
          <w:tcPr>
            <w:tcW w:type="dxa" w:w="1872"/>
            <w:shd w:val="clear" w:color="auto" w:fill="EDF1F5"/>
          </w:tcPr>
          <w:p>
            <w:pPr>
              <w:spacing w:after="0"/>
            </w:pPr>
            <w:r/>
            <w:r>
              <w:rPr>
                <w:sz w:val="17"/>
              </w:rPr>
              <w:t>0.10</w:t>
            </w:r>
          </w:p>
        </w:tc>
        <w:tc>
          <w:tcPr>
            <w:tcW w:type="dxa" w:w="1872"/>
            <w:shd w:val="clear" w:color="auto" w:fill="EDF1F5"/>
          </w:tcPr>
          <w:p>
            <w:pPr>
              <w:spacing w:after="0"/>
            </w:pPr>
            <w:r/>
            <w:r>
              <w:rPr>
                <w:sz w:val="17"/>
              </w:rPr>
              <w:t>43.21</w:t>
            </w:r>
          </w:p>
        </w:tc>
        <w:tc>
          <w:tcPr>
            <w:tcW w:type="dxa" w:w="1872"/>
            <w:shd w:val="clear" w:color="auto" w:fill="EDF1F5"/>
          </w:tcPr>
          <w:p>
            <w:pPr>
              <w:spacing w:after="0"/>
            </w:pPr>
            <w:r/>
            <w:r>
              <w:rPr>
                <w:sz w:val="17"/>
              </w:rPr>
              <w:t>23.39</w:t>
            </w:r>
          </w:p>
        </w:tc>
        <w:tc>
          <w:tcPr>
            <w:tcW w:type="dxa" w:w="1872"/>
            <w:shd w:val="clear" w:color="auto" w:fill="EDF1F5"/>
          </w:tcPr>
          <w:p>
            <w:pPr>
              <w:spacing w:after="0"/>
            </w:pPr>
            <w:r/>
            <w:r>
              <w:rPr>
                <w:sz w:val="17"/>
              </w:rPr>
              <w:t>rank preserved (min Spearman 1.000)</w:t>
            </w:r>
          </w:p>
        </w:tc>
      </w:tr>
    </w:tbl>
    <w:p>
      <w:pPr>
        <w:spacing w:after="80"/>
      </w:pPr>
      <w:r>
        <w:rPr>
          <w:sz w:val="4"/>
        </w:rPr>
      </w:r>
    </w:p>
    <w:p>
      <w:pPr>
        <w:keepNext/>
        <w:spacing w:before="200" w:after="40"/>
      </w:pPr>
      <w:r>
        <w:rPr>
          <w:b/>
          <w:color w:val="2C3E50"/>
          <w:sz w:val="20"/>
        </w:rPr>
        <w:t>Table 8.4: Saltelli Variance Decomposition (also in Section 6)</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blHeader w:val="true"/>
            <w:shd w:val="clear" w:color="auto" w:fill="2C3E50"/>
          </w:tcPr>
          <w:p>
            <w:pPr>
              <w:jc w:val="center"/>
            </w:pPr>
            <w:r/>
            <w:r>
              <w:rPr>
                <w:b/>
                <w:color w:val="FFFFFF"/>
                <w:sz w:val="18"/>
              </w:rPr>
              <w:t>Parameter</w:t>
            </w:r>
          </w:p>
        </w:tc>
        <w:tc>
          <w:tcPr>
            <w:tcW w:type="dxa" w:w="1337"/>
            <w:tblHeader w:val="true"/>
            <w:shd w:val="clear" w:color="auto" w:fill="2C3E50"/>
          </w:tcPr>
          <w:p>
            <w:pPr>
              <w:jc w:val="center"/>
            </w:pPr>
            <w:r/>
            <w:r>
              <w:rPr>
                <w:b/>
                <w:color w:val="FFFFFF"/>
                <w:sz w:val="18"/>
              </w:rPr>
              <w:t>S1</w:t>
            </w:r>
          </w:p>
        </w:tc>
        <w:tc>
          <w:tcPr>
            <w:tcW w:type="dxa" w:w="1337"/>
            <w:tblHeader w:val="true"/>
            <w:shd w:val="clear" w:color="auto" w:fill="2C3E50"/>
          </w:tcPr>
          <w:p>
            <w:pPr>
              <w:jc w:val="center"/>
            </w:pPr>
            <w:r/>
            <w:r>
              <w:rPr>
                <w:b/>
                <w:color w:val="FFFFFF"/>
                <w:sz w:val="18"/>
              </w:rPr>
              <w:t>S1_95_lo</w:t>
            </w:r>
          </w:p>
        </w:tc>
        <w:tc>
          <w:tcPr>
            <w:tcW w:type="dxa" w:w="1337"/>
            <w:tblHeader w:val="true"/>
            <w:shd w:val="clear" w:color="auto" w:fill="2C3E50"/>
          </w:tcPr>
          <w:p>
            <w:pPr>
              <w:jc w:val="center"/>
            </w:pPr>
            <w:r/>
            <w:r>
              <w:rPr>
                <w:b/>
                <w:color w:val="FFFFFF"/>
                <w:sz w:val="18"/>
              </w:rPr>
              <w:t>S1_95_hi</w:t>
            </w:r>
          </w:p>
        </w:tc>
        <w:tc>
          <w:tcPr>
            <w:tcW w:type="dxa" w:w="1337"/>
            <w:tblHeader w:val="true"/>
            <w:shd w:val="clear" w:color="auto" w:fill="2C3E50"/>
          </w:tcPr>
          <w:p>
            <w:pPr>
              <w:jc w:val="center"/>
            </w:pPr>
            <w:r/>
            <w:r>
              <w:rPr>
                <w:b/>
                <w:color w:val="FFFFFF"/>
                <w:sz w:val="18"/>
              </w:rPr>
              <w:t>ST</w:t>
            </w:r>
          </w:p>
        </w:tc>
        <w:tc>
          <w:tcPr>
            <w:tcW w:type="dxa" w:w="1337"/>
            <w:tblHeader w:val="true"/>
            <w:shd w:val="clear" w:color="auto" w:fill="2C3E50"/>
          </w:tcPr>
          <w:p>
            <w:pPr>
              <w:jc w:val="center"/>
            </w:pPr>
            <w:r/>
            <w:r>
              <w:rPr>
                <w:b/>
                <w:color w:val="FFFFFF"/>
                <w:sz w:val="18"/>
              </w:rPr>
              <w:t>ST_95_lo</w:t>
            </w:r>
          </w:p>
        </w:tc>
        <w:tc>
          <w:tcPr>
            <w:tcW w:type="dxa" w:w="1337"/>
            <w:tblHeader w:val="true"/>
            <w:shd w:val="clear" w:color="auto" w:fill="2C3E50"/>
          </w:tcPr>
          <w:p>
            <w:pPr>
              <w:jc w:val="center"/>
            </w:pPr>
            <w:r/>
            <w:r>
              <w:rPr>
                <w:b/>
                <w:color w:val="FFFFFF"/>
                <w:sz w:val="18"/>
              </w:rPr>
              <w:t>ST_95_hi</w:t>
            </w:r>
          </w:p>
        </w:tc>
      </w:tr>
      <w:tr>
        <w:tc>
          <w:tcPr>
            <w:tcW w:type="dxa" w:w="1337"/>
          </w:tcPr>
          <w:p>
            <w:pPr>
              <w:spacing w:after="0"/>
            </w:pPr>
            <w:r/>
            <w:r>
              <w:rPr>
                <w:sz w:val="17"/>
              </w:rPr>
              <w:t>P1 revenue ($B)</w:t>
            </w:r>
          </w:p>
        </w:tc>
        <w:tc>
          <w:tcPr>
            <w:tcW w:type="dxa" w:w="1337"/>
          </w:tcPr>
          <w:p>
            <w:pPr>
              <w:spacing w:after="0"/>
            </w:pPr>
            <w:r/>
            <w:r>
              <w:rPr>
                <w:sz w:val="17"/>
              </w:rPr>
              <w:t>0.52</w:t>
            </w:r>
          </w:p>
        </w:tc>
        <w:tc>
          <w:tcPr>
            <w:tcW w:type="dxa" w:w="1337"/>
          </w:tcPr>
          <w:p>
            <w:pPr>
              <w:spacing w:after="0"/>
            </w:pPr>
            <w:r/>
            <w:r>
              <w:rPr>
                <w:sz w:val="17"/>
              </w:rPr>
              <w:t>0.44</w:t>
            </w:r>
          </w:p>
        </w:tc>
        <w:tc>
          <w:tcPr>
            <w:tcW w:type="dxa" w:w="1337"/>
          </w:tcPr>
          <w:p>
            <w:pPr>
              <w:spacing w:after="0"/>
            </w:pPr>
            <w:r/>
            <w:r>
              <w:rPr>
                <w:sz w:val="17"/>
              </w:rPr>
              <w:t>0.60</w:t>
            </w:r>
          </w:p>
        </w:tc>
        <w:tc>
          <w:tcPr>
            <w:tcW w:type="dxa" w:w="1337"/>
          </w:tcPr>
          <w:p>
            <w:pPr>
              <w:spacing w:after="0"/>
            </w:pPr>
            <w:r/>
            <w:r>
              <w:rPr>
                <w:sz w:val="17"/>
              </w:rPr>
              <w:t>0.47</w:t>
            </w:r>
          </w:p>
        </w:tc>
        <w:tc>
          <w:tcPr>
            <w:tcW w:type="dxa" w:w="1337"/>
          </w:tcPr>
          <w:p>
            <w:pPr>
              <w:spacing w:after="0"/>
            </w:pPr>
            <w:r/>
            <w:r>
              <w:rPr>
                <w:sz w:val="17"/>
              </w:rPr>
              <w:t>0.45</w:t>
            </w:r>
          </w:p>
        </w:tc>
        <w:tc>
          <w:tcPr>
            <w:tcW w:type="dxa" w:w="1337"/>
          </w:tcPr>
          <w:p>
            <w:pPr>
              <w:spacing w:after="0"/>
            </w:pPr>
            <w:r/>
            <w:r>
              <w:rPr>
                <w:sz w:val="17"/>
              </w:rPr>
              <w:t>0.50</w:t>
            </w:r>
          </w:p>
        </w:tc>
      </w:tr>
      <w:tr>
        <w:tc>
          <w:tcPr>
            <w:tcW w:type="dxa" w:w="1337"/>
            <w:shd w:val="clear" w:color="auto" w:fill="EDF1F5"/>
          </w:tcPr>
          <w:p>
            <w:pPr>
              <w:spacing w:after="0"/>
            </w:pPr>
            <w:r/>
            <w:r>
              <w:rPr>
                <w:sz w:val="17"/>
              </w:rPr>
              <w:t>P2 revenue ($B)</w:t>
            </w:r>
          </w:p>
        </w:tc>
        <w:tc>
          <w:tcPr>
            <w:tcW w:type="dxa" w:w="1337"/>
            <w:shd w:val="clear" w:color="auto" w:fill="EDF1F5"/>
          </w:tcPr>
          <w:p>
            <w:pPr>
              <w:spacing w:after="0"/>
            </w:pPr>
            <w:r/>
            <w:r>
              <w:rPr>
                <w:sz w:val="17"/>
              </w:rPr>
              <w:t>0.34</w:t>
            </w:r>
          </w:p>
        </w:tc>
        <w:tc>
          <w:tcPr>
            <w:tcW w:type="dxa" w:w="1337"/>
            <w:shd w:val="clear" w:color="auto" w:fill="EDF1F5"/>
          </w:tcPr>
          <w:p>
            <w:pPr>
              <w:spacing w:after="0"/>
            </w:pPr>
            <w:r/>
            <w:r>
              <w:rPr>
                <w:sz w:val="17"/>
              </w:rPr>
              <w:t>0.27</w:t>
            </w:r>
          </w:p>
        </w:tc>
        <w:tc>
          <w:tcPr>
            <w:tcW w:type="dxa" w:w="1337"/>
            <w:shd w:val="clear" w:color="auto" w:fill="EDF1F5"/>
          </w:tcPr>
          <w:p>
            <w:pPr>
              <w:spacing w:after="0"/>
            </w:pPr>
            <w:r/>
            <w:r>
              <w:rPr>
                <w:sz w:val="17"/>
              </w:rPr>
              <w:t>0.40</w:t>
            </w:r>
          </w:p>
        </w:tc>
        <w:tc>
          <w:tcPr>
            <w:tcW w:type="dxa" w:w="1337"/>
            <w:shd w:val="clear" w:color="auto" w:fill="EDF1F5"/>
          </w:tcPr>
          <w:p>
            <w:pPr>
              <w:spacing w:after="0"/>
            </w:pPr>
            <w:r/>
            <w:r>
              <w:rPr>
                <w:sz w:val="17"/>
              </w:rPr>
              <w:t>0.69</w:t>
            </w:r>
          </w:p>
        </w:tc>
        <w:tc>
          <w:tcPr>
            <w:tcW w:type="dxa" w:w="1337"/>
            <w:shd w:val="clear" w:color="auto" w:fill="EDF1F5"/>
          </w:tcPr>
          <w:p>
            <w:pPr>
              <w:spacing w:after="0"/>
            </w:pPr>
            <w:r/>
            <w:r>
              <w:rPr>
                <w:sz w:val="17"/>
              </w:rPr>
              <w:t>0.65</w:t>
            </w:r>
          </w:p>
        </w:tc>
        <w:tc>
          <w:tcPr>
            <w:tcW w:type="dxa" w:w="1337"/>
            <w:shd w:val="clear" w:color="auto" w:fill="EDF1F5"/>
          </w:tcPr>
          <w:p>
            <w:pPr>
              <w:spacing w:after="0"/>
            </w:pPr>
            <w:r/>
            <w:r>
              <w:rPr>
                <w:sz w:val="17"/>
              </w:rPr>
              <w:t>0.72</w:t>
            </w:r>
          </w:p>
        </w:tc>
      </w:tr>
      <w:tr>
        <w:tc>
          <w:tcPr>
            <w:tcW w:type="dxa" w:w="1337"/>
          </w:tcPr>
          <w:p>
            <w:pPr>
              <w:spacing w:after="0"/>
            </w:pPr>
            <w:r/>
            <w:r>
              <w:rPr>
                <w:sz w:val="17"/>
              </w:rPr>
              <w:t>P1 margin</w:t>
            </w:r>
          </w:p>
        </w:tc>
        <w:tc>
          <w:tcPr>
            <w:tcW w:type="dxa" w:w="1337"/>
          </w:tcPr>
          <w:p>
            <w:pPr>
              <w:spacing w:after="0"/>
            </w:pPr>
            <w:r/>
            <w:r>
              <w:rPr>
                <w:sz w:val="17"/>
              </w:rPr>
              <w:t>0.12</w:t>
            </w:r>
          </w:p>
        </w:tc>
        <w:tc>
          <w:tcPr>
            <w:tcW w:type="dxa" w:w="1337"/>
          </w:tcPr>
          <w:p>
            <w:pPr>
              <w:spacing w:after="0"/>
            </w:pPr>
            <w:r/>
            <w:r>
              <w:rPr>
                <w:sz w:val="17"/>
              </w:rPr>
              <w:t>0.07</w:t>
            </w:r>
          </w:p>
        </w:tc>
        <w:tc>
          <w:tcPr>
            <w:tcW w:type="dxa" w:w="1337"/>
          </w:tcPr>
          <w:p>
            <w:pPr>
              <w:spacing w:after="0"/>
            </w:pPr>
            <w:r/>
            <w:r>
              <w:rPr>
                <w:sz w:val="17"/>
              </w:rPr>
              <w:t>0.16</w:t>
            </w:r>
          </w:p>
        </w:tc>
        <w:tc>
          <w:tcPr>
            <w:tcW w:type="dxa" w:w="1337"/>
          </w:tcPr>
          <w:p>
            <w:pPr>
              <w:spacing w:after="0"/>
            </w:pPr>
            <w:r/>
            <w:r>
              <w:rPr>
                <w:sz w:val="17"/>
              </w:rPr>
              <w:t>0.87</w:t>
            </w:r>
          </w:p>
        </w:tc>
        <w:tc>
          <w:tcPr>
            <w:tcW w:type="dxa" w:w="1337"/>
          </w:tcPr>
          <w:p>
            <w:pPr>
              <w:spacing w:after="0"/>
            </w:pPr>
            <w:r/>
            <w:r>
              <w:rPr>
                <w:sz w:val="17"/>
              </w:rPr>
              <w:t>0.83</w:t>
            </w:r>
          </w:p>
        </w:tc>
        <w:tc>
          <w:tcPr>
            <w:tcW w:type="dxa" w:w="1337"/>
          </w:tcPr>
          <w:p>
            <w:pPr>
              <w:spacing w:after="0"/>
            </w:pPr>
            <w:r/>
            <w:r>
              <w:rPr>
                <w:sz w:val="17"/>
              </w:rPr>
              <w:t>0.91</w:t>
            </w:r>
          </w:p>
        </w:tc>
      </w:tr>
      <w:tr>
        <w:tc>
          <w:tcPr>
            <w:tcW w:type="dxa" w:w="1337"/>
            <w:shd w:val="clear" w:color="auto" w:fill="EDF1F5"/>
          </w:tcPr>
          <w:p>
            <w:pPr>
              <w:spacing w:after="0"/>
            </w:pPr>
            <w:r/>
            <w:r>
              <w:rPr>
                <w:sz w:val="17"/>
              </w:rPr>
              <w:t>P2 margin</w:t>
            </w:r>
          </w:p>
        </w:tc>
        <w:tc>
          <w:tcPr>
            <w:tcW w:type="dxa" w:w="1337"/>
            <w:shd w:val="clear" w:color="auto" w:fill="EDF1F5"/>
          </w:tcPr>
          <w:p>
            <w:pPr>
              <w:spacing w:after="0"/>
            </w:pPr>
            <w:r/>
            <w:r>
              <w:rPr>
                <w:sz w:val="17"/>
              </w:rPr>
              <w:t>0.03</w:t>
            </w:r>
          </w:p>
        </w:tc>
        <w:tc>
          <w:tcPr>
            <w:tcW w:type="dxa" w:w="1337"/>
            <w:shd w:val="clear" w:color="auto" w:fill="EDF1F5"/>
          </w:tcPr>
          <w:p>
            <w:pPr>
              <w:spacing w:after="0"/>
            </w:pPr>
            <w:r/>
            <w:r>
              <w:rPr>
                <w:sz w:val="17"/>
              </w:rPr>
              <w:t>0.01</w:t>
            </w:r>
          </w:p>
        </w:tc>
        <w:tc>
          <w:tcPr>
            <w:tcW w:type="dxa" w:w="1337"/>
            <w:shd w:val="clear" w:color="auto" w:fill="EDF1F5"/>
          </w:tcPr>
          <w:p>
            <w:pPr>
              <w:spacing w:after="0"/>
            </w:pPr>
            <w:r/>
            <w:r>
              <w:rPr>
                <w:sz w:val="17"/>
              </w:rPr>
              <w:t>0.06</w:t>
            </w:r>
          </w:p>
        </w:tc>
        <w:tc>
          <w:tcPr>
            <w:tcW w:type="dxa" w:w="1337"/>
            <w:shd w:val="clear" w:color="auto" w:fill="EDF1F5"/>
          </w:tcPr>
          <w:p>
            <w:pPr>
              <w:spacing w:after="0"/>
            </w:pPr>
            <w:r/>
            <w:r>
              <w:rPr>
                <w:sz w:val="17"/>
              </w:rPr>
              <w:t>0.94</w:t>
            </w:r>
          </w:p>
        </w:tc>
        <w:tc>
          <w:tcPr>
            <w:tcW w:type="dxa" w:w="1337"/>
            <w:shd w:val="clear" w:color="auto" w:fill="EDF1F5"/>
          </w:tcPr>
          <w:p>
            <w:pPr>
              <w:spacing w:after="0"/>
            </w:pPr>
            <w:r/>
            <w:r>
              <w:rPr>
                <w:sz w:val="17"/>
              </w:rPr>
              <w:t>0.90</w:t>
            </w:r>
          </w:p>
        </w:tc>
        <w:tc>
          <w:tcPr>
            <w:tcW w:type="dxa" w:w="1337"/>
            <w:shd w:val="clear" w:color="auto" w:fill="EDF1F5"/>
          </w:tcPr>
          <w:p>
            <w:pPr>
              <w:spacing w:after="0"/>
            </w:pPr>
            <w:r/>
            <w:r>
              <w:rPr>
                <w:sz w:val="17"/>
              </w:rPr>
              <w:t>0.98</w:t>
            </w:r>
          </w:p>
        </w:tc>
      </w:tr>
      <w:tr>
        <w:tc>
          <w:tcPr>
            <w:tcW w:type="dxa" w:w="1337"/>
          </w:tcPr>
          <w:p>
            <w:pPr>
              <w:spacing w:after="0"/>
            </w:pPr>
            <w:r/>
            <w:r>
              <w:rPr>
                <w:sz w:val="17"/>
              </w:rPr>
              <w:t>Shared circularity</w:t>
            </w:r>
          </w:p>
        </w:tc>
        <w:tc>
          <w:tcPr>
            <w:tcW w:type="dxa" w:w="1337"/>
          </w:tcPr>
          <w:p>
            <w:pPr>
              <w:spacing w:after="0"/>
            </w:pPr>
            <w:r/>
            <w:r>
              <w:rPr>
                <w:sz w:val="17"/>
              </w:rPr>
              <w:t>-0.00</w:t>
            </w:r>
          </w:p>
        </w:tc>
        <w:tc>
          <w:tcPr>
            <w:tcW w:type="dxa" w:w="1337"/>
          </w:tcPr>
          <w:p>
            <w:pPr>
              <w:spacing w:after="0"/>
            </w:pPr>
            <w:r/>
            <w:r>
              <w:rPr>
                <w:sz w:val="17"/>
              </w:rPr>
              <w:t>-0.01</w:t>
            </w:r>
          </w:p>
        </w:tc>
        <w:tc>
          <w:tcPr>
            <w:tcW w:type="dxa" w:w="1337"/>
          </w:tcPr>
          <w:p>
            <w:pPr>
              <w:spacing w:after="0"/>
            </w:pPr>
            <w:r/>
            <w:r>
              <w:rPr>
                <w:sz w:val="17"/>
              </w:rPr>
              <w:t>-0.00</w:t>
            </w:r>
          </w:p>
        </w:tc>
        <w:tc>
          <w:tcPr>
            <w:tcW w:type="dxa" w:w="1337"/>
          </w:tcPr>
          <w:p>
            <w:pPr>
              <w:spacing w:after="0"/>
            </w:pPr>
            <w:r/>
            <w:r>
              <w:rPr>
                <w:sz w:val="17"/>
              </w:rPr>
              <w:t>0.99</w:t>
            </w:r>
          </w:p>
        </w:tc>
        <w:tc>
          <w:tcPr>
            <w:tcW w:type="dxa" w:w="1337"/>
          </w:tcPr>
          <w:p>
            <w:pPr>
              <w:spacing w:after="0"/>
            </w:pPr>
            <w:r/>
            <w:r>
              <w:rPr>
                <w:sz w:val="17"/>
              </w:rPr>
              <w:t>0.95</w:t>
            </w:r>
          </w:p>
        </w:tc>
        <w:tc>
          <w:tcPr>
            <w:tcW w:type="dxa" w:w="1337"/>
          </w:tcPr>
          <w:p>
            <w:pPr>
              <w:spacing w:after="0"/>
            </w:pPr>
            <w:r/>
            <w:r>
              <w:rPr>
                <w:sz w:val="17"/>
              </w:rPr>
              <w:t>1.03</w:t>
            </w:r>
          </w:p>
        </w:tc>
      </w:tr>
    </w:tbl>
    <w:p>
      <w:pPr>
        <w:spacing w:after="80"/>
      </w:pPr>
      <w:r>
        <w:rPr>
          <w:sz w:val="4"/>
        </w:rPr>
      </w:r>
    </w:p>
    <w:p>
      <w:pPr>
        <w:keepNext/>
        <w:spacing w:before="200" w:after="40"/>
      </w:pPr>
      <w:r>
        <w:rPr>
          <w:b/>
          <w:color w:val="2C3E50"/>
          <w:sz w:val="20"/>
        </w:rPr>
        <w:t>Table 8.5: Assumption Register (also in Section 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w:t>
            </w:r>
          </w:p>
        </w:tc>
        <w:tc>
          <w:tcPr>
            <w:tcW w:type="dxa" w:w="1560"/>
            <w:tblHeader w:val="true"/>
            <w:shd w:val="clear" w:color="auto" w:fill="2C3E50"/>
          </w:tcPr>
          <w:p>
            <w:pPr>
              <w:jc w:val="center"/>
            </w:pPr>
            <w:r/>
            <w:r>
              <w:rPr>
                <w:b/>
                <w:color w:val="FFFFFF"/>
                <w:sz w:val="18"/>
              </w:rPr>
              <w:t>Assumption</w:t>
            </w:r>
          </w:p>
        </w:tc>
        <w:tc>
          <w:tcPr>
            <w:tcW w:type="dxa" w:w="1560"/>
            <w:tblHeader w:val="true"/>
            <w:shd w:val="clear" w:color="auto" w:fill="2C3E50"/>
          </w:tcPr>
          <w:p>
            <w:pPr>
              <w:jc w:val="center"/>
            </w:pPr>
            <w:r/>
            <w:r>
              <w:rPr>
                <w:b/>
                <w:color w:val="FFFFFF"/>
                <w:sz w:val="18"/>
              </w:rPr>
              <w:t>Used in</w:t>
            </w:r>
          </w:p>
        </w:tc>
        <w:tc>
          <w:tcPr>
            <w:tcW w:type="dxa" w:w="1560"/>
            <w:tblHeader w:val="true"/>
            <w:shd w:val="clear" w:color="auto" w:fill="2C3E50"/>
          </w:tcPr>
          <w:p>
            <w:pPr>
              <w:jc w:val="center"/>
            </w:pPr>
            <w:r/>
            <w:r>
              <w:rPr>
                <w:b/>
                <w:color w:val="FFFFFF"/>
                <w:sz w:val="18"/>
              </w:rPr>
              <w:t>Justification</w:t>
            </w:r>
          </w:p>
        </w:tc>
        <w:tc>
          <w:tcPr>
            <w:tcW w:type="dxa" w:w="1560"/>
            <w:tblHeader w:val="true"/>
            <w:shd w:val="clear" w:color="auto" w:fill="2C3E50"/>
          </w:tcPr>
          <w:p>
            <w:pPr>
              <w:jc w:val="center"/>
            </w:pPr>
            <w:r/>
            <w:r>
              <w:rPr>
                <w:b/>
                <w:color w:val="FFFFFF"/>
                <w:sz w:val="18"/>
              </w:rPr>
              <w:t>Checked by</w:t>
            </w:r>
          </w:p>
        </w:tc>
        <w:tc>
          <w:tcPr>
            <w:tcW w:type="dxa" w:w="1560"/>
            <w:tblHeader w:val="true"/>
            <w:shd w:val="clear" w:color="auto" w:fill="2C3E50"/>
          </w:tcPr>
          <w:p>
            <w:pPr>
              <w:jc w:val="center"/>
            </w:pPr>
            <w:r/>
            <w:r>
              <w:rPr>
                <w:b/>
                <w:color w:val="FFFFFF"/>
                <w:sz w:val="18"/>
              </w:rPr>
              <w:t>Risk if violated</w:t>
            </w:r>
          </w:p>
        </w:tc>
      </w:tr>
      <w:tr>
        <w:tc>
          <w:tcPr>
            <w:tcW w:type="dxa" w:w="1560"/>
          </w:tcPr>
          <w:p>
            <w:pPr>
              <w:spacing w:after="0"/>
            </w:pPr>
            <w:r/>
            <w:r>
              <w:rPr>
                <w:sz w:val="17"/>
              </w:rPr>
              <w:t>A1</w:t>
            </w:r>
          </w:p>
        </w:tc>
        <w:tc>
          <w:tcPr>
            <w:tcW w:type="dxa" w:w="1560"/>
          </w:tcPr>
          <w:p>
            <w:pPr>
              <w:spacing w:after="0"/>
            </w:pPr>
            <w:r/>
            <w:r>
              <w:rPr>
                <w:sz w:val="17"/>
              </w:rPr>
              <w:t>Bilateral 2x2 games capture the strategic structure</w:t>
            </w:r>
          </w:p>
        </w:tc>
        <w:tc>
          <w:tcPr>
            <w:tcW w:type="dxa" w:w="1560"/>
          </w:tcPr>
          <w:p>
            <w:pPr>
              <w:spacing w:after="0"/>
            </w:pPr>
            <w:r/>
            <w:r>
              <w:rPr>
                <w:sz w:val="17"/>
              </w:rPr>
              <w:t>All games</w:t>
            </w:r>
          </w:p>
        </w:tc>
        <w:tc>
          <w:tcPr>
            <w:tcW w:type="dxa" w:w="1560"/>
          </w:tcPr>
          <w:p>
            <w:pPr>
              <w:spacing w:after="0"/>
            </w:pPr>
            <w:r/>
            <w:r>
              <w:rPr>
                <w:sz w:val="17"/>
              </w:rPr>
              <w:t>Standard IO framing; matches report game taxonomy</w:t>
            </w:r>
          </w:p>
        </w:tc>
        <w:tc>
          <w:tcPr>
            <w:tcW w:type="dxa" w:w="1560"/>
          </w:tcPr>
          <w:p>
            <w:pPr>
              <w:spacing w:after="0"/>
            </w:pPr>
            <w:r/>
            <w:r>
              <w:rPr>
                <w:sz w:val="17"/>
              </w:rPr>
              <w:t>R2/R3 (NE stability under perturbation)</w:t>
            </w:r>
          </w:p>
        </w:tc>
        <w:tc>
          <w:tcPr>
            <w:tcW w:type="dxa" w:w="1560"/>
          </w:tcPr>
          <w:p>
            <w:pPr>
              <w:spacing w:after="0"/>
            </w:pPr>
            <w:r/>
            <w:r>
              <w:rPr>
                <w:sz w:val="17"/>
              </w:rPr>
              <w:t>Misses N-player dynamics</w:t>
            </w:r>
          </w:p>
        </w:tc>
      </w:tr>
      <w:tr>
        <w:tc>
          <w:tcPr>
            <w:tcW w:type="dxa" w:w="1560"/>
            <w:shd w:val="clear" w:color="auto" w:fill="EDF1F5"/>
          </w:tcPr>
          <w:p>
            <w:pPr>
              <w:spacing w:after="0"/>
            </w:pPr>
            <w:r/>
            <w:r>
              <w:rPr>
                <w:sz w:val="17"/>
              </w:rPr>
              <w:t>A2</w:t>
            </w:r>
          </w:p>
        </w:tc>
        <w:tc>
          <w:tcPr>
            <w:tcW w:type="dxa" w:w="1560"/>
            <w:shd w:val="clear" w:color="auto" w:fill="EDF1F5"/>
          </w:tcPr>
          <w:p>
            <w:pPr>
              <w:spacing w:after="0"/>
            </w:pPr>
            <w:r/>
            <w:r>
              <w:rPr>
                <w:sz w:val="17"/>
              </w:rPr>
              <w:t>Log-normal 5% payoff noise represents measurement error</w:t>
            </w:r>
          </w:p>
        </w:tc>
        <w:tc>
          <w:tcPr>
            <w:tcW w:type="dxa" w:w="1560"/>
            <w:shd w:val="clear" w:color="auto" w:fill="EDF1F5"/>
          </w:tcPr>
          <w:p>
            <w:pPr>
              <w:spacing w:after="0"/>
            </w:pPr>
            <w:r/>
            <w:r>
              <w:rPr>
                <w:sz w:val="17"/>
              </w:rPr>
              <w:t>Monte Carlo</w:t>
            </w:r>
          </w:p>
        </w:tc>
        <w:tc>
          <w:tcPr>
            <w:tcW w:type="dxa" w:w="1560"/>
            <w:shd w:val="clear" w:color="auto" w:fill="EDF1F5"/>
          </w:tcPr>
          <w:p>
            <w:pPr>
              <w:spacing w:after="0"/>
            </w:pPr>
            <w:r/>
            <w:r>
              <w:rPr>
                <w:sz w:val="17"/>
              </w:rPr>
              <w:t>Multiplicative-error convention for revenue-scale payoffs</w:t>
            </w:r>
          </w:p>
        </w:tc>
        <w:tc>
          <w:tcPr>
            <w:tcW w:type="dxa" w:w="1560"/>
            <w:shd w:val="clear" w:color="auto" w:fill="EDF1F5"/>
          </w:tcPr>
          <w:p>
            <w:pPr>
              <w:spacing w:after="0"/>
            </w:pPr>
            <w:r/>
            <w:r>
              <w:rPr>
                <w:sz w:val="17"/>
              </w:rPr>
              <w:t>R3 (sigma 2.5/5/10%)</w:t>
            </w:r>
          </w:p>
        </w:tc>
        <w:tc>
          <w:tcPr>
            <w:tcW w:type="dxa" w:w="1560"/>
            <w:shd w:val="clear" w:color="auto" w:fill="EDF1F5"/>
          </w:tcPr>
          <w:p>
            <w:pPr>
              <w:spacing w:after="0"/>
            </w:pPr>
            <w:r/>
            <w:r>
              <w:rPr>
                <w:sz w:val="17"/>
              </w:rPr>
              <w:t>Over/under-stated stability</w:t>
            </w:r>
          </w:p>
        </w:tc>
      </w:tr>
      <w:tr>
        <w:tc>
          <w:tcPr>
            <w:tcW w:type="dxa" w:w="1560"/>
          </w:tcPr>
          <w:p>
            <w:pPr>
              <w:spacing w:after="0"/>
            </w:pPr>
            <w:r/>
            <w:r>
              <w:rPr>
                <w:sz w:val="17"/>
              </w:rPr>
              <w:t>A3</w:t>
            </w:r>
          </w:p>
        </w:tc>
        <w:tc>
          <w:tcPr>
            <w:tcW w:type="dxa" w:w="1560"/>
          </w:tcPr>
          <w:p>
            <w:pPr>
              <w:spacing w:after="0"/>
            </w:pPr>
            <w:r/>
            <w:r>
              <w:rPr>
                <w:sz w:val="17"/>
              </w:rPr>
              <w:t>Deviation gains/losses are share-scaled to own CC payoffs with player-specific rates (own margin → temptation; own circularity → sucker)</w:t>
            </w:r>
          </w:p>
        </w:tc>
        <w:tc>
          <w:tcPr>
            <w:tcW w:type="dxa" w:w="1560"/>
          </w:tcPr>
          <w:p>
            <w:pPr>
              <w:spacing w:after="0"/>
            </w:pPr>
            <w:r/>
            <w:r>
              <w:rPr>
                <w:sz w:val="17"/>
              </w:rPr>
              <w:t>Payoff calibration</w:t>
            </w:r>
          </w:p>
        </w:tc>
        <w:tc>
          <w:tcPr>
            <w:tcW w:type="dxa" w:w="1560"/>
          </w:tcPr>
          <w:p>
            <w:pPr>
              <w:spacing w:after="0"/>
            </w:pPr>
            <w:r/>
            <w:r>
              <w:rPr>
                <w:sz w:val="17"/>
              </w:rPr>
              <w:t>Proportional-to-stakes convention; uses validated Operating_Margin and Circular_Dependency_Index (improved Sep 6 2026; was pair-level absolutes)</w:t>
            </w:r>
          </w:p>
        </w:tc>
        <w:tc>
          <w:tcPr>
            <w:tcW w:type="dxa" w:w="1560"/>
          </w:tcPr>
          <w:p>
            <w:pPr>
              <w:spacing w:after="0"/>
            </w:pPr>
            <w:r/>
            <w:r>
              <w:rPr>
                <w:sz w:val="17"/>
              </w:rPr>
              <w:t>Saltelli surrogate replicates the same algebra; brute-force NE agreement tests</w:t>
            </w:r>
          </w:p>
        </w:tc>
        <w:tc>
          <w:tcPr>
            <w:tcW w:type="dxa" w:w="1560"/>
          </w:tcPr>
          <w:p>
            <w:pPr>
              <w:spacing w:after="0"/>
            </w:pPr>
            <w:r/>
            <w:r>
              <w:rPr>
                <w:sz w:val="17"/>
              </w:rPr>
              <w:t>Residual: linear rate maps are conventions, not estimated; small-player leverage still approximate</w:t>
            </w:r>
          </w:p>
        </w:tc>
      </w:tr>
      <w:tr>
        <w:tc>
          <w:tcPr>
            <w:tcW w:type="dxa" w:w="1560"/>
            <w:shd w:val="clear" w:color="auto" w:fill="EDF1F5"/>
          </w:tcPr>
          <w:p>
            <w:pPr>
              <w:spacing w:after="0"/>
            </w:pPr>
            <w:r/>
            <w:r>
              <w:rPr>
                <w:sz w:val="17"/>
              </w:rPr>
              <w:t>A4</w:t>
            </w:r>
          </w:p>
        </w:tc>
        <w:tc>
          <w:tcPr>
            <w:tcW w:type="dxa" w:w="1560"/>
            <w:shd w:val="clear" w:color="auto" w:fill="EDF1F5"/>
          </w:tcPr>
          <w:p>
            <w:pPr>
              <w:spacing w:after="0"/>
            </w:pPr>
            <w:r/>
            <w:r>
              <w:rPr>
                <w:sz w:val="17"/>
              </w:rPr>
              <w:t>Pareto benchmark = observed total scaled by pair efficiency</w:t>
            </w:r>
          </w:p>
        </w:tc>
        <w:tc>
          <w:tcPr>
            <w:tcW w:type="dxa" w:w="1560"/>
            <w:shd w:val="clear" w:color="auto" w:fill="EDF1F5"/>
          </w:tcPr>
          <w:p>
            <w:pPr>
              <w:spacing w:after="0"/>
            </w:pPr>
            <w:r/>
            <w:r>
              <w:rPr>
                <w:sz w:val="17"/>
              </w:rPr>
              <w:t>Welfare/DWL</w:t>
            </w:r>
          </w:p>
        </w:tc>
        <w:tc>
          <w:tcPr>
            <w:tcW w:type="dxa" w:w="1560"/>
            <w:shd w:val="clear" w:color="auto" w:fill="EDF1F5"/>
          </w:tcPr>
          <w:p>
            <w:pPr>
              <w:spacing w:after="0"/>
            </w:pPr>
            <w:r/>
            <w:r>
              <w:rPr>
                <w:sz w:val="17"/>
              </w:rPr>
              <w:t>Revealed-efficiency benchmark; efficiency floored at 0.75</w:t>
            </w:r>
          </w:p>
        </w:tc>
        <w:tc>
          <w:tcPr>
            <w:tcW w:type="dxa" w:w="1560"/>
            <w:shd w:val="clear" w:color="auto" w:fill="EDF1F5"/>
          </w:tcPr>
          <w:p>
            <w:pPr>
              <w:spacing w:after="0"/>
            </w:pPr>
            <w:r/>
            <w:r>
              <w:rPr>
                <w:sz w:val="17"/>
              </w:rPr>
              <w:t>R4 (efficiency-adjacent margins decomposed)</w:t>
            </w:r>
          </w:p>
        </w:tc>
        <w:tc>
          <w:tcPr>
            <w:tcW w:type="dxa" w:w="1560"/>
            <w:shd w:val="clear" w:color="auto" w:fill="EDF1F5"/>
          </w:tcPr>
          <w:p>
            <w:pPr>
              <w:spacing w:after="0"/>
            </w:pPr>
            <w:r/>
            <w:r>
              <w:rPr>
                <w:sz w:val="17"/>
              </w:rPr>
              <w:t>Pareto level mis-set</w:t>
            </w:r>
          </w:p>
        </w:tc>
      </w:tr>
      <w:tr>
        <w:tc>
          <w:tcPr>
            <w:tcW w:type="dxa" w:w="1560"/>
          </w:tcPr>
          <w:p>
            <w:pPr>
              <w:spacing w:after="0"/>
            </w:pPr>
            <w:r/>
            <w:r>
              <w:rPr>
                <w:sz w:val="17"/>
              </w:rPr>
              <w:t>A5</w:t>
            </w:r>
          </w:p>
        </w:tc>
        <w:tc>
          <w:tcPr>
            <w:tcW w:type="dxa" w:w="1560"/>
          </w:tcPr>
          <w:p>
            <w:pPr>
              <w:spacing w:after="0"/>
            </w:pPr>
            <w:r/>
            <w:r>
              <w:rPr>
                <w:sz w:val="17"/>
              </w:rPr>
              <w:t>Saltelli priors: independent Uniform ±20% around calibrated values</w:t>
            </w:r>
          </w:p>
        </w:tc>
        <w:tc>
          <w:tcPr>
            <w:tcW w:type="dxa" w:w="1560"/>
          </w:tcPr>
          <w:p>
            <w:pPr>
              <w:spacing w:after="0"/>
            </w:pPr>
            <w:r/>
            <w:r>
              <w:rPr>
                <w:sz w:val="17"/>
              </w:rPr>
              <w:t>R4 Sobol</w:t>
            </w:r>
          </w:p>
        </w:tc>
        <w:tc>
          <w:tcPr>
            <w:tcW w:type="dxa" w:w="1560"/>
          </w:tcPr>
          <w:p>
            <w:pPr>
              <w:spacing w:after="0"/>
            </w:pPr>
            <w:r/>
            <w:r>
              <w:rPr>
                <w:sz w:val="17"/>
              </w:rPr>
              <w:t>Standard sensitivity-analysis convention; N=2048 + 500 bootstraps</w:t>
            </w:r>
          </w:p>
        </w:tc>
        <w:tc>
          <w:tcPr>
            <w:tcW w:type="dxa" w:w="1560"/>
          </w:tcPr>
          <w:p>
            <w:pPr>
              <w:spacing w:after="0"/>
            </w:pPr>
            <w:r/>
            <w:r>
              <w:rPr>
                <w:sz w:val="17"/>
              </w:rPr>
              <w:t>Bootstrap CI width in Table 8.4</w:t>
            </w:r>
          </w:p>
        </w:tc>
        <w:tc>
          <w:tcPr>
            <w:tcW w:type="dxa" w:w="1560"/>
          </w:tcPr>
          <w:p>
            <w:pPr>
              <w:spacing w:after="0"/>
            </w:pPr>
            <w:r/>
            <w:r>
              <w:rPr>
                <w:sz w:val="17"/>
              </w:rPr>
              <w:t>Index magnitudes shift; ranking usually robust</w:t>
            </w:r>
          </w:p>
        </w:tc>
      </w:tr>
      <w:tr>
        <w:tc>
          <w:tcPr>
            <w:tcW w:type="dxa" w:w="1560"/>
            <w:shd w:val="clear" w:color="auto" w:fill="EDF1F5"/>
          </w:tcPr>
          <w:p>
            <w:pPr>
              <w:spacing w:after="0"/>
            </w:pPr>
            <w:r/>
            <w:r>
              <w:rPr>
                <w:sz w:val="17"/>
              </w:rPr>
              <w:t>A6</w:t>
            </w:r>
          </w:p>
        </w:tc>
        <w:tc>
          <w:tcPr>
            <w:tcW w:type="dxa" w:w="1560"/>
            <w:shd w:val="clear" w:color="auto" w:fill="EDF1F5"/>
          </w:tcPr>
          <w:p>
            <w:pPr>
              <w:spacing w:after="0"/>
            </w:pPr>
            <w:r/>
            <w:r>
              <w:rPr>
                <w:sz w:val="17"/>
              </w:rPr>
              <w:t>Embedded data vintage (2025 revenues, margins, deals)</w:t>
            </w:r>
          </w:p>
        </w:tc>
        <w:tc>
          <w:tcPr>
            <w:tcW w:type="dxa" w:w="1560"/>
            <w:shd w:val="clear" w:color="auto" w:fill="EDF1F5"/>
          </w:tcPr>
          <w:p>
            <w:pPr>
              <w:spacing w:after="0"/>
            </w:pPr>
            <w:r/>
            <w:r>
              <w:rPr>
                <w:sz w:val="17"/>
              </w:rPr>
              <w:t>Throughout</w:t>
            </w:r>
          </w:p>
        </w:tc>
        <w:tc>
          <w:tcPr>
            <w:tcW w:type="dxa" w:w="1560"/>
            <w:shd w:val="clear" w:color="auto" w:fill="EDF1F5"/>
          </w:tcPr>
          <w:p>
            <w:pPr>
              <w:spacing w:after="0"/>
            </w:pPr>
            <w:r/>
            <w:r>
              <w:rPr>
                <w:sz w:val="17"/>
              </w:rPr>
              <w:t>Latest complete cross-section available at build</w:t>
            </w:r>
          </w:p>
        </w:tc>
        <w:tc>
          <w:tcPr>
            <w:tcW w:type="dxa" w:w="1560"/>
            <w:shd w:val="clear" w:color="auto" w:fill="EDF1F5"/>
          </w:tcPr>
          <w:p>
            <w:pPr>
              <w:spacing w:after="0"/>
            </w:pPr>
            <w:r/>
            <w:r>
              <w:rPr>
                <w:sz w:val="17"/>
              </w:rPr>
              <w:t>D1–D6 integrity gates</w:t>
            </w:r>
          </w:p>
        </w:tc>
        <w:tc>
          <w:tcPr>
            <w:tcW w:type="dxa" w:w="1560"/>
            <w:shd w:val="clear" w:color="auto" w:fill="EDF1F5"/>
          </w:tcPr>
          <w:p>
            <w:pPr>
              <w:spacing w:after="0"/>
            </w:pPr>
            <w:r/>
            <w:r>
              <w:rPr>
                <w:sz w:val="17"/>
              </w:rPr>
              <w:t>Levels shift; shares/ranks more robust than levels</w:t>
            </w:r>
          </w:p>
        </w:tc>
      </w:tr>
      <w:tr>
        <w:tc>
          <w:tcPr>
            <w:tcW w:type="dxa" w:w="1560"/>
          </w:tcPr>
          <w:p>
            <w:pPr>
              <w:spacing w:after="0"/>
            </w:pPr>
            <w:r/>
            <w:r>
              <w:rPr>
                <w:sz w:val="17"/>
              </w:rPr>
              <w:t>A7</w:t>
            </w:r>
          </w:p>
        </w:tc>
        <w:tc>
          <w:tcPr>
            <w:tcW w:type="dxa" w:w="1560"/>
          </w:tcPr>
          <w:p>
            <w:pPr>
              <w:spacing w:after="0"/>
            </w:pPr>
            <w:r/>
            <w:r>
              <w:rPr>
                <w:sz w:val="17"/>
              </w:rPr>
              <w:t>Static one-shot games (no dynamics, learning, or entry)</w:t>
            </w:r>
          </w:p>
        </w:tc>
        <w:tc>
          <w:tcPr>
            <w:tcW w:type="dxa" w:w="1560"/>
          </w:tcPr>
          <w:p>
            <w:pPr>
              <w:spacing w:after="0"/>
            </w:pPr>
            <w:r/>
            <w:r>
              <w:rPr>
                <w:sz w:val="17"/>
              </w:rPr>
              <w:t>All games</w:t>
            </w:r>
          </w:p>
        </w:tc>
        <w:tc>
          <w:tcPr>
            <w:tcW w:type="dxa" w:w="1560"/>
          </w:tcPr>
          <w:p>
            <w:pPr>
              <w:spacing w:after="0"/>
            </w:pPr>
            <w:r/>
            <w:r>
              <w:rPr>
                <w:sz w:val="17"/>
              </w:rPr>
              <w:t>Baseline before dynamics; matches cited static literature</w:t>
            </w:r>
          </w:p>
        </w:tc>
        <w:tc>
          <w:tcPr>
            <w:tcW w:type="dxa" w:w="1560"/>
          </w:tcPr>
          <w:p>
            <w:pPr>
              <w:spacing w:after="0"/>
            </w:pPr>
            <w:r/>
            <w:r>
              <w:rPr>
                <w:sz w:val="17"/>
              </w:rPr>
              <w:t>Not directly tested — see Limitations</w:t>
            </w:r>
          </w:p>
        </w:tc>
        <w:tc>
          <w:tcPr>
            <w:tcW w:type="dxa" w:w="1560"/>
          </w:tcPr>
          <w:p>
            <w:pPr>
              <w:spacing w:after="0"/>
            </w:pPr>
            <w:r/>
            <w:r>
              <w:rPr>
                <w:sz w:val="17"/>
              </w:rPr>
              <w:t>Equilibria may not persist dynamically</w:t>
            </w:r>
          </w:p>
        </w:tc>
      </w:tr>
      <w:tr>
        <w:tc>
          <w:tcPr>
            <w:tcW w:type="dxa" w:w="1560"/>
            <w:shd w:val="clear" w:color="auto" w:fill="EDF1F5"/>
          </w:tcPr>
          <w:p>
            <w:pPr>
              <w:spacing w:after="0"/>
            </w:pPr>
            <w:r/>
            <w:r>
              <w:rPr>
                <w:sz w:val="17"/>
              </w:rPr>
              <w:t>A8</w:t>
            </w:r>
          </w:p>
        </w:tc>
        <w:tc>
          <w:tcPr>
            <w:tcW w:type="dxa" w:w="1560"/>
            <w:shd w:val="clear" w:color="auto" w:fill="EDF1F5"/>
          </w:tcPr>
          <w:p>
            <w:pPr>
              <w:spacing w:after="0"/>
            </w:pPr>
            <w:r/>
            <w:r>
              <w:rPr>
                <w:sz w:val="17"/>
              </w:rPr>
              <w:t>Bubble-formation logit weights are judgment weights</w:t>
            </w:r>
          </w:p>
        </w:tc>
        <w:tc>
          <w:tcPr>
            <w:tcW w:type="dxa" w:w="1560"/>
            <w:shd w:val="clear" w:color="auto" w:fill="EDF1F5"/>
          </w:tcPr>
          <w:p>
            <w:pPr>
              <w:spacing w:after="0"/>
            </w:pPr>
            <w:r/>
            <w:r>
              <w:rPr>
                <w:sz w:val="17"/>
              </w:rPr>
              <w:t>Table 7.10</w:t>
            </w:r>
          </w:p>
        </w:tc>
        <w:tc>
          <w:tcPr>
            <w:tcW w:type="dxa" w:w="1560"/>
            <w:shd w:val="clear" w:color="auto" w:fill="EDF1F5"/>
          </w:tcPr>
          <w:p>
            <w:pPr>
              <w:spacing w:after="0"/>
            </w:pPr>
            <w:r/>
            <w:r>
              <w:rPr>
                <w:sz w:val="17"/>
              </w:rPr>
              <w:t>Circular exposure dominates by mechanism design; band z±0.4</w:t>
            </w:r>
          </w:p>
        </w:tc>
        <w:tc>
          <w:tcPr>
            <w:tcW w:type="dxa" w:w="1560"/>
            <w:shd w:val="clear" w:color="auto" w:fill="EDF1F5"/>
          </w:tcPr>
          <w:p>
            <w:pPr>
              <w:spacing w:after="0"/>
            </w:pPr>
            <w:r/>
            <w:r>
              <w:rPr>
                <w:sz w:val="17"/>
              </w:rPr>
              <w:t>OAT halves/doubles: 10/16 formation, 16/16 burst; 300-draw joint check (seed 7): formation exact 65% tau=0.88 (FM top 90%), burst exact 100% tau=1.00 (#1 HW 100%/Cloud 0%); breakdown-frontier identified intervals (Table 8.7)</w:t>
            </w:r>
          </w:p>
        </w:tc>
        <w:tc>
          <w:tcPr>
            <w:tcW w:type="dxa" w:w="1560"/>
            <w:shd w:val="clear" w:color="auto" w:fill="EDF1F5"/>
          </w:tcPr>
          <w:p>
            <w:pPr>
              <w:spacing w:after="0"/>
            </w:pPr>
            <w:r/>
            <w:r>
              <w:rPr>
                <w:sz w:val="17"/>
              </w:rPr>
              <w:t>Levels shift ~±25pp; HW-Cloud top order decisive on base totals ($239.4B vs $132.7B), preserved in 26/32 OAT runs and in all 300 joint draws (seed 7)</w:t>
            </w:r>
          </w:p>
        </w:tc>
      </w:tr>
      <w:tr>
        <w:tc>
          <w:tcPr>
            <w:tcW w:type="dxa" w:w="1560"/>
          </w:tcPr>
          <w:p>
            <w:pPr>
              <w:spacing w:after="0"/>
            </w:pPr>
            <w:r/>
            <w:r>
              <w:rPr>
                <w:sz w:val="17"/>
              </w:rPr>
              <w:t>A9</w:t>
            </w:r>
          </w:p>
        </w:tc>
        <w:tc>
          <w:tcPr>
            <w:tcW w:type="dxa" w:w="1560"/>
          </w:tcPr>
          <w:p>
            <w:pPr>
              <w:spacing w:after="0"/>
            </w:pPr>
            <w:r/>
            <w:r>
              <w:rPr>
                <w:sz w:val="17"/>
              </w:rPr>
              <w:t>Burst propagates one round through dependency flows (no dynamics)</w:t>
            </w:r>
          </w:p>
        </w:tc>
        <w:tc>
          <w:tcPr>
            <w:tcW w:type="dxa" w:w="1560"/>
          </w:tcPr>
          <w:p>
            <w:pPr>
              <w:spacing w:after="0"/>
            </w:pPr>
            <w:r/>
            <w:r>
              <w:rPr>
                <w:sz w:val="17"/>
              </w:rPr>
              <w:t>Table 7.11</w:t>
            </w:r>
          </w:p>
        </w:tc>
        <w:tc>
          <w:tcPr>
            <w:tcW w:type="dxa" w:w="1560"/>
          </w:tcPr>
          <w:p>
            <w:pPr>
              <w:spacing w:after="0"/>
            </w:pPr>
            <w:r/>
            <w:r>
              <w:rPr>
                <w:sz w:val="17"/>
              </w:rPr>
              <w:t>First-order baseline; full reverberation in Table 7.14 (DebtRank multiplier 1.032)</w:t>
            </w:r>
          </w:p>
        </w:tc>
        <w:tc>
          <w:tcPr>
            <w:tcW w:type="dxa" w:w="1560"/>
          </w:tcPr>
          <w:p>
            <w:pPr>
              <w:spacing w:after="0"/>
            </w:pPr>
            <w:r/>
            <w:r>
              <w:rPr>
                <w:sz w:val="17"/>
              </w:rPr>
              <w:t>Rank permutation + non-negativity invariants in save_all; DebtRank second-round reconciliation</w:t>
            </w:r>
          </w:p>
        </w:tc>
        <w:tc>
          <w:tcPr>
            <w:tcW w:type="dxa" w:w="1560"/>
          </w:tcPr>
          <w:p>
            <w:pPr>
              <w:spacing w:after="0"/>
            </w:pPr>
            <w:r/>
            <w:r>
              <w:rPr>
                <w:sz w:val="17"/>
              </w:rPr>
              <w:t>Losses understated if cascades compound</w:t>
            </w:r>
          </w:p>
        </w:tc>
      </w:tr>
      <w:tr>
        <w:tc>
          <w:tcPr>
            <w:tcW w:type="dxa" w:w="1560"/>
            <w:shd w:val="clear" w:color="auto" w:fill="EDF1F5"/>
          </w:tcPr>
          <w:p>
            <w:pPr>
              <w:spacing w:after="0"/>
            </w:pPr>
            <w:r/>
            <w:r>
              <w:rPr>
                <w:sz w:val="17"/>
              </w:rPr>
              <w:t>A10</w:t>
            </w:r>
          </w:p>
        </w:tc>
        <w:tc>
          <w:tcPr>
            <w:tcW w:type="dxa" w:w="1560"/>
            <w:shd w:val="clear" w:color="auto" w:fill="EDF1F5"/>
          </w:tcPr>
          <w:p>
            <w:pPr>
              <w:spacing w:after="0"/>
            </w:pPr>
            <w:r/>
            <w:r>
              <w:rPr>
                <w:sz w:val="17"/>
              </w:rPr>
              <w:t>GDP arithmetic is US-calibrated scenario math (BEA $30.8T; no multiplier)</w:t>
            </w:r>
          </w:p>
        </w:tc>
        <w:tc>
          <w:tcPr>
            <w:tcW w:type="dxa" w:w="1560"/>
            <w:shd w:val="clear" w:color="auto" w:fill="EDF1F5"/>
          </w:tcPr>
          <w:p>
            <w:pPr>
              <w:spacing w:after="0"/>
            </w:pPr>
            <w:r/>
            <w:r>
              <w:rPr>
                <w:sz w:val="17"/>
              </w:rPr>
              <w:t>Table 7.12</w:t>
            </w:r>
          </w:p>
        </w:tc>
        <w:tc>
          <w:tcPr>
            <w:tcW w:type="dxa" w:w="1560"/>
            <w:shd w:val="clear" w:color="auto" w:fill="EDF1F5"/>
          </w:tcPr>
          <w:p>
            <w:pPr>
              <w:spacing w:after="0"/>
            </w:pPr>
            <w:r/>
            <w:r>
              <w:rPr>
                <w:sz w:val="17"/>
              </w:rPr>
              <w:t>All modeled firms US-domiciled; transmission rule ports to others</w:t>
            </w:r>
          </w:p>
        </w:tc>
        <w:tc>
          <w:tcPr>
            <w:tcW w:type="dxa" w:w="1560"/>
            <w:shd w:val="clear" w:color="auto" w:fill="EDF1F5"/>
          </w:tcPr>
          <w:p>
            <w:pPr>
              <w:spacing w:after="0"/>
            </w:pPr>
            <w:r/>
            <w:r>
              <w:rPr>
                <w:sz w:val="17"/>
              </w:rPr>
              <w:t>Not directly tested — see Limitations</w:t>
            </w:r>
          </w:p>
        </w:tc>
        <w:tc>
          <w:tcPr>
            <w:tcW w:type="dxa" w:w="1560"/>
            <w:shd w:val="clear" w:color="auto" w:fill="EDF1F5"/>
          </w:tcPr>
          <w:p>
            <w:pPr>
              <w:spacing w:after="0"/>
            </w:pPr>
            <w:r/>
            <w:r>
              <w:rPr>
                <w:sz w:val="17"/>
              </w:rPr>
              <w:t>Non-US GDP effects need local calibration</w:t>
            </w:r>
          </w:p>
        </w:tc>
      </w:tr>
    </w:tbl>
    <w:p>
      <w:pPr>
        <w:spacing w:after="80"/>
      </w:pPr>
      <w:r>
        <w:rPr>
          <w:sz w:val="4"/>
        </w:rPr>
      </w:r>
    </w:p>
    <w:p>
      <w:pPr>
        <w:keepNext/>
        <w:spacing w:before="200" w:after="40"/>
      </w:pPr>
      <w:r>
        <w:rPr>
          <w:b/>
          <w:color w:val="2C3E50"/>
          <w:sz w:val="20"/>
        </w:rPr>
        <w:t>Table 8.6: Validated Inputs Register (also in Section 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blHeader w:val="true"/>
            <w:shd w:val="clear" w:color="auto" w:fill="2C3E50"/>
          </w:tcPr>
          <w:p>
            <w:pPr>
              <w:jc w:val="center"/>
            </w:pPr>
            <w:r/>
            <w:r>
              <w:rPr>
                <w:b/>
                <w:color w:val="FFFFFF"/>
                <w:sz w:val="18"/>
              </w:rPr>
              <w:t>ID</w:t>
            </w:r>
          </w:p>
        </w:tc>
        <w:tc>
          <w:tcPr>
            <w:tcW w:type="dxa" w:w="1560"/>
            <w:tblHeader w:val="true"/>
            <w:shd w:val="clear" w:color="auto" w:fill="2C3E50"/>
          </w:tcPr>
          <w:p>
            <w:pPr>
              <w:jc w:val="center"/>
            </w:pPr>
            <w:r/>
            <w:r>
              <w:rPr>
                <w:b/>
                <w:color w:val="FFFFFF"/>
                <w:sz w:val="18"/>
              </w:rPr>
              <w:t>Category</w:t>
            </w:r>
          </w:p>
        </w:tc>
        <w:tc>
          <w:tcPr>
            <w:tcW w:type="dxa" w:w="1560"/>
            <w:tblHeader w:val="true"/>
            <w:shd w:val="clear" w:color="auto" w:fill="2C3E50"/>
          </w:tcPr>
          <w:p>
            <w:pPr>
              <w:jc w:val="center"/>
            </w:pPr>
            <w:r/>
            <w:r>
              <w:rPr>
                <w:b/>
                <w:color w:val="FFFFFF"/>
                <w:sz w:val="18"/>
              </w:rPr>
              <w:t>Parameter</w:t>
            </w:r>
          </w:p>
        </w:tc>
        <w:tc>
          <w:tcPr>
            <w:tcW w:type="dxa" w:w="1560"/>
            <w:tblHeader w:val="true"/>
            <w:shd w:val="clear" w:color="auto" w:fill="2C3E50"/>
          </w:tcPr>
          <w:p>
            <w:pPr>
              <w:jc w:val="center"/>
            </w:pPr>
            <w:r/>
            <w:r>
              <w:rPr>
                <w:b/>
                <w:color w:val="FFFFFF"/>
                <w:sz w:val="18"/>
              </w:rPr>
              <w:t>Value</w:t>
            </w:r>
          </w:p>
        </w:tc>
        <w:tc>
          <w:tcPr>
            <w:tcW w:type="dxa" w:w="1560"/>
            <w:tblHeader w:val="true"/>
            <w:shd w:val="clear" w:color="auto" w:fill="2C3E50"/>
          </w:tcPr>
          <w:p>
            <w:pPr>
              <w:jc w:val="center"/>
            </w:pPr>
            <w:r/>
            <w:r>
              <w:rPr>
                <w:b/>
                <w:color w:val="FFFFFF"/>
                <w:sz w:val="18"/>
              </w:rPr>
              <w:t>Unit</w:t>
            </w:r>
          </w:p>
        </w:tc>
        <w:tc>
          <w:tcPr>
            <w:tcW w:type="dxa" w:w="1560"/>
            <w:tblHeader w:val="true"/>
            <w:shd w:val="clear" w:color="auto" w:fill="2C3E50"/>
          </w:tcPr>
          <w:p>
            <w:pPr>
              <w:jc w:val="center"/>
            </w:pPr>
            <w:r/>
            <w:r>
              <w:rPr>
                <w:b/>
                <w:color w:val="FFFFFF"/>
                <w:sz w:val="18"/>
              </w:rPr>
              <w:t>Source/Verification</w:t>
            </w:r>
          </w:p>
        </w:tc>
      </w:tr>
      <w:tr>
        <w:tc>
          <w:tcPr>
            <w:tcW w:type="dxa" w:w="1560"/>
          </w:tcPr>
          <w:p>
            <w:pPr>
              <w:spacing w:after="0"/>
            </w:pPr>
            <w:r/>
            <w:r>
              <w:rPr>
                <w:sz w:val="17"/>
              </w:rPr>
              <w:t>V-HA-REV</w:t>
            </w:r>
          </w:p>
        </w:tc>
        <w:tc>
          <w:tcPr>
            <w:tcW w:type="dxa" w:w="1560"/>
          </w:tcPr>
          <w:p>
            <w:pPr>
              <w:spacing w:after="0"/>
            </w:pPr>
            <w:r/>
            <w:r>
              <w:rPr>
                <w:sz w:val="17"/>
              </w:rPr>
              <w:t>Archetype fundamentals</w:t>
            </w:r>
          </w:p>
        </w:tc>
        <w:tc>
          <w:tcPr>
            <w:tcW w:type="dxa" w:w="1560"/>
          </w:tcPr>
          <w:p>
            <w:pPr>
              <w:spacing w:after="0"/>
            </w:pPr>
            <w:r/>
            <w:r>
              <w:rPr>
                <w:sz w:val="17"/>
              </w:rPr>
              <w:t>Hardware revenue</w:t>
            </w:r>
          </w:p>
        </w:tc>
        <w:tc>
          <w:tcPr>
            <w:tcW w:type="dxa" w:w="1560"/>
          </w:tcPr>
          <w:p>
            <w:pPr>
              <w:spacing w:after="0"/>
            </w:pPr>
            <w:r/>
            <w:r>
              <w:rPr>
                <w:sz w:val="17"/>
              </w:rPr>
              <w:t>475.0</w:t>
            </w:r>
          </w:p>
        </w:tc>
        <w:tc>
          <w:tcPr>
            <w:tcW w:type="dxa" w:w="1560"/>
          </w:tcPr>
          <w:p>
            <w:pPr>
              <w:spacing w:after="0"/>
            </w:pPr>
            <w:r/>
            <w:r>
              <w:rPr>
                <w:sz w:val="17"/>
              </w:rPr>
              <w:t>$B</w:t>
            </w:r>
          </w:p>
        </w:tc>
        <w:tc>
          <w:tcPr>
            <w:tcW w:type="dxa" w:w="1560"/>
          </w:tcPr>
          <w:p>
            <w:pPr>
              <w:spacing w:after="0"/>
            </w:pPr>
            <w:r/>
            <w:r>
              <w:rPr>
                <w:sz w:val="17"/>
              </w:rPr>
              <w:t>Verified Sep 6 2026 vs primary sources (see revenue code comments)</w:t>
            </w:r>
          </w:p>
        </w:tc>
      </w:tr>
      <w:tr>
        <w:tc>
          <w:tcPr>
            <w:tcW w:type="dxa" w:w="1560"/>
            <w:shd w:val="clear" w:color="auto" w:fill="EDF1F5"/>
          </w:tcPr>
          <w:p>
            <w:pPr>
              <w:spacing w:after="0"/>
            </w:pPr>
            <w:r/>
            <w:r>
              <w:rPr>
                <w:sz w:val="17"/>
              </w:rPr>
              <w:t>V-HA-VAL</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market valuation</w:t>
            </w:r>
          </w:p>
        </w:tc>
        <w:tc>
          <w:tcPr>
            <w:tcW w:type="dxa" w:w="1560"/>
            <w:shd w:val="clear" w:color="auto" w:fill="EDF1F5"/>
          </w:tcPr>
          <w:p>
            <w:pPr>
              <w:spacing w:after="0"/>
            </w:pPr>
            <w:r/>
            <w:r>
              <w:rPr>
                <w:sz w:val="17"/>
              </w:rPr>
              <w:t>7916.0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market caps/rounds (see valuation code comments)</w:t>
            </w:r>
          </w:p>
        </w:tc>
      </w:tr>
      <w:tr>
        <w:tc>
          <w:tcPr>
            <w:tcW w:type="dxa" w:w="1560"/>
          </w:tcPr>
          <w:p>
            <w:pPr>
              <w:spacing w:after="0"/>
            </w:pPr>
            <w:r/>
            <w:r>
              <w:rPr>
                <w:sz w:val="17"/>
              </w:rPr>
              <w:t>V-HA-MGN</w:t>
            </w:r>
          </w:p>
        </w:tc>
        <w:tc>
          <w:tcPr>
            <w:tcW w:type="dxa" w:w="1560"/>
          </w:tcPr>
          <w:p>
            <w:pPr>
              <w:spacing w:after="0"/>
            </w:pPr>
            <w:r/>
            <w:r>
              <w:rPr>
                <w:sz w:val="17"/>
              </w:rPr>
              <w:t>Archetype fundamentals</w:t>
            </w:r>
          </w:p>
        </w:tc>
        <w:tc>
          <w:tcPr>
            <w:tcW w:type="dxa" w:w="1560"/>
          </w:tcPr>
          <w:p>
            <w:pPr>
              <w:spacing w:after="0"/>
            </w:pPr>
            <w:r/>
            <w:r>
              <w:rPr>
                <w:sz w:val="17"/>
              </w:rPr>
              <w:t>Hardware operating margin</w:t>
            </w:r>
          </w:p>
        </w:tc>
        <w:tc>
          <w:tcPr>
            <w:tcW w:type="dxa" w:w="1560"/>
          </w:tcPr>
          <w:p>
            <w:pPr>
              <w:spacing w:after="0"/>
            </w:pPr>
            <w:r/>
            <w:r>
              <w:rPr>
                <w:sz w:val="17"/>
              </w:rPr>
              <w:t>0.480</w:t>
            </w:r>
          </w:p>
        </w:tc>
        <w:tc>
          <w:tcPr>
            <w:tcW w:type="dxa" w:w="1560"/>
          </w:tcPr>
          <w:p>
            <w:pPr>
              <w:spacing w:after="0"/>
            </w:pPr>
            <w:r/>
            <w:r>
              <w:rPr>
                <w:sz w:val="17"/>
              </w:rPr>
              <w:t>rate</w:t>
            </w:r>
          </w:p>
        </w:tc>
        <w:tc>
          <w:tcPr>
            <w:tcW w:type="dxa" w:w="1560"/>
          </w:tcPr>
          <w:p>
            <w:pPr>
              <w:spacing w:after="0"/>
            </w:pPr>
            <w:r/>
            <w:r>
              <w:rPr>
                <w:sz w:val="17"/>
              </w:rPr>
              <w:t>Revenue-weighted from Q2/FY26 filings (see margin code comments); display-only</w:t>
            </w:r>
          </w:p>
        </w:tc>
      </w:tr>
      <w:tr>
        <w:tc>
          <w:tcPr>
            <w:tcW w:type="dxa" w:w="1560"/>
            <w:shd w:val="clear" w:color="auto" w:fill="EDF1F5"/>
          </w:tcPr>
          <w:p>
            <w:pPr>
              <w:spacing w:after="0"/>
            </w:pPr>
            <w:r/>
            <w:r>
              <w:rPr>
                <w:sz w:val="17"/>
              </w:rPr>
              <w:t>V-HA-PRF</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profitability label</w:t>
            </w:r>
          </w:p>
        </w:tc>
        <w:tc>
          <w:tcPr>
            <w:tcW w:type="dxa" w:w="1560"/>
            <w:shd w:val="clear" w:color="auto" w:fill="EDF1F5"/>
          </w:tcPr>
          <w:p>
            <w:pPr>
              <w:spacing w:after="0"/>
            </w:pPr>
            <w:r/>
            <w:r>
              <w:rPr>
                <w:sz w:val="17"/>
              </w:rPr>
              <w:t>High Positive</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Follows the blended margin above</w:t>
            </w:r>
          </w:p>
        </w:tc>
      </w:tr>
      <w:tr>
        <w:tc>
          <w:tcPr>
            <w:tcW w:type="dxa" w:w="1560"/>
          </w:tcPr>
          <w:p>
            <w:pPr>
              <w:spacing w:after="0"/>
            </w:pPr>
            <w:r/>
            <w:r>
              <w:rPr>
                <w:sz w:val="17"/>
              </w:rPr>
              <w:t>V-HA-RSK</w:t>
            </w:r>
          </w:p>
        </w:tc>
        <w:tc>
          <w:tcPr>
            <w:tcW w:type="dxa" w:w="1560"/>
          </w:tcPr>
          <w:p>
            <w:pPr>
              <w:spacing w:after="0"/>
            </w:pPr>
            <w:r/>
            <w:r>
              <w:rPr>
                <w:sz w:val="17"/>
              </w:rPr>
              <w:t>Archetype fundamentals</w:t>
            </w:r>
          </w:p>
        </w:tc>
        <w:tc>
          <w:tcPr>
            <w:tcW w:type="dxa" w:w="1560"/>
          </w:tcPr>
          <w:p>
            <w:pPr>
              <w:spacing w:after="0"/>
            </w:pPr>
            <w:r/>
            <w:r>
              <w:rPr>
                <w:sz w:val="17"/>
              </w:rPr>
              <w:t>Hardware strategic risk</w:t>
            </w:r>
          </w:p>
        </w:tc>
        <w:tc>
          <w:tcPr>
            <w:tcW w:type="dxa" w:w="1560"/>
          </w:tcPr>
          <w:p>
            <w:pPr>
              <w:spacing w:after="0"/>
            </w:pPr>
            <w:r/>
            <w:r>
              <w:rPr>
                <w:sz w:val="17"/>
              </w:rPr>
              <w:t>Medium</w:t>
            </w:r>
          </w:p>
        </w:tc>
        <w:tc>
          <w:tcPr>
            <w:tcW w:type="dxa" w:w="1560"/>
          </w:tcPr>
          <w:p>
            <w:pPr>
              <w:spacing w:after="0"/>
            </w:pPr>
            <w:r/>
            <w:r>
              <w:rPr>
                <w:sz w:val="17"/>
              </w:rPr>
              <w:t>label</w:t>
            </w:r>
          </w:p>
        </w:tc>
        <w:tc>
          <w:tcPr>
            <w:tcW w:type="dxa" w:w="1560"/>
          </w:tcPr>
          <w:p>
            <w:pPr>
              <w:spacing w:after="0"/>
            </w:pPr>
            <w:r/>
            <w:r>
              <w:rPr>
                <w:sz w:val="17"/>
              </w:rPr>
              <w:t>Judgment: sub-segment blend (see code comments)</w:t>
            </w:r>
          </w:p>
        </w:tc>
      </w:tr>
      <w:tr>
        <w:tc>
          <w:tcPr>
            <w:tcW w:type="dxa" w:w="1560"/>
            <w:shd w:val="clear" w:color="auto" w:fill="EDF1F5"/>
          </w:tcPr>
          <w:p>
            <w:pPr>
              <w:spacing w:after="0"/>
            </w:pPr>
            <w:r/>
            <w:r>
              <w:rPr>
                <w:sz w:val="17"/>
              </w:rPr>
              <w:t>V-HA-CIR</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Hardware circular dependency index</w:t>
            </w:r>
          </w:p>
        </w:tc>
        <w:tc>
          <w:tcPr>
            <w:tcW w:type="dxa" w:w="1560"/>
            <w:shd w:val="clear" w:color="auto" w:fill="EDF1F5"/>
          </w:tcPr>
          <w:p>
            <w:pPr>
              <w:spacing w:after="0"/>
            </w:pPr>
            <w:r/>
            <w:r>
              <w:rPr>
                <w:sz w:val="17"/>
              </w:rPr>
              <w:t>0.31</w:t>
            </w:r>
          </w:p>
        </w:tc>
        <w:tc>
          <w:tcPr>
            <w:tcW w:type="dxa" w:w="1560"/>
            <w:shd w:val="clear" w:color="auto" w:fill="EDF1F5"/>
          </w:tcPr>
          <w:p>
            <w:pPr>
              <w:spacing w:after="0"/>
            </w:pPr>
            <w:r/>
            <w:r>
              <w:rPr>
                <w:sz w:val="17"/>
              </w:rPr>
              <w:t>index 0-1</w:t>
            </w:r>
          </w:p>
        </w:tc>
        <w:tc>
          <w:tcPr>
            <w:tcW w:type="dxa" w:w="1560"/>
            <w:shd w:val="clear" w:color="auto" w:fill="EDF1F5"/>
          </w:tcPr>
          <w:p>
            <w:pPr>
              <w:spacing w:after="0"/>
            </w:pPr>
            <w:r/>
            <w:r>
              <w:rPr>
                <w:sz w:val="17"/>
              </w:rPr>
              <w:t>Revenue-weighted judgment (see code comments)</w:t>
            </w:r>
          </w:p>
        </w:tc>
      </w:tr>
      <w:tr>
        <w:tc>
          <w:tcPr>
            <w:tcW w:type="dxa" w:w="1560"/>
          </w:tcPr>
          <w:p>
            <w:pPr>
              <w:spacing w:after="0"/>
            </w:pPr>
            <w:r/>
            <w:r>
              <w:rPr>
                <w:sz w:val="17"/>
              </w:rPr>
              <w:t>V-HA-COS</w:t>
            </w:r>
          </w:p>
        </w:tc>
        <w:tc>
          <w:tcPr>
            <w:tcW w:type="dxa" w:w="1560"/>
          </w:tcPr>
          <w:p>
            <w:pPr>
              <w:spacing w:after="0"/>
            </w:pPr>
            <w:r/>
            <w:r>
              <w:rPr>
                <w:sz w:val="17"/>
              </w:rPr>
              <w:t>Archetype fundamentals</w:t>
            </w:r>
          </w:p>
        </w:tc>
        <w:tc>
          <w:tcPr>
            <w:tcW w:type="dxa" w:w="1560"/>
          </w:tcPr>
          <w:p>
            <w:pPr>
              <w:spacing w:after="0"/>
            </w:pPr>
            <w:r/>
            <w:r>
              <w:rPr>
                <w:sz w:val="17"/>
              </w:rPr>
              <w:t>Hardware key companies</w:t>
            </w:r>
          </w:p>
        </w:tc>
        <w:tc>
          <w:tcPr>
            <w:tcW w:type="dxa" w:w="1560"/>
          </w:tcPr>
          <w:p>
            <w:pPr>
              <w:spacing w:after="0"/>
            </w:pPr>
            <w:r/>
            <w:r>
              <w:rPr>
                <w:sz w:val="17"/>
              </w:rPr>
              <w:t>NVIDIA, AMD, Intel, Broadcom, Marvell, Google (TPU)</w:t>
            </w:r>
          </w:p>
        </w:tc>
        <w:tc>
          <w:tcPr>
            <w:tcW w:type="dxa" w:w="1560"/>
          </w:tcPr>
          <w:p>
            <w:pPr>
              <w:spacing w:after="0"/>
            </w:pPr>
            <w:r/>
            <w:r>
              <w:rPr>
                <w:sz w:val="17"/>
              </w:rPr>
              <w:t>list</w:t>
            </w:r>
          </w:p>
        </w:tc>
        <w:tc>
          <w:tcPr>
            <w:tcW w:type="dxa" w:w="1560"/>
          </w:tcPr>
          <w:p>
            <w:pPr>
              <w:spacing w:after="0"/>
            </w:pPr>
            <w:r/>
            <w:r>
              <w:rPr>
                <w:sz w:val="17"/>
              </w:rPr>
              <w:t>Coverage audited Sep 6 2026 (see PLAYER-COVERAGE note in market metadata)</w:t>
            </w:r>
          </w:p>
        </w:tc>
      </w:tr>
      <w:tr>
        <w:tc>
          <w:tcPr>
            <w:tcW w:type="dxa" w:w="1560"/>
            <w:shd w:val="clear" w:color="auto" w:fill="EDF1F5"/>
          </w:tcPr>
          <w:p>
            <w:pPr>
              <w:spacing w:after="0"/>
            </w:pPr>
            <w:r/>
            <w:r>
              <w:rPr>
                <w:sz w:val="17"/>
              </w:rPr>
              <w:t>V-CL-REV</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revenue</w:t>
            </w:r>
          </w:p>
        </w:tc>
        <w:tc>
          <w:tcPr>
            <w:tcW w:type="dxa" w:w="1560"/>
            <w:shd w:val="clear" w:color="auto" w:fill="EDF1F5"/>
          </w:tcPr>
          <w:p>
            <w:pPr>
              <w:spacing w:after="0"/>
            </w:pPr>
            <w:r/>
            <w:r>
              <w:rPr>
                <w:sz w:val="17"/>
              </w:rPr>
              <w:t>417.0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primary sources (see revenue code comments)</w:t>
            </w:r>
          </w:p>
        </w:tc>
      </w:tr>
      <w:tr>
        <w:tc>
          <w:tcPr>
            <w:tcW w:type="dxa" w:w="1560"/>
          </w:tcPr>
          <w:p>
            <w:pPr>
              <w:spacing w:after="0"/>
            </w:pPr>
            <w:r/>
            <w:r>
              <w:rPr>
                <w:sz w:val="17"/>
              </w:rPr>
              <w:t>V-CL-VAL</w:t>
            </w:r>
          </w:p>
        </w:tc>
        <w:tc>
          <w:tcPr>
            <w:tcW w:type="dxa" w:w="1560"/>
          </w:tcPr>
          <w:p>
            <w:pPr>
              <w:spacing w:after="0"/>
            </w:pPr>
            <w:r/>
            <w:r>
              <w:rPr>
                <w:sz w:val="17"/>
              </w:rPr>
              <w:t>Archetype fundamentals</w:t>
            </w:r>
          </w:p>
        </w:tc>
        <w:tc>
          <w:tcPr>
            <w:tcW w:type="dxa" w:w="1560"/>
          </w:tcPr>
          <w:p>
            <w:pPr>
              <w:spacing w:after="0"/>
            </w:pPr>
            <w:r/>
            <w:r>
              <w:rPr>
                <w:sz w:val="17"/>
              </w:rPr>
              <w:t>Cloud Providers market valuation</w:t>
            </w:r>
          </w:p>
        </w:tc>
        <w:tc>
          <w:tcPr>
            <w:tcW w:type="dxa" w:w="1560"/>
          </w:tcPr>
          <w:p>
            <w:pPr>
              <w:spacing w:after="0"/>
            </w:pPr>
            <w:r/>
            <w:r>
              <w:rPr>
                <w:sz w:val="17"/>
              </w:rPr>
              <w:t>11910.0</w:t>
            </w:r>
          </w:p>
        </w:tc>
        <w:tc>
          <w:tcPr>
            <w:tcW w:type="dxa" w:w="1560"/>
          </w:tcPr>
          <w:p>
            <w:pPr>
              <w:spacing w:after="0"/>
            </w:pPr>
            <w:r/>
            <w:r>
              <w:rPr>
                <w:sz w:val="17"/>
              </w:rPr>
              <w:t>$B</w:t>
            </w:r>
          </w:p>
        </w:tc>
        <w:tc>
          <w:tcPr>
            <w:tcW w:type="dxa" w:w="1560"/>
          </w:tcPr>
          <w:p>
            <w:pPr>
              <w:spacing w:after="0"/>
            </w:pPr>
            <w:r/>
            <w:r>
              <w:rPr>
                <w:sz w:val="17"/>
              </w:rPr>
              <w:t>Verified Sep 6 2026 vs market caps/rounds (see valuation code comments)</w:t>
            </w:r>
          </w:p>
        </w:tc>
      </w:tr>
      <w:tr>
        <w:tc>
          <w:tcPr>
            <w:tcW w:type="dxa" w:w="1560"/>
            <w:shd w:val="clear" w:color="auto" w:fill="EDF1F5"/>
          </w:tcPr>
          <w:p>
            <w:pPr>
              <w:spacing w:after="0"/>
            </w:pPr>
            <w:r/>
            <w:r>
              <w:rPr>
                <w:sz w:val="17"/>
              </w:rPr>
              <w:t>V-CL-MGN</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operating margin</w:t>
            </w:r>
          </w:p>
        </w:tc>
        <w:tc>
          <w:tcPr>
            <w:tcW w:type="dxa" w:w="1560"/>
            <w:shd w:val="clear" w:color="auto" w:fill="EDF1F5"/>
          </w:tcPr>
          <w:p>
            <w:pPr>
              <w:spacing w:after="0"/>
            </w:pPr>
            <w:r/>
            <w:r>
              <w:rPr>
                <w:sz w:val="17"/>
              </w:rPr>
              <w:t>0.340</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Revenue-weighted from Q2/FY26 filings (see margin code comments); display-only</w:t>
            </w:r>
          </w:p>
        </w:tc>
      </w:tr>
      <w:tr>
        <w:tc>
          <w:tcPr>
            <w:tcW w:type="dxa" w:w="1560"/>
          </w:tcPr>
          <w:p>
            <w:pPr>
              <w:spacing w:after="0"/>
            </w:pPr>
            <w:r/>
            <w:r>
              <w:rPr>
                <w:sz w:val="17"/>
              </w:rPr>
              <w:t>V-CL-PRF</w:t>
            </w:r>
          </w:p>
        </w:tc>
        <w:tc>
          <w:tcPr>
            <w:tcW w:type="dxa" w:w="1560"/>
          </w:tcPr>
          <w:p>
            <w:pPr>
              <w:spacing w:after="0"/>
            </w:pPr>
            <w:r/>
            <w:r>
              <w:rPr>
                <w:sz w:val="17"/>
              </w:rPr>
              <w:t>Archetype fundamentals</w:t>
            </w:r>
          </w:p>
        </w:tc>
        <w:tc>
          <w:tcPr>
            <w:tcW w:type="dxa" w:w="1560"/>
          </w:tcPr>
          <w:p>
            <w:pPr>
              <w:spacing w:after="0"/>
            </w:pPr>
            <w:r/>
            <w:r>
              <w:rPr>
                <w:sz w:val="17"/>
              </w:rPr>
              <w:t>Cloud Providers profitability label</w:t>
            </w:r>
          </w:p>
        </w:tc>
        <w:tc>
          <w:tcPr>
            <w:tcW w:type="dxa" w:w="1560"/>
          </w:tcPr>
          <w:p>
            <w:pPr>
              <w:spacing w:after="0"/>
            </w:pPr>
            <w:r/>
            <w:r>
              <w:rPr>
                <w:sz w:val="17"/>
              </w:rPr>
              <w:t>High Positive</w:t>
            </w:r>
          </w:p>
        </w:tc>
        <w:tc>
          <w:tcPr>
            <w:tcW w:type="dxa" w:w="1560"/>
          </w:tcPr>
          <w:p>
            <w:pPr>
              <w:spacing w:after="0"/>
            </w:pPr>
            <w:r/>
            <w:r>
              <w:rPr>
                <w:sz w:val="17"/>
              </w:rPr>
              <w:t>label</w:t>
            </w:r>
          </w:p>
        </w:tc>
        <w:tc>
          <w:tcPr>
            <w:tcW w:type="dxa" w:w="1560"/>
          </w:tcPr>
          <w:p>
            <w:pPr>
              <w:spacing w:after="0"/>
            </w:pPr>
            <w:r/>
            <w:r>
              <w:rPr>
                <w:sz w:val="17"/>
              </w:rPr>
              <w:t>Follows the blended margin above</w:t>
            </w:r>
          </w:p>
        </w:tc>
      </w:tr>
      <w:tr>
        <w:tc>
          <w:tcPr>
            <w:tcW w:type="dxa" w:w="1560"/>
            <w:shd w:val="clear" w:color="auto" w:fill="EDF1F5"/>
          </w:tcPr>
          <w:p>
            <w:pPr>
              <w:spacing w:after="0"/>
            </w:pPr>
            <w:r/>
            <w:r>
              <w:rPr>
                <w:sz w:val="17"/>
              </w:rPr>
              <w:t>V-CL-RSK</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strategic risk</w:t>
            </w:r>
          </w:p>
        </w:tc>
        <w:tc>
          <w:tcPr>
            <w:tcW w:type="dxa" w:w="1560"/>
            <w:shd w:val="clear" w:color="auto" w:fill="EDF1F5"/>
          </w:tcPr>
          <w:p>
            <w:pPr>
              <w:spacing w:after="0"/>
            </w:pPr>
            <w:r/>
            <w:r>
              <w:rPr>
                <w:sz w:val="17"/>
              </w:rPr>
              <w:t>Medium</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Judgment: sub-segment blend (see code comments)</w:t>
            </w:r>
          </w:p>
        </w:tc>
      </w:tr>
      <w:tr>
        <w:tc>
          <w:tcPr>
            <w:tcW w:type="dxa" w:w="1560"/>
          </w:tcPr>
          <w:p>
            <w:pPr>
              <w:spacing w:after="0"/>
            </w:pPr>
            <w:r/>
            <w:r>
              <w:rPr>
                <w:sz w:val="17"/>
              </w:rPr>
              <w:t>V-CL-CIR</w:t>
            </w:r>
          </w:p>
        </w:tc>
        <w:tc>
          <w:tcPr>
            <w:tcW w:type="dxa" w:w="1560"/>
          </w:tcPr>
          <w:p>
            <w:pPr>
              <w:spacing w:after="0"/>
            </w:pPr>
            <w:r/>
            <w:r>
              <w:rPr>
                <w:sz w:val="17"/>
              </w:rPr>
              <w:t>Archetype fundamentals</w:t>
            </w:r>
          </w:p>
        </w:tc>
        <w:tc>
          <w:tcPr>
            <w:tcW w:type="dxa" w:w="1560"/>
          </w:tcPr>
          <w:p>
            <w:pPr>
              <w:spacing w:after="0"/>
            </w:pPr>
            <w:r/>
            <w:r>
              <w:rPr>
                <w:sz w:val="17"/>
              </w:rPr>
              <w:t>Cloud Providers circular dependency index</w:t>
            </w:r>
          </w:p>
        </w:tc>
        <w:tc>
          <w:tcPr>
            <w:tcW w:type="dxa" w:w="1560"/>
          </w:tcPr>
          <w:p>
            <w:pPr>
              <w:spacing w:after="0"/>
            </w:pPr>
            <w:r/>
            <w:r>
              <w:rPr>
                <w:sz w:val="17"/>
              </w:rPr>
              <w:t>0.29</w:t>
            </w:r>
          </w:p>
        </w:tc>
        <w:tc>
          <w:tcPr>
            <w:tcW w:type="dxa" w:w="1560"/>
          </w:tcPr>
          <w:p>
            <w:pPr>
              <w:spacing w:after="0"/>
            </w:pPr>
            <w:r/>
            <w:r>
              <w:rPr>
                <w:sz w:val="17"/>
              </w:rPr>
              <w:t>index 0-1</w:t>
            </w:r>
          </w:p>
        </w:tc>
        <w:tc>
          <w:tcPr>
            <w:tcW w:type="dxa" w:w="1560"/>
          </w:tcPr>
          <w:p>
            <w:pPr>
              <w:spacing w:after="0"/>
            </w:pPr>
            <w:r/>
            <w:r>
              <w:rPr>
                <w:sz w:val="17"/>
              </w:rPr>
              <w:t>Revenue-weighted judgment (see code comments)</w:t>
            </w:r>
          </w:p>
        </w:tc>
      </w:tr>
      <w:tr>
        <w:tc>
          <w:tcPr>
            <w:tcW w:type="dxa" w:w="1560"/>
            <w:shd w:val="clear" w:color="auto" w:fill="EDF1F5"/>
          </w:tcPr>
          <w:p>
            <w:pPr>
              <w:spacing w:after="0"/>
            </w:pPr>
            <w:r/>
            <w:r>
              <w:rPr>
                <w:sz w:val="17"/>
              </w:rPr>
              <w:t>V-CL-COS</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Cloud Providers key companies</w:t>
            </w:r>
          </w:p>
        </w:tc>
        <w:tc>
          <w:tcPr>
            <w:tcW w:type="dxa" w:w="1560"/>
            <w:shd w:val="clear" w:color="auto" w:fill="EDF1F5"/>
          </w:tcPr>
          <w:p>
            <w:pPr>
              <w:spacing w:after="0"/>
            </w:pPr>
            <w:r/>
            <w:r>
              <w:rPr>
                <w:sz w:val="17"/>
              </w:rPr>
              <w:t>Microsoft Azure, AWS, Google Cloud, Oracle, CoreWeave, Nebius, Lambda Labs</w:t>
            </w:r>
          </w:p>
        </w:tc>
        <w:tc>
          <w:tcPr>
            <w:tcW w:type="dxa" w:w="1560"/>
            <w:shd w:val="clear" w:color="auto" w:fill="EDF1F5"/>
          </w:tcPr>
          <w:p>
            <w:pPr>
              <w:spacing w:after="0"/>
            </w:pPr>
            <w:r/>
            <w:r>
              <w:rPr>
                <w:sz w:val="17"/>
              </w:rPr>
              <w:t>list</w:t>
            </w:r>
          </w:p>
        </w:tc>
        <w:tc>
          <w:tcPr>
            <w:tcW w:type="dxa" w:w="1560"/>
            <w:shd w:val="clear" w:color="auto" w:fill="EDF1F5"/>
          </w:tcPr>
          <w:p>
            <w:pPr>
              <w:spacing w:after="0"/>
            </w:pPr>
            <w:r/>
            <w:r>
              <w:rPr>
                <w:sz w:val="17"/>
              </w:rPr>
              <w:t>Coverage audited Sep 6 2026 (see PLAYER-COVERAGE note in market metadata)</w:t>
            </w:r>
          </w:p>
        </w:tc>
      </w:tr>
      <w:tr>
        <w:tc>
          <w:tcPr>
            <w:tcW w:type="dxa" w:w="1560"/>
          </w:tcPr>
          <w:p>
            <w:pPr>
              <w:spacing w:after="0"/>
            </w:pPr>
            <w:r/>
            <w:r>
              <w:rPr>
                <w:sz w:val="17"/>
              </w:rPr>
              <w:t>V-FO-REV</w:t>
            </w:r>
          </w:p>
        </w:tc>
        <w:tc>
          <w:tcPr>
            <w:tcW w:type="dxa" w:w="1560"/>
          </w:tcPr>
          <w:p>
            <w:pPr>
              <w:spacing w:after="0"/>
            </w:pPr>
            <w:r/>
            <w:r>
              <w:rPr>
                <w:sz w:val="17"/>
              </w:rPr>
              <w:t>Archetype fundamentals</w:t>
            </w:r>
          </w:p>
        </w:tc>
        <w:tc>
          <w:tcPr>
            <w:tcW w:type="dxa" w:w="1560"/>
          </w:tcPr>
          <w:p>
            <w:pPr>
              <w:spacing w:after="0"/>
            </w:pPr>
            <w:r/>
            <w:r>
              <w:rPr>
                <w:sz w:val="17"/>
              </w:rPr>
              <w:t>Foundation Models revenue</w:t>
            </w:r>
          </w:p>
        </w:tc>
        <w:tc>
          <w:tcPr>
            <w:tcW w:type="dxa" w:w="1560"/>
          </w:tcPr>
          <w:p>
            <w:pPr>
              <w:spacing w:after="0"/>
            </w:pPr>
            <w:r/>
            <w:r>
              <w:rPr>
                <w:sz w:val="17"/>
              </w:rPr>
              <w:t>106.5</w:t>
            </w:r>
          </w:p>
        </w:tc>
        <w:tc>
          <w:tcPr>
            <w:tcW w:type="dxa" w:w="1560"/>
          </w:tcPr>
          <w:p>
            <w:pPr>
              <w:spacing w:after="0"/>
            </w:pPr>
            <w:r/>
            <w:r>
              <w:rPr>
                <w:sz w:val="17"/>
              </w:rPr>
              <w:t>$B</w:t>
            </w:r>
          </w:p>
        </w:tc>
        <w:tc>
          <w:tcPr>
            <w:tcW w:type="dxa" w:w="1560"/>
          </w:tcPr>
          <w:p>
            <w:pPr>
              <w:spacing w:after="0"/>
            </w:pPr>
            <w:r/>
            <w:r>
              <w:rPr>
                <w:sz w:val="17"/>
              </w:rPr>
              <w:t>Verified Sep 6 2026 vs primary sources (see revenue code comments)</w:t>
            </w:r>
          </w:p>
        </w:tc>
      </w:tr>
      <w:tr>
        <w:tc>
          <w:tcPr>
            <w:tcW w:type="dxa" w:w="1560"/>
            <w:shd w:val="clear" w:color="auto" w:fill="EDF1F5"/>
          </w:tcPr>
          <w:p>
            <w:pPr>
              <w:spacing w:after="0"/>
            </w:pPr>
            <w:r/>
            <w:r>
              <w:rPr>
                <w:sz w:val="17"/>
              </w:rPr>
              <w:t>V-FO-VAL</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Foundation Models market valuation</w:t>
            </w:r>
          </w:p>
        </w:tc>
        <w:tc>
          <w:tcPr>
            <w:tcW w:type="dxa" w:w="1560"/>
            <w:shd w:val="clear" w:color="auto" w:fill="EDF1F5"/>
          </w:tcPr>
          <w:p>
            <w:pPr>
              <w:spacing w:after="0"/>
            </w:pPr>
            <w:r/>
            <w:r>
              <w:rPr>
                <w:sz w:val="17"/>
              </w:rPr>
              <w:t>2432.0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market caps/rounds (see valuation code comments)</w:t>
            </w:r>
          </w:p>
        </w:tc>
      </w:tr>
      <w:tr>
        <w:tc>
          <w:tcPr>
            <w:tcW w:type="dxa" w:w="1560"/>
          </w:tcPr>
          <w:p>
            <w:pPr>
              <w:spacing w:after="0"/>
            </w:pPr>
            <w:r/>
            <w:r>
              <w:rPr>
                <w:sz w:val="17"/>
              </w:rPr>
              <w:t>V-FO-MGN</w:t>
            </w:r>
          </w:p>
        </w:tc>
        <w:tc>
          <w:tcPr>
            <w:tcW w:type="dxa" w:w="1560"/>
          </w:tcPr>
          <w:p>
            <w:pPr>
              <w:spacing w:after="0"/>
            </w:pPr>
            <w:r/>
            <w:r>
              <w:rPr>
                <w:sz w:val="17"/>
              </w:rPr>
              <w:t>Archetype fundamentals</w:t>
            </w:r>
          </w:p>
        </w:tc>
        <w:tc>
          <w:tcPr>
            <w:tcW w:type="dxa" w:w="1560"/>
          </w:tcPr>
          <w:p>
            <w:pPr>
              <w:spacing w:after="0"/>
            </w:pPr>
            <w:r/>
            <w:r>
              <w:rPr>
                <w:sz w:val="17"/>
              </w:rPr>
              <w:t>Foundation Models operating margin</w:t>
            </w:r>
          </w:p>
        </w:tc>
        <w:tc>
          <w:tcPr>
            <w:tcW w:type="dxa" w:w="1560"/>
          </w:tcPr>
          <w:p>
            <w:pPr>
              <w:spacing w:after="0"/>
            </w:pPr>
            <w:r/>
            <w:r>
              <w:rPr>
                <w:sz w:val="17"/>
              </w:rPr>
              <w:t>-0.034</w:t>
            </w:r>
          </w:p>
        </w:tc>
        <w:tc>
          <w:tcPr>
            <w:tcW w:type="dxa" w:w="1560"/>
          </w:tcPr>
          <w:p>
            <w:pPr>
              <w:spacing w:after="0"/>
            </w:pPr>
            <w:r/>
            <w:r>
              <w:rPr>
                <w:sz w:val="17"/>
              </w:rPr>
              <w:t>rate</w:t>
            </w:r>
          </w:p>
        </w:tc>
        <w:tc>
          <w:tcPr>
            <w:tcW w:type="dxa" w:w="1560"/>
          </w:tcPr>
          <w:p>
            <w:pPr>
              <w:spacing w:after="0"/>
            </w:pPr>
            <w:r/>
            <w:r>
              <w:rPr>
                <w:sz w:val="17"/>
              </w:rPr>
              <w:t>Revenue-weighted from Q2/FY26 filings (see margin code comments); display-only</w:t>
            </w:r>
          </w:p>
        </w:tc>
      </w:tr>
      <w:tr>
        <w:tc>
          <w:tcPr>
            <w:tcW w:type="dxa" w:w="1560"/>
            <w:shd w:val="clear" w:color="auto" w:fill="EDF1F5"/>
          </w:tcPr>
          <w:p>
            <w:pPr>
              <w:spacing w:after="0"/>
            </w:pPr>
            <w:r/>
            <w:r>
              <w:rPr>
                <w:sz w:val="17"/>
              </w:rPr>
              <w:t>V-FO-PRF</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Foundation Models profitability label</w:t>
            </w:r>
          </w:p>
        </w:tc>
        <w:tc>
          <w:tcPr>
            <w:tcW w:type="dxa" w:w="1560"/>
            <w:shd w:val="clear" w:color="auto" w:fill="EDF1F5"/>
          </w:tcPr>
          <w:p>
            <w:pPr>
              <w:spacing w:after="0"/>
            </w:pPr>
            <w:r/>
            <w:r>
              <w:rPr>
                <w:sz w:val="17"/>
              </w:rPr>
              <w:t>Break-even</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Follows the blended margin above</w:t>
            </w:r>
          </w:p>
        </w:tc>
      </w:tr>
      <w:tr>
        <w:tc>
          <w:tcPr>
            <w:tcW w:type="dxa" w:w="1560"/>
          </w:tcPr>
          <w:p>
            <w:pPr>
              <w:spacing w:after="0"/>
            </w:pPr>
            <w:r/>
            <w:r>
              <w:rPr>
                <w:sz w:val="17"/>
              </w:rPr>
              <w:t>V-FO-RSK</w:t>
            </w:r>
          </w:p>
        </w:tc>
        <w:tc>
          <w:tcPr>
            <w:tcW w:type="dxa" w:w="1560"/>
          </w:tcPr>
          <w:p>
            <w:pPr>
              <w:spacing w:after="0"/>
            </w:pPr>
            <w:r/>
            <w:r>
              <w:rPr>
                <w:sz w:val="17"/>
              </w:rPr>
              <w:t>Archetype fundamentals</w:t>
            </w:r>
          </w:p>
        </w:tc>
        <w:tc>
          <w:tcPr>
            <w:tcW w:type="dxa" w:w="1560"/>
          </w:tcPr>
          <w:p>
            <w:pPr>
              <w:spacing w:after="0"/>
            </w:pPr>
            <w:r/>
            <w:r>
              <w:rPr>
                <w:sz w:val="17"/>
              </w:rPr>
              <w:t>Foundation Models strategic risk</w:t>
            </w:r>
          </w:p>
        </w:tc>
        <w:tc>
          <w:tcPr>
            <w:tcW w:type="dxa" w:w="1560"/>
          </w:tcPr>
          <w:p>
            <w:pPr>
              <w:spacing w:after="0"/>
            </w:pPr>
            <w:r/>
            <w:r>
              <w:rPr>
                <w:sz w:val="17"/>
              </w:rPr>
              <w:t>High</w:t>
            </w:r>
          </w:p>
        </w:tc>
        <w:tc>
          <w:tcPr>
            <w:tcW w:type="dxa" w:w="1560"/>
          </w:tcPr>
          <w:p>
            <w:pPr>
              <w:spacing w:after="0"/>
            </w:pPr>
            <w:r/>
            <w:r>
              <w:rPr>
                <w:sz w:val="17"/>
              </w:rPr>
              <w:t>label</w:t>
            </w:r>
          </w:p>
        </w:tc>
        <w:tc>
          <w:tcPr>
            <w:tcW w:type="dxa" w:w="1560"/>
          </w:tcPr>
          <w:p>
            <w:pPr>
              <w:spacing w:after="0"/>
            </w:pPr>
            <w:r/>
            <w:r>
              <w:rPr>
                <w:sz w:val="17"/>
              </w:rPr>
              <w:t>Judgment: sub-segment blend (see code comments)</w:t>
            </w:r>
          </w:p>
        </w:tc>
      </w:tr>
      <w:tr>
        <w:tc>
          <w:tcPr>
            <w:tcW w:type="dxa" w:w="1560"/>
            <w:shd w:val="clear" w:color="auto" w:fill="EDF1F5"/>
          </w:tcPr>
          <w:p>
            <w:pPr>
              <w:spacing w:after="0"/>
            </w:pPr>
            <w:r/>
            <w:r>
              <w:rPr>
                <w:sz w:val="17"/>
              </w:rPr>
              <w:t>V-FO-CIR</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Foundation Models circular dependency index</w:t>
            </w:r>
          </w:p>
        </w:tc>
        <w:tc>
          <w:tcPr>
            <w:tcW w:type="dxa" w:w="1560"/>
            <w:shd w:val="clear" w:color="auto" w:fill="EDF1F5"/>
          </w:tcPr>
          <w:p>
            <w:pPr>
              <w:spacing w:after="0"/>
            </w:pPr>
            <w:r/>
            <w:r>
              <w:rPr>
                <w:sz w:val="17"/>
              </w:rPr>
              <w:t>0.84</w:t>
            </w:r>
          </w:p>
        </w:tc>
        <w:tc>
          <w:tcPr>
            <w:tcW w:type="dxa" w:w="1560"/>
            <w:shd w:val="clear" w:color="auto" w:fill="EDF1F5"/>
          </w:tcPr>
          <w:p>
            <w:pPr>
              <w:spacing w:after="0"/>
            </w:pPr>
            <w:r/>
            <w:r>
              <w:rPr>
                <w:sz w:val="17"/>
              </w:rPr>
              <w:t>index 0-1</w:t>
            </w:r>
          </w:p>
        </w:tc>
        <w:tc>
          <w:tcPr>
            <w:tcW w:type="dxa" w:w="1560"/>
            <w:shd w:val="clear" w:color="auto" w:fill="EDF1F5"/>
          </w:tcPr>
          <w:p>
            <w:pPr>
              <w:spacing w:after="0"/>
            </w:pPr>
            <w:r/>
            <w:r>
              <w:rPr>
                <w:sz w:val="17"/>
              </w:rPr>
              <w:t>Revenue-weighted judgment (see code comments)</w:t>
            </w:r>
          </w:p>
        </w:tc>
      </w:tr>
      <w:tr>
        <w:tc>
          <w:tcPr>
            <w:tcW w:type="dxa" w:w="1560"/>
          </w:tcPr>
          <w:p>
            <w:pPr>
              <w:spacing w:after="0"/>
            </w:pPr>
            <w:r/>
            <w:r>
              <w:rPr>
                <w:sz w:val="17"/>
              </w:rPr>
              <w:t>V-FO-COS</w:t>
            </w:r>
          </w:p>
        </w:tc>
        <w:tc>
          <w:tcPr>
            <w:tcW w:type="dxa" w:w="1560"/>
          </w:tcPr>
          <w:p>
            <w:pPr>
              <w:spacing w:after="0"/>
            </w:pPr>
            <w:r/>
            <w:r>
              <w:rPr>
                <w:sz w:val="17"/>
              </w:rPr>
              <w:t>Archetype fundamentals</w:t>
            </w:r>
          </w:p>
        </w:tc>
        <w:tc>
          <w:tcPr>
            <w:tcW w:type="dxa" w:w="1560"/>
          </w:tcPr>
          <w:p>
            <w:pPr>
              <w:spacing w:after="0"/>
            </w:pPr>
            <w:r/>
            <w:r>
              <w:rPr>
                <w:sz w:val="17"/>
              </w:rPr>
              <w:t>Foundation Models key companies</w:t>
            </w:r>
          </w:p>
        </w:tc>
        <w:tc>
          <w:tcPr>
            <w:tcW w:type="dxa" w:w="1560"/>
          </w:tcPr>
          <w:p>
            <w:pPr>
              <w:spacing w:after="0"/>
            </w:pPr>
            <w:r/>
            <w:r>
              <w:rPr>
                <w:sz w:val="17"/>
              </w:rPr>
              <w:t>OpenAI, Anthropic, Meta (Llama), Mistral, xAI</w:t>
            </w:r>
          </w:p>
        </w:tc>
        <w:tc>
          <w:tcPr>
            <w:tcW w:type="dxa" w:w="1560"/>
          </w:tcPr>
          <w:p>
            <w:pPr>
              <w:spacing w:after="0"/>
            </w:pPr>
            <w:r/>
            <w:r>
              <w:rPr>
                <w:sz w:val="17"/>
              </w:rPr>
              <w:t>list</w:t>
            </w:r>
          </w:p>
        </w:tc>
        <w:tc>
          <w:tcPr>
            <w:tcW w:type="dxa" w:w="1560"/>
          </w:tcPr>
          <w:p>
            <w:pPr>
              <w:spacing w:after="0"/>
            </w:pPr>
            <w:r/>
            <w:r>
              <w:rPr>
                <w:sz w:val="17"/>
              </w:rPr>
              <w:t>Coverage audited Sep 6 2026 (see PLAYER-COVERAGE note in market metadata)</w:t>
            </w:r>
          </w:p>
        </w:tc>
      </w:tr>
      <w:tr>
        <w:tc>
          <w:tcPr>
            <w:tcW w:type="dxa" w:w="1560"/>
            <w:shd w:val="clear" w:color="auto" w:fill="EDF1F5"/>
          </w:tcPr>
          <w:p>
            <w:pPr>
              <w:spacing w:after="0"/>
            </w:pPr>
            <w:r/>
            <w:r>
              <w:rPr>
                <w:sz w:val="17"/>
              </w:rPr>
              <w:t>V-LL-REV</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LLM Wrappers revenue</w:t>
            </w:r>
          </w:p>
        </w:tc>
        <w:tc>
          <w:tcPr>
            <w:tcW w:type="dxa" w:w="1560"/>
            <w:shd w:val="clear" w:color="auto" w:fill="EDF1F5"/>
          </w:tcPr>
          <w:p>
            <w:pPr>
              <w:spacing w:after="0"/>
            </w:pPr>
            <w:r/>
            <w:r>
              <w:rPr>
                <w:sz w:val="17"/>
              </w:rPr>
              <w:t>36.0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Verified Sep 6 2026 vs primary sources (see revenue code comments)</w:t>
            </w:r>
          </w:p>
        </w:tc>
      </w:tr>
      <w:tr>
        <w:tc>
          <w:tcPr>
            <w:tcW w:type="dxa" w:w="1560"/>
          </w:tcPr>
          <w:p>
            <w:pPr>
              <w:spacing w:after="0"/>
            </w:pPr>
            <w:r/>
            <w:r>
              <w:rPr>
                <w:sz w:val="17"/>
              </w:rPr>
              <w:t>V-LL-VAL</w:t>
            </w:r>
          </w:p>
        </w:tc>
        <w:tc>
          <w:tcPr>
            <w:tcW w:type="dxa" w:w="1560"/>
          </w:tcPr>
          <w:p>
            <w:pPr>
              <w:spacing w:after="0"/>
            </w:pPr>
            <w:r/>
            <w:r>
              <w:rPr>
                <w:sz w:val="17"/>
              </w:rPr>
              <w:t>Archetype fundamentals</w:t>
            </w:r>
          </w:p>
        </w:tc>
        <w:tc>
          <w:tcPr>
            <w:tcW w:type="dxa" w:w="1560"/>
          </w:tcPr>
          <w:p>
            <w:pPr>
              <w:spacing w:after="0"/>
            </w:pPr>
            <w:r/>
            <w:r>
              <w:rPr>
                <w:sz w:val="17"/>
              </w:rPr>
              <w:t>LLM Wrappers market valuation</w:t>
            </w:r>
          </w:p>
        </w:tc>
        <w:tc>
          <w:tcPr>
            <w:tcW w:type="dxa" w:w="1560"/>
          </w:tcPr>
          <w:p>
            <w:pPr>
              <w:spacing w:after="0"/>
            </w:pPr>
            <w:r/>
            <w:r>
              <w:rPr>
                <w:sz w:val="17"/>
              </w:rPr>
              <w:t>923.0</w:t>
            </w:r>
          </w:p>
        </w:tc>
        <w:tc>
          <w:tcPr>
            <w:tcW w:type="dxa" w:w="1560"/>
          </w:tcPr>
          <w:p>
            <w:pPr>
              <w:spacing w:after="0"/>
            </w:pPr>
            <w:r/>
            <w:r>
              <w:rPr>
                <w:sz w:val="17"/>
              </w:rPr>
              <w:t>$B</w:t>
            </w:r>
          </w:p>
        </w:tc>
        <w:tc>
          <w:tcPr>
            <w:tcW w:type="dxa" w:w="1560"/>
          </w:tcPr>
          <w:p>
            <w:pPr>
              <w:spacing w:after="0"/>
            </w:pPr>
            <w:r/>
            <w:r>
              <w:rPr>
                <w:sz w:val="17"/>
              </w:rPr>
              <w:t>Verified Sep 6 2026 vs market caps/rounds (see valuation code comments)</w:t>
            </w:r>
          </w:p>
        </w:tc>
      </w:tr>
      <w:tr>
        <w:tc>
          <w:tcPr>
            <w:tcW w:type="dxa" w:w="1560"/>
            <w:shd w:val="clear" w:color="auto" w:fill="EDF1F5"/>
          </w:tcPr>
          <w:p>
            <w:pPr>
              <w:spacing w:after="0"/>
            </w:pPr>
            <w:r/>
            <w:r>
              <w:rPr>
                <w:sz w:val="17"/>
              </w:rPr>
              <w:t>V-LL-MGN</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LLM Wrappers operating margin</w:t>
            </w:r>
          </w:p>
        </w:tc>
        <w:tc>
          <w:tcPr>
            <w:tcW w:type="dxa" w:w="1560"/>
            <w:shd w:val="clear" w:color="auto" w:fill="EDF1F5"/>
          </w:tcPr>
          <w:p>
            <w:pPr>
              <w:spacing w:after="0"/>
            </w:pPr>
            <w:r/>
            <w:r>
              <w:rPr>
                <w:sz w:val="17"/>
              </w:rPr>
              <w:t>0.190</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Revenue-weighted from Q2/FY26 filings (see margin code comments); display-only</w:t>
            </w:r>
          </w:p>
        </w:tc>
      </w:tr>
      <w:tr>
        <w:tc>
          <w:tcPr>
            <w:tcW w:type="dxa" w:w="1560"/>
          </w:tcPr>
          <w:p>
            <w:pPr>
              <w:spacing w:after="0"/>
            </w:pPr>
            <w:r/>
            <w:r>
              <w:rPr>
                <w:sz w:val="17"/>
              </w:rPr>
              <w:t>V-LL-PRF</w:t>
            </w:r>
          </w:p>
        </w:tc>
        <w:tc>
          <w:tcPr>
            <w:tcW w:type="dxa" w:w="1560"/>
          </w:tcPr>
          <w:p>
            <w:pPr>
              <w:spacing w:after="0"/>
            </w:pPr>
            <w:r/>
            <w:r>
              <w:rPr>
                <w:sz w:val="17"/>
              </w:rPr>
              <w:t>Archetype fundamentals</w:t>
            </w:r>
          </w:p>
        </w:tc>
        <w:tc>
          <w:tcPr>
            <w:tcW w:type="dxa" w:w="1560"/>
          </w:tcPr>
          <w:p>
            <w:pPr>
              <w:spacing w:after="0"/>
            </w:pPr>
            <w:r/>
            <w:r>
              <w:rPr>
                <w:sz w:val="17"/>
              </w:rPr>
              <w:t>LLM Wrappers profitability label</w:t>
            </w:r>
          </w:p>
        </w:tc>
        <w:tc>
          <w:tcPr>
            <w:tcW w:type="dxa" w:w="1560"/>
          </w:tcPr>
          <w:p>
            <w:pPr>
              <w:spacing w:after="0"/>
            </w:pPr>
            <w:r/>
            <w:r>
              <w:rPr>
                <w:sz w:val="17"/>
              </w:rPr>
              <w:t>Mixed</w:t>
            </w:r>
          </w:p>
        </w:tc>
        <w:tc>
          <w:tcPr>
            <w:tcW w:type="dxa" w:w="1560"/>
          </w:tcPr>
          <w:p>
            <w:pPr>
              <w:spacing w:after="0"/>
            </w:pPr>
            <w:r/>
            <w:r>
              <w:rPr>
                <w:sz w:val="17"/>
              </w:rPr>
              <w:t>label</w:t>
            </w:r>
          </w:p>
        </w:tc>
        <w:tc>
          <w:tcPr>
            <w:tcW w:type="dxa" w:w="1560"/>
          </w:tcPr>
          <w:p>
            <w:pPr>
              <w:spacing w:after="0"/>
            </w:pPr>
            <w:r/>
            <w:r>
              <w:rPr>
                <w:sz w:val="17"/>
              </w:rPr>
              <w:t>Follows the blended margin above</w:t>
            </w:r>
          </w:p>
        </w:tc>
      </w:tr>
      <w:tr>
        <w:tc>
          <w:tcPr>
            <w:tcW w:type="dxa" w:w="1560"/>
            <w:shd w:val="clear" w:color="auto" w:fill="EDF1F5"/>
          </w:tcPr>
          <w:p>
            <w:pPr>
              <w:spacing w:after="0"/>
            </w:pPr>
            <w:r/>
            <w:r>
              <w:rPr>
                <w:sz w:val="17"/>
              </w:rPr>
              <w:t>V-LL-RSK</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LLM Wrappers strategic risk</w:t>
            </w:r>
          </w:p>
        </w:tc>
        <w:tc>
          <w:tcPr>
            <w:tcW w:type="dxa" w:w="1560"/>
            <w:shd w:val="clear" w:color="auto" w:fill="EDF1F5"/>
          </w:tcPr>
          <w:p>
            <w:pPr>
              <w:spacing w:after="0"/>
            </w:pPr>
            <w:r/>
            <w:r>
              <w:rPr>
                <w:sz w:val="17"/>
              </w:rPr>
              <w:t>High</w:t>
            </w:r>
          </w:p>
        </w:tc>
        <w:tc>
          <w:tcPr>
            <w:tcW w:type="dxa" w:w="1560"/>
            <w:shd w:val="clear" w:color="auto" w:fill="EDF1F5"/>
          </w:tcPr>
          <w:p>
            <w:pPr>
              <w:spacing w:after="0"/>
            </w:pPr>
            <w:r/>
            <w:r>
              <w:rPr>
                <w:sz w:val="17"/>
              </w:rPr>
              <w:t>label</w:t>
            </w:r>
          </w:p>
        </w:tc>
        <w:tc>
          <w:tcPr>
            <w:tcW w:type="dxa" w:w="1560"/>
            <w:shd w:val="clear" w:color="auto" w:fill="EDF1F5"/>
          </w:tcPr>
          <w:p>
            <w:pPr>
              <w:spacing w:after="0"/>
            </w:pPr>
            <w:r/>
            <w:r>
              <w:rPr>
                <w:sz w:val="17"/>
              </w:rPr>
              <w:t>Judgment: sub-segment blend (see code comments)</w:t>
            </w:r>
          </w:p>
        </w:tc>
      </w:tr>
      <w:tr>
        <w:tc>
          <w:tcPr>
            <w:tcW w:type="dxa" w:w="1560"/>
          </w:tcPr>
          <w:p>
            <w:pPr>
              <w:spacing w:after="0"/>
            </w:pPr>
            <w:r/>
            <w:r>
              <w:rPr>
                <w:sz w:val="17"/>
              </w:rPr>
              <w:t>V-LL-CIR</w:t>
            </w:r>
          </w:p>
        </w:tc>
        <w:tc>
          <w:tcPr>
            <w:tcW w:type="dxa" w:w="1560"/>
          </w:tcPr>
          <w:p>
            <w:pPr>
              <w:spacing w:after="0"/>
            </w:pPr>
            <w:r/>
            <w:r>
              <w:rPr>
                <w:sz w:val="17"/>
              </w:rPr>
              <w:t>Archetype fundamentals</w:t>
            </w:r>
          </w:p>
        </w:tc>
        <w:tc>
          <w:tcPr>
            <w:tcW w:type="dxa" w:w="1560"/>
          </w:tcPr>
          <w:p>
            <w:pPr>
              <w:spacing w:after="0"/>
            </w:pPr>
            <w:r/>
            <w:r>
              <w:rPr>
                <w:sz w:val="17"/>
              </w:rPr>
              <w:t>LLM Wrappers circular dependency index</w:t>
            </w:r>
          </w:p>
        </w:tc>
        <w:tc>
          <w:tcPr>
            <w:tcW w:type="dxa" w:w="1560"/>
          </w:tcPr>
          <w:p>
            <w:pPr>
              <w:spacing w:after="0"/>
            </w:pPr>
            <w:r/>
            <w:r>
              <w:rPr>
                <w:sz w:val="17"/>
              </w:rPr>
              <w:t>0.65</w:t>
            </w:r>
          </w:p>
        </w:tc>
        <w:tc>
          <w:tcPr>
            <w:tcW w:type="dxa" w:w="1560"/>
          </w:tcPr>
          <w:p>
            <w:pPr>
              <w:spacing w:after="0"/>
            </w:pPr>
            <w:r/>
            <w:r>
              <w:rPr>
                <w:sz w:val="17"/>
              </w:rPr>
              <w:t>index 0-1</w:t>
            </w:r>
          </w:p>
        </w:tc>
        <w:tc>
          <w:tcPr>
            <w:tcW w:type="dxa" w:w="1560"/>
          </w:tcPr>
          <w:p>
            <w:pPr>
              <w:spacing w:after="0"/>
            </w:pPr>
            <w:r/>
            <w:r>
              <w:rPr>
                <w:sz w:val="17"/>
              </w:rPr>
              <w:t>Revenue-weighted judgment (see code comments)</w:t>
            </w:r>
          </w:p>
        </w:tc>
      </w:tr>
      <w:tr>
        <w:tc>
          <w:tcPr>
            <w:tcW w:type="dxa" w:w="1560"/>
            <w:shd w:val="clear" w:color="auto" w:fill="EDF1F5"/>
          </w:tcPr>
          <w:p>
            <w:pPr>
              <w:spacing w:after="0"/>
            </w:pPr>
            <w:r/>
            <w:r>
              <w:rPr>
                <w:sz w:val="17"/>
              </w:rPr>
              <w:t>V-LL-COS</w:t>
            </w:r>
          </w:p>
        </w:tc>
        <w:tc>
          <w:tcPr>
            <w:tcW w:type="dxa" w:w="1560"/>
            <w:shd w:val="clear" w:color="auto" w:fill="EDF1F5"/>
          </w:tcPr>
          <w:p>
            <w:pPr>
              <w:spacing w:after="0"/>
            </w:pPr>
            <w:r/>
            <w:r>
              <w:rPr>
                <w:sz w:val="17"/>
              </w:rPr>
              <w:t>Archetype fundamentals</w:t>
            </w:r>
          </w:p>
        </w:tc>
        <w:tc>
          <w:tcPr>
            <w:tcW w:type="dxa" w:w="1560"/>
            <w:shd w:val="clear" w:color="auto" w:fill="EDF1F5"/>
          </w:tcPr>
          <w:p>
            <w:pPr>
              <w:spacing w:after="0"/>
            </w:pPr>
            <w:r/>
            <w:r>
              <w:rPr>
                <w:sz w:val="17"/>
              </w:rPr>
              <w:t>LLM Wrappers key companies</w:t>
            </w:r>
          </w:p>
        </w:tc>
        <w:tc>
          <w:tcPr>
            <w:tcW w:type="dxa" w:w="1560"/>
            <w:shd w:val="clear" w:color="auto" w:fill="EDF1F5"/>
          </w:tcPr>
          <w:p>
            <w:pPr>
              <w:spacing w:after="0"/>
            </w:pPr>
            <w:r/>
            <w:r>
              <w:rPr>
                <w:sz w:val="17"/>
              </w:rPr>
              <w:t>Palantir, ServiceNow, Databricks, Perplexity, Cursor</w:t>
            </w:r>
          </w:p>
        </w:tc>
        <w:tc>
          <w:tcPr>
            <w:tcW w:type="dxa" w:w="1560"/>
            <w:shd w:val="clear" w:color="auto" w:fill="EDF1F5"/>
          </w:tcPr>
          <w:p>
            <w:pPr>
              <w:spacing w:after="0"/>
            </w:pPr>
            <w:r/>
            <w:r>
              <w:rPr>
                <w:sz w:val="17"/>
              </w:rPr>
              <w:t>list</w:t>
            </w:r>
          </w:p>
        </w:tc>
        <w:tc>
          <w:tcPr>
            <w:tcW w:type="dxa" w:w="1560"/>
            <w:shd w:val="clear" w:color="auto" w:fill="EDF1F5"/>
          </w:tcPr>
          <w:p>
            <w:pPr>
              <w:spacing w:after="0"/>
            </w:pPr>
            <w:r/>
            <w:r>
              <w:rPr>
                <w:sz w:val="17"/>
              </w:rPr>
              <w:t>Coverage audited Sep 6 2026 (see PLAYER-COVERAGE note in market metadata)</w:t>
            </w:r>
          </w:p>
        </w:tc>
      </w:tr>
      <w:tr>
        <w:tc>
          <w:tcPr>
            <w:tcW w:type="dxa" w:w="1560"/>
          </w:tcPr>
          <w:p>
            <w:pPr>
              <w:spacing w:after="0"/>
            </w:pPr>
            <w:r/>
            <w:r>
              <w:rPr>
                <w:sz w:val="17"/>
              </w:rPr>
              <w:t>M-GDP</w:t>
            </w:r>
          </w:p>
        </w:tc>
        <w:tc>
          <w:tcPr>
            <w:tcW w:type="dxa" w:w="1560"/>
          </w:tcPr>
          <w:p>
            <w:pPr>
              <w:spacing w:after="0"/>
            </w:pPr>
            <w:r/>
            <w:r>
              <w:rPr>
                <w:sz w:val="17"/>
              </w:rPr>
              <w:t>Macro / market</w:t>
            </w:r>
          </w:p>
        </w:tc>
        <w:tc>
          <w:tcPr>
            <w:tcW w:type="dxa" w:w="1560"/>
          </w:tcPr>
          <w:p>
            <w:pPr>
              <w:spacing w:after="0"/>
            </w:pPr>
            <w:r/>
            <w:r>
              <w:rPr>
                <w:sz w:val="17"/>
              </w:rPr>
              <w:t>US 2025 nominal GDP</w:t>
            </w:r>
          </w:p>
        </w:tc>
        <w:tc>
          <w:tcPr>
            <w:tcW w:type="dxa" w:w="1560"/>
          </w:tcPr>
          <w:p>
            <w:pPr>
              <w:spacing w:after="0"/>
            </w:pPr>
            <w:r/>
            <w:r>
              <w:rPr>
                <w:sz w:val="17"/>
              </w:rPr>
              <w:t>30767.1</w:t>
            </w:r>
          </w:p>
        </w:tc>
        <w:tc>
          <w:tcPr>
            <w:tcW w:type="dxa" w:w="1560"/>
          </w:tcPr>
          <w:p>
            <w:pPr>
              <w:spacing w:after="0"/>
            </w:pPr>
            <w:r/>
            <w:r>
              <w:rPr>
                <w:sz w:val="17"/>
              </w:rPr>
              <w:t>$B</w:t>
            </w:r>
          </w:p>
        </w:tc>
        <w:tc>
          <w:tcPr>
            <w:tcW w:type="dxa" w:w="1560"/>
          </w:tcPr>
          <w:p>
            <w:pPr>
              <w:spacing w:after="0"/>
            </w:pPr>
            <w:r/>
            <w:r>
              <w:rPr>
                <w:sz w:val="17"/>
              </w:rPr>
              <w:t>BEA National Income and Product Accounts, Year-2025 second estimate $30,767.1B (Mar 2026 release; re-verified Sep 22 2026)</w:t>
            </w:r>
          </w:p>
        </w:tc>
      </w:tr>
      <w:tr>
        <w:tc>
          <w:tcPr>
            <w:tcW w:type="dxa" w:w="1560"/>
            <w:shd w:val="clear" w:color="auto" w:fill="EDF1F5"/>
          </w:tcPr>
          <w:p>
            <w:pPr>
              <w:spacing w:after="0"/>
            </w:pPr>
            <w:r/>
            <w:r>
              <w:rPr>
                <w:sz w:val="17"/>
              </w:rPr>
              <w:t>M-AICAPEX25</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US 2025 AI capex</w:t>
            </w:r>
          </w:p>
        </w:tc>
        <w:tc>
          <w:tcPr>
            <w:tcW w:type="dxa" w:w="1560"/>
            <w:shd w:val="clear" w:color="auto" w:fill="EDF1F5"/>
          </w:tcPr>
          <w:p>
            <w:pPr>
              <w:spacing w:after="0"/>
            </w:pPr>
            <w:r/>
            <w:r>
              <w:rPr>
                <w:sz w:val="17"/>
              </w:rPr>
              <w:t>400.0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Big Four 2025 actuals ~$400B combined (GOOGL $85B + AMZN $110B + META $72B + MSFT $110B; re-verified Sep 22 2026)</w:t>
            </w:r>
          </w:p>
        </w:tc>
      </w:tr>
      <w:tr>
        <w:tc>
          <w:tcPr>
            <w:tcW w:type="dxa" w:w="1560"/>
          </w:tcPr>
          <w:p>
            <w:pPr>
              <w:spacing w:after="0"/>
            </w:pPr>
            <w:r/>
            <w:r>
              <w:rPr>
                <w:sz w:val="17"/>
              </w:rPr>
              <w:t>M-HSCAPEX26</w:t>
            </w:r>
          </w:p>
        </w:tc>
        <w:tc>
          <w:tcPr>
            <w:tcW w:type="dxa" w:w="1560"/>
          </w:tcPr>
          <w:p>
            <w:pPr>
              <w:spacing w:after="0"/>
            </w:pPr>
            <w:r/>
            <w:r>
              <w:rPr>
                <w:sz w:val="17"/>
              </w:rPr>
              <w:t>Macro / market</w:t>
            </w:r>
          </w:p>
        </w:tc>
        <w:tc>
          <w:tcPr>
            <w:tcW w:type="dxa" w:w="1560"/>
          </w:tcPr>
          <w:p>
            <w:pPr>
              <w:spacing w:after="0"/>
            </w:pPr>
            <w:r/>
            <w:r>
              <w:rPr>
                <w:sz w:val="17"/>
              </w:rPr>
              <w:t>Hyperscaler 2026 capex</w:t>
            </w:r>
          </w:p>
        </w:tc>
        <w:tc>
          <w:tcPr>
            <w:tcW w:type="dxa" w:w="1560"/>
          </w:tcPr>
          <w:p>
            <w:pPr>
              <w:spacing w:after="0"/>
            </w:pPr>
            <w:r/>
            <w:r>
              <w:rPr>
                <w:sz w:val="17"/>
              </w:rPr>
              <w:t>733.0</w:t>
            </w:r>
          </w:p>
        </w:tc>
        <w:tc>
          <w:tcPr>
            <w:tcW w:type="dxa" w:w="1560"/>
          </w:tcPr>
          <w:p>
            <w:pPr>
              <w:spacing w:after="0"/>
            </w:pPr>
            <w:r/>
            <w:r>
              <w:rPr>
                <w:sz w:val="17"/>
              </w:rPr>
              <w:t>$B</w:t>
            </w:r>
          </w:p>
        </w:tc>
        <w:tc>
          <w:tcPr>
            <w:tcW w:type="dxa" w:w="1560"/>
          </w:tcPr>
          <w:p>
            <w:pPr>
              <w:spacing w:after="0"/>
            </w:pPr>
            <w:r/>
            <w:r>
              <w:rPr>
                <w:sz w:val="17"/>
              </w:rPr>
              <w:t>Company 2026E guidance sum ~$733B (GOOGL $200B + AMZN $220B + META $138B + MSFT $175B; re-verified Sep 22 2026)</w:t>
            </w:r>
          </w:p>
        </w:tc>
      </w:tr>
      <w:tr>
        <w:tc>
          <w:tcPr>
            <w:tcW w:type="dxa" w:w="1560"/>
            <w:shd w:val="clear" w:color="auto" w:fill="EDF1F5"/>
          </w:tcPr>
          <w:p>
            <w:pPr>
              <w:spacing w:after="0"/>
            </w:pPr>
            <w:r/>
            <w:r>
              <w:rPr>
                <w:sz w:val="17"/>
              </w:rPr>
              <w:t>M-CAGR</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AI market CAGR 2024-2030</w:t>
            </w:r>
          </w:p>
        </w:tc>
        <w:tc>
          <w:tcPr>
            <w:tcW w:type="dxa" w:w="1560"/>
            <w:shd w:val="clear" w:color="auto" w:fill="EDF1F5"/>
          </w:tcPr>
          <w:p>
            <w:pPr>
              <w:spacing w:after="0"/>
            </w:pPr>
            <w:r/>
            <w:r>
              <w:rPr>
                <w:sz w:val="17"/>
              </w:rPr>
              <w:t>0.30</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IDC Spending Guide 29% (2024-28); IDC FutureScape 32%; UBS 25% (30% central)</w:t>
            </w:r>
          </w:p>
        </w:tc>
      </w:tr>
      <w:tr>
        <w:tc>
          <w:tcPr>
            <w:tcW w:type="dxa" w:w="1560"/>
          </w:tcPr>
          <w:p>
            <w:pPr>
              <w:spacing w:after="0"/>
            </w:pPr>
            <w:r/>
            <w:r>
              <w:rPr>
                <w:sz w:val="17"/>
              </w:rPr>
              <w:t>M-RF</w:t>
            </w:r>
          </w:p>
        </w:tc>
        <w:tc>
          <w:tcPr>
            <w:tcW w:type="dxa" w:w="1560"/>
          </w:tcPr>
          <w:p>
            <w:pPr>
              <w:spacing w:after="0"/>
            </w:pPr>
            <w:r/>
            <w:r>
              <w:rPr>
                <w:sz w:val="17"/>
              </w:rPr>
              <w:t>Macro / market</w:t>
            </w:r>
          </w:p>
        </w:tc>
        <w:tc>
          <w:tcPr>
            <w:tcW w:type="dxa" w:w="1560"/>
          </w:tcPr>
          <w:p>
            <w:pPr>
              <w:spacing w:after="0"/>
            </w:pPr>
            <w:r/>
            <w:r>
              <w:rPr>
                <w:sz w:val="17"/>
              </w:rPr>
              <w:t>Risk-free rate (10Y)</w:t>
            </w:r>
          </w:p>
        </w:tc>
        <w:tc>
          <w:tcPr>
            <w:tcW w:type="dxa" w:w="1560"/>
          </w:tcPr>
          <w:p>
            <w:pPr>
              <w:spacing w:after="0"/>
            </w:pPr>
            <w:r/>
            <w:r>
              <w:rPr>
                <w:sz w:val="17"/>
              </w:rPr>
              <w:t>0.0480</w:t>
            </w:r>
          </w:p>
        </w:tc>
        <w:tc>
          <w:tcPr>
            <w:tcW w:type="dxa" w:w="1560"/>
          </w:tcPr>
          <w:p>
            <w:pPr>
              <w:spacing w:after="0"/>
            </w:pPr>
            <w:r/>
            <w:r>
              <w:rPr>
                <w:sz w:val="17"/>
              </w:rPr>
              <w:t>rate</w:t>
            </w:r>
          </w:p>
        </w:tc>
        <w:tc>
          <w:tcPr>
            <w:tcW w:type="dxa" w:w="1560"/>
          </w:tcPr>
          <w:p>
            <w:pPr>
              <w:spacing w:after="0"/>
            </w:pPr>
            <w:r/>
            <w:r>
              <w:rPr>
                <w:sz w:val="17"/>
              </w:rPr>
              <w:t>US Treasury 10Y 4.795% Sep 1 2026 (Bloomberg/WSJ)</w:t>
            </w:r>
          </w:p>
        </w:tc>
      </w:tr>
      <w:tr>
        <w:tc>
          <w:tcPr>
            <w:tcW w:type="dxa" w:w="1560"/>
            <w:shd w:val="clear" w:color="auto" w:fill="EDF1F5"/>
          </w:tcPr>
          <w:p>
            <w:pPr>
              <w:spacing w:after="0"/>
            </w:pPr>
            <w:r/>
            <w:r>
              <w:rPr>
                <w:sz w:val="17"/>
              </w:rPr>
              <w:t>M-ERP</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Equity risk premium</w:t>
            </w:r>
          </w:p>
        </w:tc>
        <w:tc>
          <w:tcPr>
            <w:tcW w:type="dxa" w:w="1560"/>
            <w:shd w:val="clear" w:color="auto" w:fill="EDF1F5"/>
          </w:tcPr>
          <w:p>
            <w:pPr>
              <w:spacing w:after="0"/>
            </w:pPr>
            <w:r/>
            <w:r>
              <w:rPr>
                <w:sz w:val="17"/>
              </w:rPr>
              <w:t>0.042</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Damodaran implied ERP 4.18% end-2025, base 4.17% mid-2026 (NYU Stern)</w:t>
            </w:r>
          </w:p>
        </w:tc>
      </w:tr>
      <w:tr>
        <w:tc>
          <w:tcPr>
            <w:tcW w:type="dxa" w:w="1560"/>
          </w:tcPr>
          <w:p>
            <w:pPr>
              <w:spacing w:after="0"/>
            </w:pPr>
            <w:r/>
            <w:r>
              <w:rPr>
                <w:sz w:val="17"/>
              </w:rPr>
              <w:t>M-2Y</w:t>
            </w:r>
          </w:p>
        </w:tc>
        <w:tc>
          <w:tcPr>
            <w:tcW w:type="dxa" w:w="1560"/>
          </w:tcPr>
          <w:p>
            <w:pPr>
              <w:spacing w:after="0"/>
            </w:pPr>
            <w:r/>
            <w:r>
              <w:rPr>
                <w:sz w:val="17"/>
              </w:rPr>
              <w:t>Macro / market</w:t>
            </w:r>
          </w:p>
        </w:tc>
        <w:tc>
          <w:tcPr>
            <w:tcW w:type="dxa" w:w="1560"/>
          </w:tcPr>
          <w:p>
            <w:pPr>
              <w:spacing w:after="0"/>
            </w:pPr>
            <w:r/>
            <w:r>
              <w:rPr>
                <w:sz w:val="17"/>
              </w:rPr>
              <w:t>2Y Treasury</w:t>
            </w:r>
          </w:p>
        </w:tc>
        <w:tc>
          <w:tcPr>
            <w:tcW w:type="dxa" w:w="1560"/>
          </w:tcPr>
          <w:p>
            <w:pPr>
              <w:spacing w:after="0"/>
            </w:pPr>
            <w:r/>
            <w:r>
              <w:rPr>
                <w:sz w:val="17"/>
              </w:rPr>
              <w:t>0.0440</w:t>
            </w:r>
          </w:p>
        </w:tc>
        <w:tc>
          <w:tcPr>
            <w:tcW w:type="dxa" w:w="1560"/>
          </w:tcPr>
          <w:p>
            <w:pPr>
              <w:spacing w:after="0"/>
            </w:pPr>
            <w:r/>
            <w:r>
              <w:rPr>
                <w:sz w:val="17"/>
              </w:rPr>
              <w:t>rate</w:t>
            </w:r>
          </w:p>
        </w:tc>
        <w:tc>
          <w:tcPr>
            <w:tcW w:type="dxa" w:w="1560"/>
          </w:tcPr>
          <w:p>
            <w:pPr>
              <w:spacing w:after="0"/>
            </w:pPr>
            <w:r/>
            <w:r>
              <w:rPr>
                <w:sz w:val="17"/>
              </w:rPr>
              <w:t>FRED 4.392% Sep 1 2026</w:t>
            </w:r>
          </w:p>
        </w:tc>
      </w:tr>
      <w:tr>
        <w:tc>
          <w:tcPr>
            <w:tcW w:type="dxa" w:w="1560"/>
            <w:shd w:val="clear" w:color="auto" w:fill="EDF1F5"/>
          </w:tcPr>
          <w:p>
            <w:pPr>
              <w:spacing w:after="0"/>
            </w:pPr>
            <w:r/>
            <w:r>
              <w:rPr>
                <w:sz w:val="17"/>
              </w:rPr>
              <w:t>M-30Y</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30Y Treasury</w:t>
            </w:r>
          </w:p>
        </w:tc>
        <w:tc>
          <w:tcPr>
            <w:tcW w:type="dxa" w:w="1560"/>
            <w:shd w:val="clear" w:color="auto" w:fill="EDF1F5"/>
          </w:tcPr>
          <w:p>
            <w:pPr>
              <w:spacing w:after="0"/>
            </w:pPr>
            <w:r/>
            <w:r>
              <w:rPr>
                <w:sz w:val="17"/>
              </w:rPr>
              <w:t>0.0527</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FRED/WSJ 5.27% Sep 1 2026</w:t>
            </w:r>
          </w:p>
        </w:tc>
      </w:tr>
      <w:tr>
        <w:tc>
          <w:tcPr>
            <w:tcW w:type="dxa" w:w="1560"/>
          </w:tcPr>
          <w:p>
            <w:pPr>
              <w:spacing w:after="0"/>
            </w:pPr>
            <w:r/>
            <w:r>
              <w:rPr>
                <w:sz w:val="17"/>
              </w:rPr>
              <w:t>M-TGR</w:t>
            </w:r>
          </w:p>
        </w:tc>
        <w:tc>
          <w:tcPr>
            <w:tcW w:type="dxa" w:w="1560"/>
          </w:tcPr>
          <w:p>
            <w:pPr>
              <w:spacing w:after="0"/>
            </w:pPr>
            <w:r/>
            <w:r>
              <w:rPr>
                <w:sz w:val="17"/>
              </w:rPr>
              <w:t>Macro / market</w:t>
            </w:r>
          </w:p>
        </w:tc>
        <w:tc>
          <w:tcPr>
            <w:tcW w:type="dxa" w:w="1560"/>
          </w:tcPr>
          <w:p>
            <w:pPr>
              <w:spacing w:after="0"/>
            </w:pPr>
            <w:r/>
            <w:r>
              <w:rPr>
                <w:sz w:val="17"/>
              </w:rPr>
              <w:t>Terminal growth rate</w:t>
            </w:r>
          </w:p>
        </w:tc>
        <w:tc>
          <w:tcPr>
            <w:tcW w:type="dxa" w:w="1560"/>
          </w:tcPr>
          <w:p>
            <w:pPr>
              <w:spacing w:after="0"/>
            </w:pPr>
            <w:r/>
            <w:r>
              <w:rPr>
                <w:sz w:val="17"/>
              </w:rPr>
              <w:t>0.025</w:t>
            </w:r>
          </w:p>
        </w:tc>
        <w:tc>
          <w:tcPr>
            <w:tcW w:type="dxa" w:w="1560"/>
          </w:tcPr>
          <w:p>
            <w:pPr>
              <w:spacing w:after="0"/>
            </w:pPr>
            <w:r/>
            <w:r>
              <w:rPr>
                <w:sz w:val="17"/>
              </w:rPr>
              <w:t>rate</w:t>
            </w:r>
          </w:p>
        </w:tc>
        <w:tc>
          <w:tcPr>
            <w:tcW w:type="dxa" w:w="1560"/>
          </w:tcPr>
          <w:p>
            <w:pPr>
              <w:spacing w:after="0"/>
            </w:pPr>
            <w:r/>
            <w:r>
              <w:rPr>
                <w:sz w:val="17"/>
              </w:rPr>
              <w:t>Standard conservative assumption (below long-run nominal GDP)</w:t>
            </w:r>
          </w:p>
        </w:tc>
      </w:tr>
      <w:tr>
        <w:tc>
          <w:tcPr>
            <w:tcW w:type="dxa" w:w="1560"/>
            <w:shd w:val="clear" w:color="auto" w:fill="EDF1F5"/>
          </w:tcPr>
          <w:p>
            <w:pPr>
              <w:spacing w:after="0"/>
            </w:pPr>
            <w:r/>
            <w:r>
              <w:rPr>
                <w:sz w:val="17"/>
              </w:rPr>
              <w:t>M-BUB</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Bubble index threshold</w:t>
            </w:r>
          </w:p>
        </w:tc>
        <w:tc>
          <w:tcPr>
            <w:tcW w:type="dxa" w:w="1560"/>
            <w:shd w:val="clear" w:color="auto" w:fill="EDF1F5"/>
          </w:tcPr>
          <w:p>
            <w:pPr>
              <w:spacing w:after="0"/>
            </w:pPr>
            <w:r/>
            <w:r>
              <w:rPr>
                <w:sz w:val="17"/>
              </w:rPr>
              <w:t>75.0</w:t>
            </w:r>
          </w:p>
        </w:tc>
        <w:tc>
          <w:tcPr>
            <w:tcW w:type="dxa" w:w="1560"/>
            <w:shd w:val="clear" w:color="auto" w:fill="EDF1F5"/>
          </w:tcPr>
          <w:p>
            <w:pPr>
              <w:spacing w:after="0"/>
            </w:pPr>
            <w:r/>
            <w:r>
              <w:rPr>
                <w:sz w:val="17"/>
              </w:rPr>
              <w:t>index points</w:t>
            </w:r>
          </w:p>
        </w:tc>
        <w:tc>
          <w:tcPr>
            <w:tcW w:type="dxa" w:w="1560"/>
            <w:shd w:val="clear" w:color="auto" w:fill="EDF1F5"/>
          </w:tcPr>
          <w:p>
            <w:pPr>
              <w:spacing w:after="0"/>
            </w:pPr>
            <w:r/>
            <w:r>
              <w:rPr>
                <w:sz w:val="17"/>
              </w:rPr>
              <w:t>Calibration threshold</w:t>
            </w:r>
          </w:p>
        </w:tc>
      </w:tr>
      <w:tr>
        <w:tc>
          <w:tcPr>
            <w:tcW w:type="dxa" w:w="1560"/>
          </w:tcPr>
          <w:p>
            <w:pPr>
              <w:spacing w:after="0"/>
            </w:pPr>
            <w:r/>
            <w:r>
              <w:rPr>
                <w:sz w:val="17"/>
              </w:rPr>
              <w:t>M-DC2050</w:t>
            </w:r>
          </w:p>
        </w:tc>
        <w:tc>
          <w:tcPr>
            <w:tcW w:type="dxa" w:w="1560"/>
          </w:tcPr>
          <w:p>
            <w:pPr>
              <w:spacing w:after="0"/>
            </w:pPr>
            <w:r/>
            <w:r>
              <w:rPr>
                <w:sz w:val="17"/>
              </w:rPr>
              <w:t>Macro / market</w:t>
            </w:r>
          </w:p>
        </w:tc>
        <w:tc>
          <w:tcPr>
            <w:tcW w:type="dxa" w:w="1560"/>
          </w:tcPr>
          <w:p>
            <w:pPr>
              <w:spacing w:after="0"/>
            </w:pPr>
            <w:r/>
            <w:r>
              <w:rPr>
                <w:sz w:val="17"/>
              </w:rPr>
              <w:t>Data-center spend to 2050</w:t>
            </w:r>
          </w:p>
        </w:tc>
        <w:tc>
          <w:tcPr>
            <w:tcW w:type="dxa" w:w="1560"/>
          </w:tcPr>
          <w:p>
            <w:pPr>
              <w:spacing w:after="0"/>
            </w:pPr>
            <w:r/>
            <w:r>
              <w:rPr>
                <w:sz w:val="17"/>
              </w:rPr>
              <w:t>31.6</w:t>
            </w:r>
          </w:p>
        </w:tc>
        <w:tc>
          <w:tcPr>
            <w:tcW w:type="dxa" w:w="1560"/>
          </w:tcPr>
          <w:p>
            <w:pPr>
              <w:spacing w:after="0"/>
            </w:pPr>
            <w:r/>
            <w:r>
              <w:rPr>
                <w:sz w:val="17"/>
              </w:rPr>
              <w:t>$T</w:t>
            </w:r>
          </w:p>
        </w:tc>
        <w:tc>
          <w:tcPr>
            <w:tcW w:type="dxa" w:w="1560"/>
          </w:tcPr>
          <w:p>
            <w:pPr>
              <w:spacing w:after="0"/>
            </w:pPr>
            <w:r/>
            <w:r>
              <w:rPr>
                <w:sz w:val="17"/>
              </w:rPr>
              <w:t>PwC Global Data Center Outlook 2026-50, central (Oxford Economics)</w:t>
            </w:r>
          </w:p>
        </w:tc>
      </w:tr>
      <w:tr>
        <w:tc>
          <w:tcPr>
            <w:tcW w:type="dxa" w:w="1560"/>
            <w:shd w:val="clear" w:color="auto" w:fill="EDF1F5"/>
          </w:tcPr>
          <w:p>
            <w:pPr>
              <w:spacing w:after="0"/>
            </w:pPr>
            <w:r/>
            <w:r>
              <w:rPr>
                <w:sz w:val="17"/>
              </w:rPr>
              <w:t>M-MCAP</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Total AI market cap</w:t>
            </w:r>
          </w:p>
        </w:tc>
        <w:tc>
          <w:tcPr>
            <w:tcW w:type="dxa" w:w="1560"/>
            <w:shd w:val="clear" w:color="auto" w:fill="EDF1F5"/>
          </w:tcPr>
          <w:p>
            <w:pPr>
              <w:spacing w:after="0"/>
            </w:pPr>
            <w:r/>
            <w:r>
              <w:rPr>
                <w:sz w:val="17"/>
              </w:rPr>
              <w:t>23181.0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Exact sum of validated archetype valuations</w:t>
            </w:r>
          </w:p>
        </w:tc>
      </w:tr>
      <w:tr>
        <w:tc>
          <w:tcPr>
            <w:tcW w:type="dxa" w:w="1560"/>
          </w:tcPr>
          <w:p>
            <w:pPr>
              <w:spacing w:after="0"/>
            </w:pPr>
            <w:r/>
            <w:r>
              <w:rPr>
                <w:sz w:val="17"/>
              </w:rPr>
              <w:t>M-CIRCEXP</w:t>
            </w:r>
          </w:p>
        </w:tc>
        <w:tc>
          <w:tcPr>
            <w:tcW w:type="dxa" w:w="1560"/>
          </w:tcPr>
          <w:p>
            <w:pPr>
              <w:spacing w:after="0"/>
            </w:pPr>
            <w:r/>
            <w:r>
              <w:rPr>
                <w:sz w:val="17"/>
              </w:rPr>
              <w:t>Macro / market</w:t>
            </w:r>
          </w:p>
        </w:tc>
        <w:tc>
          <w:tcPr>
            <w:tcW w:type="dxa" w:w="1560"/>
          </w:tcPr>
          <w:p>
            <w:pPr>
              <w:spacing w:after="0"/>
            </w:pPr>
            <w:r/>
            <w:r>
              <w:rPr>
                <w:sz w:val="17"/>
              </w:rPr>
              <w:t>Circular exposure (committed)</w:t>
            </w:r>
          </w:p>
        </w:tc>
        <w:tc>
          <w:tcPr>
            <w:tcW w:type="dxa" w:w="1560"/>
          </w:tcPr>
          <w:p>
            <w:pPr>
              <w:spacing w:after="0"/>
            </w:pPr>
            <w:r/>
            <w:r>
              <w:rPr>
                <w:sz w:val="17"/>
              </w:rPr>
              <w:t>675.40</w:t>
            </w:r>
          </w:p>
        </w:tc>
        <w:tc>
          <w:tcPr>
            <w:tcW w:type="dxa" w:w="1560"/>
          </w:tcPr>
          <w:p>
            <w:pPr>
              <w:spacing w:after="0"/>
            </w:pPr>
            <w:r/>
            <w:r>
              <w:rPr>
                <w:sz w:val="17"/>
              </w:rPr>
              <w:t>$B</w:t>
            </w:r>
          </w:p>
        </w:tc>
        <w:tc>
          <w:tcPr>
            <w:tcW w:type="dxa" w:w="1560"/>
          </w:tcPr>
          <w:p>
            <w:pPr>
              <w:spacing w:after="0"/>
            </w:pPr>
            <w:r/>
            <w:r>
              <w:rPr>
                <w:sz w:val="17"/>
              </w:rPr>
              <w:t>Committed dependency-frame sum (17 of 19 tracked rows; $500B MOU facility prospective + $12.93B HF acquisition vertical-integration tracked in D-rows, excluded)</w:t>
            </w:r>
          </w:p>
        </w:tc>
      </w:tr>
      <w:tr>
        <w:tc>
          <w:tcPr>
            <w:tcW w:type="dxa" w:w="1560"/>
            <w:shd w:val="clear" w:color="auto" w:fill="EDF1F5"/>
          </w:tcPr>
          <w:p>
            <w:pPr>
              <w:spacing w:after="0"/>
            </w:pPr>
            <w:r/>
            <w:r>
              <w:rPr>
                <w:sz w:val="17"/>
              </w:rPr>
              <w:t>M-NVPF</w:t>
            </w:r>
          </w:p>
        </w:tc>
        <w:tc>
          <w:tcPr>
            <w:tcW w:type="dxa" w:w="1560"/>
            <w:shd w:val="clear" w:color="auto" w:fill="EDF1F5"/>
          </w:tcPr>
          <w:p>
            <w:pPr>
              <w:spacing w:after="0"/>
            </w:pPr>
            <w:r/>
            <w:r>
              <w:rPr>
                <w:sz w:val="17"/>
              </w:rPr>
              <w:t>Macro / market</w:t>
            </w:r>
          </w:p>
        </w:tc>
        <w:tc>
          <w:tcPr>
            <w:tcW w:type="dxa" w:w="1560"/>
            <w:shd w:val="clear" w:color="auto" w:fill="EDF1F5"/>
          </w:tcPr>
          <w:p>
            <w:pPr>
              <w:spacing w:after="0"/>
            </w:pPr>
            <w:r/>
            <w:r>
              <w:rPr>
                <w:sz w:val="17"/>
              </w:rPr>
              <w:t>NVIDIA equity portfolio</w:t>
            </w:r>
          </w:p>
        </w:tc>
        <w:tc>
          <w:tcPr>
            <w:tcW w:type="dxa" w:w="1560"/>
            <w:shd w:val="clear" w:color="auto" w:fill="EDF1F5"/>
          </w:tcPr>
          <w:p>
            <w:pPr>
              <w:spacing w:after="0"/>
            </w:pPr>
            <w:r/>
            <w:r>
              <w:rPr>
                <w:sz w:val="17"/>
              </w:rPr>
              <w:t>99.0</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NVDA 10-Q Jul 26 2026 (~$99B)</w:t>
            </w:r>
          </w:p>
        </w:tc>
      </w:tr>
      <w:tr>
        <w:tc>
          <w:tcPr>
            <w:tcW w:type="dxa" w:w="1560"/>
          </w:tcPr>
          <w:p>
            <w:pPr>
              <w:spacing w:after="0"/>
            </w:pPr>
            <w:r/>
            <w:r>
              <w:rPr>
                <w:sz w:val="17"/>
              </w:rPr>
              <w:t>M-DWL</w:t>
            </w:r>
          </w:p>
        </w:tc>
        <w:tc>
          <w:tcPr>
            <w:tcW w:type="dxa" w:w="1560"/>
          </w:tcPr>
          <w:p>
            <w:pPr>
              <w:spacing w:after="0"/>
            </w:pPr>
            <w:r/>
            <w:r>
              <w:rPr>
                <w:sz w:val="17"/>
              </w:rPr>
              <w:t>Macro / market</w:t>
            </w:r>
          </w:p>
        </w:tc>
        <w:tc>
          <w:tcPr>
            <w:tcW w:type="dxa" w:w="1560"/>
          </w:tcPr>
          <w:p>
            <w:pPr>
              <w:spacing w:after="0"/>
            </w:pPr>
            <w:r/>
            <w:r>
              <w:rPr>
                <w:sz w:val="17"/>
              </w:rPr>
              <w:t>Top-down market DWL share</w:t>
            </w:r>
          </w:p>
        </w:tc>
        <w:tc>
          <w:tcPr>
            <w:tcW w:type="dxa" w:w="1560"/>
          </w:tcPr>
          <w:p>
            <w:pPr>
              <w:spacing w:after="0"/>
            </w:pPr>
            <w:r/>
            <w:r>
              <w:rPr>
                <w:sz w:val="17"/>
              </w:rPr>
              <w:t>28.72</w:t>
            </w:r>
          </w:p>
        </w:tc>
        <w:tc>
          <w:tcPr>
            <w:tcW w:type="dxa" w:w="1560"/>
          </w:tcPr>
          <w:p>
            <w:pPr>
              <w:spacing w:after="0"/>
            </w:pPr>
            <w:r/>
            <w:r>
              <w:rPr>
                <w:sz w:val="17"/>
              </w:rPr>
              <w:t>%</w:t>
            </w:r>
          </w:p>
        </w:tc>
        <w:tc>
          <w:tcPr>
            <w:tcW w:type="dxa" w:w="1560"/>
          </w:tcPr>
          <w:p>
            <w:pPr>
              <w:spacing w:after="0"/>
            </w:pPr>
            <w:r/>
            <w:r>
              <w:rPr>
                <w:sz w:val="17"/>
              </w:rPr>
              <w:t>estimate_market_dwl_pct() (see Section 4 header)</w:t>
            </w:r>
          </w:p>
        </w:tc>
      </w:tr>
      <w:tr>
        <w:tc>
          <w:tcPr>
            <w:tcW w:type="dxa" w:w="1560"/>
            <w:shd w:val="clear" w:color="auto" w:fill="EDF1F5"/>
          </w:tcPr>
          <w:p>
            <w:pPr>
              <w:spacing w:after="0"/>
            </w:pPr>
            <w:r/>
            <w:r>
              <w:rPr>
                <w:sz w:val="17"/>
              </w:rPr>
              <w:t>S-EVNORM</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EV/Revenue norm</w:t>
            </w:r>
          </w:p>
        </w:tc>
        <w:tc>
          <w:tcPr>
            <w:tcW w:type="dxa" w:w="1560"/>
            <w:shd w:val="clear" w:color="auto" w:fill="EDF1F5"/>
          </w:tcPr>
          <w:p>
            <w:pPr>
              <w:spacing w:after="0"/>
            </w:pPr>
            <w:r/>
            <w:r>
              <w:rPr>
                <w:sz w:val="17"/>
              </w:rPr>
              <w:t>6.0</w:t>
            </w:r>
          </w:p>
        </w:tc>
        <w:tc>
          <w:tcPr>
            <w:tcW w:type="dxa" w:w="1560"/>
            <w:shd w:val="clear" w:color="auto" w:fill="EDF1F5"/>
          </w:tcPr>
          <w:p>
            <w:pPr>
              <w:spacing w:after="0"/>
            </w:pPr>
            <w:r/>
            <w:r>
              <w:rPr>
                <w:sz w:val="17"/>
              </w:rPr>
              <w:t>multiple</w:t>
            </w:r>
          </w:p>
        </w:tc>
        <w:tc>
          <w:tcPr>
            <w:tcW w:type="dxa" w:w="1560"/>
            <w:shd w:val="clear" w:color="auto" w:fill="EDF1F5"/>
          </w:tcPr>
          <w:p>
            <w:pPr>
              <w:spacing w:after="0"/>
            </w:pPr>
            <w:r/>
            <w:r>
              <w:rPr>
                <w:sz w:val="17"/>
              </w:rPr>
              <w:t>Conservative bubble threshold (S&amp;P 500 P/S record 3.83 Aug 2026; AI archetypes 15-26x)</w:t>
            </w:r>
          </w:p>
        </w:tc>
      </w:tr>
      <w:tr>
        <w:tc>
          <w:tcPr>
            <w:tcW w:type="dxa" w:w="1560"/>
          </w:tcPr>
          <w:p>
            <w:pPr>
              <w:spacing w:after="0"/>
            </w:pPr>
            <w:r/>
            <w:r>
              <w:rPr>
                <w:sz w:val="17"/>
              </w:rPr>
              <w:t>S-AIS-HA</w:t>
            </w:r>
          </w:p>
        </w:tc>
        <w:tc>
          <w:tcPr>
            <w:tcW w:type="dxa" w:w="1560"/>
          </w:tcPr>
          <w:p>
            <w:pPr>
              <w:spacing w:after="0"/>
            </w:pPr>
            <w:r/>
            <w:r>
              <w:rPr>
                <w:sz w:val="17"/>
              </w:rPr>
              <w:t>Bubble-block scenario</w:t>
            </w:r>
          </w:p>
        </w:tc>
        <w:tc>
          <w:tcPr>
            <w:tcW w:type="dxa" w:w="1560"/>
          </w:tcPr>
          <w:p>
            <w:pPr>
              <w:spacing w:after="0"/>
            </w:pPr>
            <w:r/>
            <w:r>
              <w:rPr>
                <w:sz w:val="17"/>
              </w:rPr>
              <w:t>AI revenue share: Hardware</w:t>
            </w:r>
          </w:p>
        </w:tc>
        <w:tc>
          <w:tcPr>
            <w:tcW w:type="dxa" w:w="1560"/>
          </w:tcPr>
          <w:p>
            <w:pPr>
              <w:spacing w:after="0"/>
            </w:pPr>
            <w:r/>
            <w:r>
              <w:rPr>
                <w:sz w:val="17"/>
              </w:rPr>
              <w:t>0.8</w:t>
            </w:r>
          </w:p>
        </w:tc>
        <w:tc>
          <w:tcPr>
            <w:tcW w:type="dxa" w:w="1560"/>
          </w:tcPr>
          <w:p>
            <w:pPr>
              <w:spacing w:after="0"/>
            </w:pPr>
            <w:r/>
            <w:r>
              <w:rPr>
                <w:sz w:val="17"/>
              </w:rPr>
              <w:t>share</w:t>
            </w:r>
          </w:p>
        </w:tc>
        <w:tc>
          <w:tcPr>
            <w:tcW w:type="dxa" w:w="1560"/>
          </w:tcPr>
          <w:p>
            <w:pPr>
              <w:spacing w:after="0"/>
            </w:pPr>
            <w:r/>
            <w:r>
              <w:rPr>
                <w:sz w:val="17"/>
              </w:rPr>
              <w:t>Scenario parameter: cloud majority non-AI; FM/wrappers pure-play</w:t>
            </w:r>
          </w:p>
        </w:tc>
      </w:tr>
      <w:tr>
        <w:tc>
          <w:tcPr>
            <w:tcW w:type="dxa" w:w="1560"/>
            <w:shd w:val="clear" w:color="auto" w:fill="EDF1F5"/>
          </w:tcPr>
          <w:p>
            <w:pPr>
              <w:spacing w:after="0"/>
            </w:pPr>
            <w:r/>
            <w:r>
              <w:rPr>
                <w:sz w:val="17"/>
              </w:rPr>
              <w:t>S-AIS-CL</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AI revenue share: Cloud Providers</w:t>
            </w:r>
          </w:p>
        </w:tc>
        <w:tc>
          <w:tcPr>
            <w:tcW w:type="dxa" w:w="1560"/>
            <w:shd w:val="clear" w:color="auto" w:fill="EDF1F5"/>
          </w:tcPr>
          <w:p>
            <w:pPr>
              <w:spacing w:after="0"/>
            </w:pPr>
            <w:r/>
            <w:r>
              <w:rPr>
                <w:sz w:val="17"/>
              </w:rPr>
              <w:t>0.3</w:t>
            </w:r>
          </w:p>
        </w:tc>
        <w:tc>
          <w:tcPr>
            <w:tcW w:type="dxa" w:w="1560"/>
            <w:shd w:val="clear" w:color="auto" w:fill="EDF1F5"/>
          </w:tcPr>
          <w:p>
            <w:pPr>
              <w:spacing w:after="0"/>
            </w:pPr>
            <w:r/>
            <w:r>
              <w:rPr>
                <w:sz w:val="17"/>
              </w:rPr>
              <w:t>share</w:t>
            </w:r>
          </w:p>
        </w:tc>
        <w:tc>
          <w:tcPr>
            <w:tcW w:type="dxa" w:w="1560"/>
            <w:shd w:val="clear" w:color="auto" w:fill="EDF1F5"/>
          </w:tcPr>
          <w:p>
            <w:pPr>
              <w:spacing w:after="0"/>
            </w:pPr>
            <w:r/>
            <w:r>
              <w:rPr>
                <w:sz w:val="17"/>
              </w:rPr>
              <w:t>Scenario parameter: cloud majority non-AI; FM/wrappers pure-play</w:t>
            </w:r>
          </w:p>
        </w:tc>
      </w:tr>
      <w:tr>
        <w:tc>
          <w:tcPr>
            <w:tcW w:type="dxa" w:w="1560"/>
          </w:tcPr>
          <w:p>
            <w:pPr>
              <w:spacing w:after="0"/>
            </w:pPr>
            <w:r/>
            <w:r>
              <w:rPr>
                <w:sz w:val="17"/>
              </w:rPr>
              <w:t>S-AIS-FO</w:t>
            </w:r>
          </w:p>
        </w:tc>
        <w:tc>
          <w:tcPr>
            <w:tcW w:type="dxa" w:w="1560"/>
          </w:tcPr>
          <w:p>
            <w:pPr>
              <w:spacing w:after="0"/>
            </w:pPr>
            <w:r/>
            <w:r>
              <w:rPr>
                <w:sz w:val="17"/>
              </w:rPr>
              <w:t>Bubble-block scenario</w:t>
            </w:r>
          </w:p>
        </w:tc>
        <w:tc>
          <w:tcPr>
            <w:tcW w:type="dxa" w:w="1560"/>
          </w:tcPr>
          <w:p>
            <w:pPr>
              <w:spacing w:after="0"/>
            </w:pPr>
            <w:r/>
            <w:r>
              <w:rPr>
                <w:sz w:val="17"/>
              </w:rPr>
              <w:t>AI revenue share: Foundation Models</w:t>
            </w:r>
          </w:p>
        </w:tc>
        <w:tc>
          <w:tcPr>
            <w:tcW w:type="dxa" w:w="1560"/>
          </w:tcPr>
          <w:p>
            <w:pPr>
              <w:spacing w:after="0"/>
            </w:pPr>
            <w:r/>
            <w:r>
              <w:rPr>
                <w:sz w:val="17"/>
              </w:rPr>
              <w:t>1.0</w:t>
            </w:r>
          </w:p>
        </w:tc>
        <w:tc>
          <w:tcPr>
            <w:tcW w:type="dxa" w:w="1560"/>
          </w:tcPr>
          <w:p>
            <w:pPr>
              <w:spacing w:after="0"/>
            </w:pPr>
            <w:r/>
            <w:r>
              <w:rPr>
                <w:sz w:val="17"/>
              </w:rPr>
              <w:t>share</w:t>
            </w:r>
          </w:p>
        </w:tc>
        <w:tc>
          <w:tcPr>
            <w:tcW w:type="dxa" w:w="1560"/>
          </w:tcPr>
          <w:p>
            <w:pPr>
              <w:spacing w:after="0"/>
            </w:pPr>
            <w:r/>
            <w:r>
              <w:rPr>
                <w:sz w:val="17"/>
              </w:rPr>
              <w:t>Scenario parameter: cloud majority non-AI; FM/wrappers pure-play</w:t>
            </w:r>
          </w:p>
        </w:tc>
      </w:tr>
      <w:tr>
        <w:tc>
          <w:tcPr>
            <w:tcW w:type="dxa" w:w="1560"/>
            <w:shd w:val="clear" w:color="auto" w:fill="EDF1F5"/>
          </w:tcPr>
          <w:p>
            <w:pPr>
              <w:spacing w:after="0"/>
            </w:pPr>
            <w:r/>
            <w:r>
              <w:rPr>
                <w:sz w:val="17"/>
              </w:rPr>
              <w:t>S-AIS-LL</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AI revenue share: LLM Wrappers</w:t>
            </w:r>
          </w:p>
        </w:tc>
        <w:tc>
          <w:tcPr>
            <w:tcW w:type="dxa" w:w="1560"/>
            <w:shd w:val="clear" w:color="auto" w:fill="EDF1F5"/>
          </w:tcPr>
          <w:p>
            <w:pPr>
              <w:spacing w:after="0"/>
            </w:pPr>
            <w:r/>
            <w:r>
              <w:rPr>
                <w:sz w:val="17"/>
              </w:rPr>
              <w:t>1.0</w:t>
            </w:r>
          </w:p>
        </w:tc>
        <w:tc>
          <w:tcPr>
            <w:tcW w:type="dxa" w:w="1560"/>
            <w:shd w:val="clear" w:color="auto" w:fill="EDF1F5"/>
          </w:tcPr>
          <w:p>
            <w:pPr>
              <w:spacing w:after="0"/>
            </w:pPr>
            <w:r/>
            <w:r>
              <w:rPr>
                <w:sz w:val="17"/>
              </w:rPr>
              <w:t>share</w:t>
            </w:r>
          </w:p>
        </w:tc>
        <w:tc>
          <w:tcPr>
            <w:tcW w:type="dxa" w:w="1560"/>
            <w:shd w:val="clear" w:color="auto" w:fill="EDF1F5"/>
          </w:tcPr>
          <w:p>
            <w:pPr>
              <w:spacing w:after="0"/>
            </w:pPr>
            <w:r/>
            <w:r>
              <w:rPr>
                <w:sz w:val="17"/>
              </w:rPr>
              <w:t>Scenario parameter: cloud majority non-AI; FM/wrappers pure-play</w:t>
            </w:r>
          </w:p>
        </w:tc>
      </w:tr>
      <w:tr>
        <w:tc>
          <w:tcPr>
            <w:tcW w:type="dxa" w:w="1560"/>
          </w:tcPr>
          <w:p>
            <w:pPr>
              <w:spacing w:after="0"/>
            </w:pPr>
            <w:r/>
            <w:r>
              <w:rPr>
                <w:sz w:val="17"/>
              </w:rPr>
              <w:t>S-CAPX-HA</w:t>
            </w:r>
          </w:p>
        </w:tc>
        <w:tc>
          <w:tcPr>
            <w:tcW w:type="dxa" w:w="1560"/>
          </w:tcPr>
          <w:p>
            <w:pPr>
              <w:spacing w:after="0"/>
            </w:pPr>
            <w:r/>
            <w:r>
              <w:rPr>
                <w:sz w:val="17"/>
              </w:rPr>
              <w:t>Bubble-block scenario</w:t>
            </w:r>
          </w:p>
        </w:tc>
        <w:tc>
          <w:tcPr>
            <w:tcW w:type="dxa" w:w="1560"/>
          </w:tcPr>
          <w:p>
            <w:pPr>
              <w:spacing w:after="0"/>
            </w:pPr>
            <w:r/>
            <w:r>
              <w:rPr>
                <w:sz w:val="17"/>
              </w:rPr>
              <w:t>Capex intensity: Hardware</w:t>
            </w:r>
          </w:p>
        </w:tc>
        <w:tc>
          <w:tcPr>
            <w:tcW w:type="dxa" w:w="1560"/>
          </w:tcPr>
          <w:p>
            <w:pPr>
              <w:spacing w:after="0"/>
            </w:pPr>
            <w:r/>
            <w:r>
              <w:rPr>
                <w:sz w:val="17"/>
              </w:rPr>
              <w:t>0.9</w:t>
            </w:r>
          </w:p>
        </w:tc>
        <w:tc>
          <w:tcPr>
            <w:tcW w:type="dxa" w:w="1560"/>
          </w:tcPr>
          <w:p>
            <w:pPr>
              <w:spacing w:after="0"/>
            </w:pPr>
            <w:r/>
            <w:r>
              <w:rPr>
                <w:sz w:val="17"/>
              </w:rPr>
              <w:t>index</w:t>
            </w:r>
          </w:p>
        </w:tc>
        <w:tc>
          <w:tcPr>
            <w:tcW w:type="dxa" w:w="1560"/>
          </w:tcPr>
          <w:p>
            <w:pPr>
              <w:spacing w:after="0"/>
            </w:pPr>
            <w:r/>
            <w:r>
              <w:rPr>
                <w:sz w:val="17"/>
              </w:rPr>
              <w:t>Scenario parameter: foundry/GPU build-out is Hardware-heavy</w:t>
            </w:r>
          </w:p>
        </w:tc>
      </w:tr>
      <w:tr>
        <w:tc>
          <w:tcPr>
            <w:tcW w:type="dxa" w:w="1560"/>
            <w:shd w:val="clear" w:color="auto" w:fill="EDF1F5"/>
          </w:tcPr>
          <w:p>
            <w:pPr>
              <w:spacing w:after="0"/>
            </w:pPr>
            <w:r/>
            <w:r>
              <w:rPr>
                <w:sz w:val="17"/>
              </w:rPr>
              <w:t>S-CAPX-CL</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Capex intensity: Cloud Providers</w:t>
            </w:r>
          </w:p>
        </w:tc>
        <w:tc>
          <w:tcPr>
            <w:tcW w:type="dxa" w:w="1560"/>
            <w:shd w:val="clear" w:color="auto" w:fill="EDF1F5"/>
          </w:tcPr>
          <w:p>
            <w:pPr>
              <w:spacing w:after="0"/>
            </w:pPr>
            <w:r/>
            <w:r>
              <w:rPr>
                <w:sz w:val="17"/>
              </w:rPr>
              <w:t>0.6</w:t>
            </w:r>
          </w:p>
        </w:tc>
        <w:tc>
          <w:tcPr>
            <w:tcW w:type="dxa" w:w="1560"/>
            <w:shd w:val="clear" w:color="auto" w:fill="EDF1F5"/>
          </w:tcPr>
          <w:p>
            <w:pPr>
              <w:spacing w:after="0"/>
            </w:pPr>
            <w:r/>
            <w:r>
              <w:rPr>
                <w:sz w:val="17"/>
              </w:rPr>
              <w:t>index</w:t>
            </w:r>
          </w:p>
        </w:tc>
        <w:tc>
          <w:tcPr>
            <w:tcW w:type="dxa" w:w="1560"/>
            <w:shd w:val="clear" w:color="auto" w:fill="EDF1F5"/>
          </w:tcPr>
          <w:p>
            <w:pPr>
              <w:spacing w:after="0"/>
            </w:pPr>
            <w:r/>
            <w:r>
              <w:rPr>
                <w:sz w:val="17"/>
              </w:rPr>
              <w:t>Scenario parameter: foundry/GPU build-out is Hardware-heavy</w:t>
            </w:r>
          </w:p>
        </w:tc>
      </w:tr>
      <w:tr>
        <w:tc>
          <w:tcPr>
            <w:tcW w:type="dxa" w:w="1560"/>
          </w:tcPr>
          <w:p>
            <w:pPr>
              <w:spacing w:after="0"/>
            </w:pPr>
            <w:r/>
            <w:r>
              <w:rPr>
                <w:sz w:val="17"/>
              </w:rPr>
              <w:t>S-CAPX-FO</w:t>
            </w:r>
          </w:p>
        </w:tc>
        <w:tc>
          <w:tcPr>
            <w:tcW w:type="dxa" w:w="1560"/>
          </w:tcPr>
          <w:p>
            <w:pPr>
              <w:spacing w:after="0"/>
            </w:pPr>
            <w:r/>
            <w:r>
              <w:rPr>
                <w:sz w:val="17"/>
              </w:rPr>
              <w:t>Bubble-block scenario</w:t>
            </w:r>
          </w:p>
        </w:tc>
        <w:tc>
          <w:tcPr>
            <w:tcW w:type="dxa" w:w="1560"/>
          </w:tcPr>
          <w:p>
            <w:pPr>
              <w:spacing w:after="0"/>
            </w:pPr>
            <w:r/>
            <w:r>
              <w:rPr>
                <w:sz w:val="17"/>
              </w:rPr>
              <w:t>Capex intensity: Foundation Models</w:t>
            </w:r>
          </w:p>
        </w:tc>
        <w:tc>
          <w:tcPr>
            <w:tcW w:type="dxa" w:w="1560"/>
          </w:tcPr>
          <w:p>
            <w:pPr>
              <w:spacing w:after="0"/>
            </w:pPr>
            <w:r/>
            <w:r>
              <w:rPr>
                <w:sz w:val="17"/>
              </w:rPr>
              <w:t>0.7</w:t>
            </w:r>
          </w:p>
        </w:tc>
        <w:tc>
          <w:tcPr>
            <w:tcW w:type="dxa" w:w="1560"/>
          </w:tcPr>
          <w:p>
            <w:pPr>
              <w:spacing w:after="0"/>
            </w:pPr>
            <w:r/>
            <w:r>
              <w:rPr>
                <w:sz w:val="17"/>
              </w:rPr>
              <w:t>index</w:t>
            </w:r>
          </w:p>
        </w:tc>
        <w:tc>
          <w:tcPr>
            <w:tcW w:type="dxa" w:w="1560"/>
          </w:tcPr>
          <w:p>
            <w:pPr>
              <w:spacing w:after="0"/>
            </w:pPr>
            <w:r/>
            <w:r>
              <w:rPr>
                <w:sz w:val="17"/>
              </w:rPr>
              <w:t>Scenario parameter: foundry/GPU build-out is Hardware-heavy</w:t>
            </w:r>
          </w:p>
        </w:tc>
      </w:tr>
      <w:tr>
        <w:tc>
          <w:tcPr>
            <w:tcW w:type="dxa" w:w="1560"/>
            <w:shd w:val="clear" w:color="auto" w:fill="EDF1F5"/>
          </w:tcPr>
          <w:p>
            <w:pPr>
              <w:spacing w:after="0"/>
            </w:pPr>
            <w:r/>
            <w:r>
              <w:rPr>
                <w:sz w:val="17"/>
              </w:rPr>
              <w:t>S-CAPX-LL</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Capex intensity: LLM Wrappers</w:t>
            </w:r>
          </w:p>
        </w:tc>
        <w:tc>
          <w:tcPr>
            <w:tcW w:type="dxa" w:w="1560"/>
            <w:shd w:val="clear" w:color="auto" w:fill="EDF1F5"/>
          </w:tcPr>
          <w:p>
            <w:pPr>
              <w:spacing w:after="0"/>
            </w:pPr>
            <w:r/>
            <w:r>
              <w:rPr>
                <w:sz w:val="17"/>
              </w:rPr>
              <w:t>0.2</w:t>
            </w:r>
          </w:p>
        </w:tc>
        <w:tc>
          <w:tcPr>
            <w:tcW w:type="dxa" w:w="1560"/>
            <w:shd w:val="clear" w:color="auto" w:fill="EDF1F5"/>
          </w:tcPr>
          <w:p>
            <w:pPr>
              <w:spacing w:after="0"/>
            </w:pPr>
            <w:r/>
            <w:r>
              <w:rPr>
                <w:sz w:val="17"/>
              </w:rPr>
              <w:t>index</w:t>
            </w:r>
          </w:p>
        </w:tc>
        <w:tc>
          <w:tcPr>
            <w:tcW w:type="dxa" w:w="1560"/>
            <w:shd w:val="clear" w:color="auto" w:fill="EDF1F5"/>
          </w:tcPr>
          <w:p>
            <w:pPr>
              <w:spacing w:after="0"/>
            </w:pPr>
            <w:r/>
            <w:r>
              <w:rPr>
                <w:sz w:val="17"/>
              </w:rPr>
              <w:t>Scenario parameter: foundry/GPU build-out is Hardware-heavy</w:t>
            </w:r>
          </w:p>
        </w:tc>
      </w:tr>
      <w:tr>
        <w:tc>
          <w:tcPr>
            <w:tcW w:type="dxa" w:w="1560"/>
          </w:tcPr>
          <w:p>
            <w:pPr>
              <w:spacing w:after="0"/>
            </w:pPr>
            <w:r/>
            <w:r>
              <w:rPr>
                <w:sz w:val="17"/>
              </w:rPr>
              <w:t>S-LOGIT0</w:t>
            </w:r>
          </w:p>
        </w:tc>
        <w:tc>
          <w:tcPr>
            <w:tcW w:type="dxa" w:w="1560"/>
          </w:tcPr>
          <w:p>
            <w:pPr>
              <w:spacing w:after="0"/>
            </w:pPr>
            <w:r/>
            <w:r>
              <w:rPr>
                <w:sz w:val="17"/>
              </w:rPr>
              <w:t>Bubble-block scenario</w:t>
            </w:r>
          </w:p>
        </w:tc>
        <w:tc>
          <w:tcPr>
            <w:tcW w:type="dxa" w:w="1560"/>
          </w:tcPr>
          <w:p>
            <w:pPr>
              <w:spacing w:after="0"/>
            </w:pPr>
            <w:r/>
            <w:r>
              <w:rPr>
                <w:sz w:val="17"/>
              </w:rPr>
              <w:t>Formation logit intercept</w:t>
            </w:r>
          </w:p>
        </w:tc>
        <w:tc>
          <w:tcPr>
            <w:tcW w:type="dxa" w:w="1560"/>
          </w:tcPr>
          <w:p>
            <w:pPr>
              <w:spacing w:after="0"/>
            </w:pPr>
            <w:r/>
            <w:r>
              <w:rPr>
                <w:sz w:val="17"/>
              </w:rPr>
              <w:t>-1.2</w:t>
            </w:r>
          </w:p>
        </w:tc>
        <w:tc>
          <w:tcPr>
            <w:tcW w:type="dxa" w:w="1560"/>
          </w:tcPr>
          <w:p>
            <w:pPr>
              <w:spacing w:after="0"/>
            </w:pPr>
            <w:r/>
            <w:r>
              <w:rPr>
                <w:sz w:val="17"/>
              </w:rPr>
              <w:t>logit</w:t>
            </w:r>
          </w:p>
        </w:tc>
        <w:tc>
          <w:tcPr>
            <w:tcW w:type="dxa" w:w="1560"/>
          </w:tcPr>
          <w:p>
            <w:pPr>
              <w:spacing w:after="0"/>
            </w:pPr>
            <w:r/>
            <w:r>
              <w:rPr>
                <w:sz w:val="17"/>
              </w:rPr>
              <w:t>Judgment weights (see R5/A8); circular exposure dominates by mechanism design</w:t>
            </w:r>
          </w:p>
        </w:tc>
      </w:tr>
      <w:tr>
        <w:tc>
          <w:tcPr>
            <w:tcW w:type="dxa" w:w="1560"/>
            <w:shd w:val="clear" w:color="auto" w:fill="EDF1F5"/>
          </w:tcPr>
          <w:p>
            <w:pPr>
              <w:spacing w:after="0"/>
            </w:pPr>
            <w:r/>
            <w:r>
              <w:rPr>
                <w:sz w:val="17"/>
              </w:rPr>
              <w:t>S-LOGIT-w_circ</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Formation logit w_circ</w:t>
            </w:r>
          </w:p>
        </w:tc>
        <w:tc>
          <w:tcPr>
            <w:tcW w:type="dxa" w:w="1560"/>
            <w:shd w:val="clear" w:color="auto" w:fill="EDF1F5"/>
          </w:tcPr>
          <w:p>
            <w:pPr>
              <w:spacing w:after="0"/>
            </w:pPr>
            <w:r/>
            <w:r>
              <w:rPr>
                <w:sz w:val="17"/>
              </w:rPr>
              <w:t>1.6</w:t>
            </w:r>
          </w:p>
        </w:tc>
        <w:tc>
          <w:tcPr>
            <w:tcW w:type="dxa" w:w="1560"/>
            <w:shd w:val="clear" w:color="auto" w:fill="EDF1F5"/>
          </w:tcPr>
          <w:p>
            <w:pPr>
              <w:spacing w:after="0"/>
            </w:pPr>
            <w:r/>
            <w:r>
              <w:rPr>
                <w:sz w:val="17"/>
              </w:rPr>
              <w:t>logit</w:t>
            </w:r>
          </w:p>
        </w:tc>
        <w:tc>
          <w:tcPr>
            <w:tcW w:type="dxa" w:w="1560"/>
            <w:shd w:val="clear" w:color="auto" w:fill="EDF1F5"/>
          </w:tcPr>
          <w:p>
            <w:pPr>
              <w:spacing w:after="0"/>
            </w:pPr>
            <w:r/>
            <w:r>
              <w:rPr>
                <w:sz w:val="17"/>
              </w:rPr>
              <w:t>Judgment weights (see R5/A8); w_open prices the open-weights channel, scenario-only</w:t>
            </w:r>
          </w:p>
        </w:tc>
      </w:tr>
      <w:tr>
        <w:tc>
          <w:tcPr>
            <w:tcW w:type="dxa" w:w="1560"/>
          </w:tcPr>
          <w:p>
            <w:pPr>
              <w:spacing w:after="0"/>
            </w:pPr>
            <w:r/>
            <w:r>
              <w:rPr>
                <w:sz w:val="17"/>
              </w:rPr>
              <w:t>S-LOGIT-w_capex</w:t>
            </w:r>
          </w:p>
        </w:tc>
        <w:tc>
          <w:tcPr>
            <w:tcW w:type="dxa" w:w="1560"/>
          </w:tcPr>
          <w:p>
            <w:pPr>
              <w:spacing w:after="0"/>
            </w:pPr>
            <w:r/>
            <w:r>
              <w:rPr>
                <w:sz w:val="17"/>
              </w:rPr>
              <w:t>Bubble-block scenario</w:t>
            </w:r>
          </w:p>
        </w:tc>
        <w:tc>
          <w:tcPr>
            <w:tcW w:type="dxa" w:w="1560"/>
          </w:tcPr>
          <w:p>
            <w:pPr>
              <w:spacing w:after="0"/>
            </w:pPr>
            <w:r/>
            <w:r>
              <w:rPr>
                <w:sz w:val="17"/>
              </w:rPr>
              <w:t>Formation logit w_capex</w:t>
            </w:r>
          </w:p>
        </w:tc>
        <w:tc>
          <w:tcPr>
            <w:tcW w:type="dxa" w:w="1560"/>
          </w:tcPr>
          <w:p>
            <w:pPr>
              <w:spacing w:after="0"/>
            </w:pPr>
            <w:r/>
            <w:r>
              <w:rPr>
                <w:sz w:val="17"/>
              </w:rPr>
              <w:t>0.9</w:t>
            </w:r>
          </w:p>
        </w:tc>
        <w:tc>
          <w:tcPr>
            <w:tcW w:type="dxa" w:w="1560"/>
          </w:tcPr>
          <w:p>
            <w:pPr>
              <w:spacing w:after="0"/>
            </w:pPr>
            <w:r/>
            <w:r>
              <w:rPr>
                <w:sz w:val="17"/>
              </w:rPr>
              <w:t>logit</w:t>
            </w:r>
          </w:p>
        </w:tc>
        <w:tc>
          <w:tcPr>
            <w:tcW w:type="dxa" w:w="1560"/>
          </w:tcPr>
          <w:p>
            <w:pPr>
              <w:spacing w:after="0"/>
            </w:pPr>
            <w:r/>
            <w:r>
              <w:rPr>
                <w:sz w:val="17"/>
              </w:rPr>
              <w:t>Judgment weights (see R5/A8); w_open prices the open-weights channel, scenario-only</w:t>
            </w:r>
          </w:p>
        </w:tc>
      </w:tr>
      <w:tr>
        <w:tc>
          <w:tcPr>
            <w:tcW w:type="dxa" w:w="1560"/>
            <w:shd w:val="clear" w:color="auto" w:fill="EDF1F5"/>
          </w:tcPr>
          <w:p>
            <w:pPr>
              <w:spacing w:after="0"/>
            </w:pPr>
            <w:r/>
            <w:r>
              <w:rPr>
                <w:sz w:val="17"/>
              </w:rPr>
              <w:t>S-LOGIT-w_hhi</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Formation logit w_hhi</w:t>
            </w:r>
          </w:p>
        </w:tc>
        <w:tc>
          <w:tcPr>
            <w:tcW w:type="dxa" w:w="1560"/>
            <w:shd w:val="clear" w:color="auto" w:fill="EDF1F5"/>
          </w:tcPr>
          <w:p>
            <w:pPr>
              <w:spacing w:after="0"/>
            </w:pPr>
            <w:r/>
            <w:r>
              <w:rPr>
                <w:sz w:val="17"/>
              </w:rPr>
              <w:t>0.7</w:t>
            </w:r>
          </w:p>
        </w:tc>
        <w:tc>
          <w:tcPr>
            <w:tcW w:type="dxa" w:w="1560"/>
            <w:shd w:val="clear" w:color="auto" w:fill="EDF1F5"/>
          </w:tcPr>
          <w:p>
            <w:pPr>
              <w:spacing w:after="0"/>
            </w:pPr>
            <w:r/>
            <w:r>
              <w:rPr>
                <w:sz w:val="17"/>
              </w:rPr>
              <w:t>logit</w:t>
            </w:r>
          </w:p>
        </w:tc>
        <w:tc>
          <w:tcPr>
            <w:tcW w:type="dxa" w:w="1560"/>
            <w:shd w:val="clear" w:color="auto" w:fill="EDF1F5"/>
          </w:tcPr>
          <w:p>
            <w:pPr>
              <w:spacing w:after="0"/>
            </w:pPr>
            <w:r/>
            <w:r>
              <w:rPr>
                <w:sz w:val="17"/>
              </w:rPr>
              <w:t>Judgment weights (see R5/A8); w_open prices the open-weights channel, scenario-only</w:t>
            </w:r>
          </w:p>
        </w:tc>
      </w:tr>
      <w:tr>
        <w:tc>
          <w:tcPr>
            <w:tcW w:type="dxa" w:w="1560"/>
          </w:tcPr>
          <w:p>
            <w:pPr>
              <w:spacing w:after="0"/>
            </w:pPr>
            <w:r/>
            <w:r>
              <w:rPr>
                <w:sz w:val="17"/>
              </w:rPr>
              <w:t>S-LOGIT-w_exub</w:t>
            </w:r>
          </w:p>
        </w:tc>
        <w:tc>
          <w:tcPr>
            <w:tcW w:type="dxa" w:w="1560"/>
          </w:tcPr>
          <w:p>
            <w:pPr>
              <w:spacing w:after="0"/>
            </w:pPr>
            <w:r/>
            <w:r>
              <w:rPr>
                <w:sz w:val="17"/>
              </w:rPr>
              <w:t>Bubble-block scenario</w:t>
            </w:r>
          </w:p>
        </w:tc>
        <w:tc>
          <w:tcPr>
            <w:tcW w:type="dxa" w:w="1560"/>
          </w:tcPr>
          <w:p>
            <w:pPr>
              <w:spacing w:after="0"/>
            </w:pPr>
            <w:r/>
            <w:r>
              <w:rPr>
                <w:sz w:val="17"/>
              </w:rPr>
              <w:t>Formation logit w_exub</w:t>
            </w:r>
          </w:p>
        </w:tc>
        <w:tc>
          <w:tcPr>
            <w:tcW w:type="dxa" w:w="1560"/>
          </w:tcPr>
          <w:p>
            <w:pPr>
              <w:spacing w:after="0"/>
            </w:pPr>
            <w:r/>
            <w:r>
              <w:rPr>
                <w:sz w:val="17"/>
              </w:rPr>
              <w:t>0.8</w:t>
            </w:r>
          </w:p>
        </w:tc>
        <w:tc>
          <w:tcPr>
            <w:tcW w:type="dxa" w:w="1560"/>
          </w:tcPr>
          <w:p>
            <w:pPr>
              <w:spacing w:after="0"/>
            </w:pPr>
            <w:r/>
            <w:r>
              <w:rPr>
                <w:sz w:val="17"/>
              </w:rPr>
              <w:t>logit</w:t>
            </w:r>
          </w:p>
        </w:tc>
        <w:tc>
          <w:tcPr>
            <w:tcW w:type="dxa" w:w="1560"/>
          </w:tcPr>
          <w:p>
            <w:pPr>
              <w:spacing w:after="0"/>
            </w:pPr>
            <w:r/>
            <w:r>
              <w:rPr>
                <w:sz w:val="17"/>
              </w:rPr>
              <w:t>Judgment weights (see R5/A8); w_open prices the open-weights channel, scenario-only</w:t>
            </w:r>
          </w:p>
        </w:tc>
      </w:tr>
      <w:tr>
        <w:tc>
          <w:tcPr>
            <w:tcW w:type="dxa" w:w="1560"/>
            <w:shd w:val="clear" w:color="auto" w:fill="EDF1F5"/>
          </w:tcPr>
          <w:p>
            <w:pPr>
              <w:spacing w:after="0"/>
            </w:pPr>
            <w:r/>
            <w:r>
              <w:rPr>
                <w:sz w:val="17"/>
              </w:rPr>
              <w:t>S-LOGIT-w_open</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Formation logit w_open</w:t>
            </w:r>
          </w:p>
        </w:tc>
        <w:tc>
          <w:tcPr>
            <w:tcW w:type="dxa" w:w="1560"/>
            <w:shd w:val="clear" w:color="auto" w:fill="EDF1F5"/>
          </w:tcPr>
          <w:p>
            <w:pPr>
              <w:spacing w:after="0"/>
            </w:pPr>
            <w:r/>
            <w:r>
              <w:rPr>
                <w:sz w:val="17"/>
              </w:rPr>
              <w:t>0.6</w:t>
            </w:r>
          </w:p>
        </w:tc>
        <w:tc>
          <w:tcPr>
            <w:tcW w:type="dxa" w:w="1560"/>
            <w:shd w:val="clear" w:color="auto" w:fill="EDF1F5"/>
          </w:tcPr>
          <w:p>
            <w:pPr>
              <w:spacing w:after="0"/>
            </w:pPr>
            <w:r/>
            <w:r>
              <w:rPr>
                <w:sz w:val="17"/>
              </w:rPr>
              <w:t>logit</w:t>
            </w:r>
          </w:p>
        </w:tc>
        <w:tc>
          <w:tcPr>
            <w:tcW w:type="dxa" w:w="1560"/>
            <w:shd w:val="clear" w:color="auto" w:fill="EDF1F5"/>
          </w:tcPr>
          <w:p>
            <w:pPr>
              <w:spacing w:after="0"/>
            </w:pPr>
            <w:r/>
            <w:r>
              <w:rPr>
                <w:sz w:val="17"/>
              </w:rPr>
              <w:t>Judgment weights (see R5/A8); w_open prices the open-weights channel, scenario-only</w:t>
            </w:r>
          </w:p>
        </w:tc>
      </w:tr>
      <w:tr>
        <w:tc>
          <w:tcPr>
            <w:tcW w:type="dxa" w:w="1560"/>
          </w:tcPr>
          <w:p>
            <w:pPr>
              <w:spacing w:after="0"/>
            </w:pPr>
            <w:r/>
            <w:r>
              <w:rPr>
                <w:sz w:val="17"/>
              </w:rPr>
              <w:t>S-LOGIT-band</w:t>
            </w:r>
          </w:p>
        </w:tc>
        <w:tc>
          <w:tcPr>
            <w:tcW w:type="dxa" w:w="1560"/>
          </w:tcPr>
          <w:p>
            <w:pPr>
              <w:spacing w:after="0"/>
            </w:pPr>
            <w:r/>
            <w:r>
              <w:rPr>
                <w:sz w:val="17"/>
              </w:rPr>
              <w:t>Bubble-block scenario</w:t>
            </w:r>
          </w:p>
        </w:tc>
        <w:tc>
          <w:tcPr>
            <w:tcW w:type="dxa" w:w="1560"/>
          </w:tcPr>
          <w:p>
            <w:pPr>
              <w:spacing w:after="0"/>
            </w:pPr>
            <w:r/>
            <w:r>
              <w:rPr>
                <w:sz w:val="17"/>
              </w:rPr>
              <w:t>Formation logit band</w:t>
            </w:r>
          </w:p>
        </w:tc>
        <w:tc>
          <w:tcPr>
            <w:tcW w:type="dxa" w:w="1560"/>
          </w:tcPr>
          <w:p>
            <w:pPr>
              <w:spacing w:after="0"/>
            </w:pPr>
            <w:r/>
            <w:r>
              <w:rPr>
                <w:sz w:val="17"/>
              </w:rPr>
              <w:t>0.4</w:t>
            </w:r>
          </w:p>
        </w:tc>
        <w:tc>
          <w:tcPr>
            <w:tcW w:type="dxa" w:w="1560"/>
          </w:tcPr>
          <w:p>
            <w:pPr>
              <w:spacing w:after="0"/>
            </w:pPr>
            <w:r/>
            <w:r>
              <w:rPr>
                <w:sz w:val="17"/>
              </w:rPr>
              <w:t>logit</w:t>
            </w:r>
          </w:p>
        </w:tc>
        <w:tc>
          <w:tcPr>
            <w:tcW w:type="dxa" w:w="1560"/>
          </w:tcPr>
          <w:p>
            <w:pPr>
              <w:spacing w:after="0"/>
            </w:pPr>
            <w:r/>
            <w:r>
              <w:rPr>
                <w:sz w:val="17"/>
              </w:rPr>
              <w:t>Judgment weights (see R5/A8); w_open prices the open-weights channel, scenario-only</w:t>
            </w:r>
          </w:p>
        </w:tc>
      </w:tr>
      <w:tr>
        <w:tc>
          <w:tcPr>
            <w:tcW w:type="dxa" w:w="1560"/>
            <w:shd w:val="clear" w:color="auto" w:fill="EDF1F5"/>
          </w:tcPr>
          <w:p>
            <w:pPr>
              <w:spacing w:after="0"/>
            </w:pPr>
            <w:r/>
            <w:r>
              <w:rPr>
                <w:sz w:val="17"/>
              </w:rPr>
              <w:t>S-OWM-HA</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Open-weight margin compression: Hardware</w:t>
            </w:r>
          </w:p>
        </w:tc>
        <w:tc>
          <w:tcPr>
            <w:tcW w:type="dxa" w:w="1560"/>
            <w:shd w:val="clear" w:color="auto" w:fill="EDF1F5"/>
          </w:tcPr>
          <w:p>
            <w:pPr>
              <w:spacing w:after="0"/>
            </w:pPr>
            <w:r/>
            <w:r>
              <w:rPr>
                <w:sz w:val="17"/>
              </w:rPr>
              <w:t>0.05</w:t>
            </w:r>
          </w:p>
        </w:tc>
        <w:tc>
          <w:tcPr>
            <w:tcW w:type="dxa" w:w="1560"/>
            <w:shd w:val="clear" w:color="auto" w:fill="EDF1F5"/>
          </w:tcPr>
          <w:p>
            <w:pPr>
              <w:spacing w:after="0"/>
            </w:pPr>
            <w:r/>
            <w:r>
              <w:rPr>
                <w:sz w:val="17"/>
              </w:rPr>
              <w:t>index</w:t>
            </w:r>
          </w:p>
        </w:tc>
        <w:tc>
          <w:tcPr>
            <w:tcW w:type="dxa" w:w="1560"/>
            <w:shd w:val="clear" w:color="auto" w:fill="EDF1F5"/>
          </w:tcPr>
          <w:p>
            <w:pPr>
              <w:spacing w:after="0"/>
            </w:pPr>
            <w:r/>
            <w:r>
              <w:rPr>
                <w:sz w:val="17"/>
              </w:rPr>
              <w:t>Scenario parameter: free frontier weights compress FM API pricing; inference hardware barely exposed</w:t>
            </w:r>
          </w:p>
        </w:tc>
      </w:tr>
      <w:tr>
        <w:tc>
          <w:tcPr>
            <w:tcW w:type="dxa" w:w="1560"/>
          </w:tcPr>
          <w:p>
            <w:pPr>
              <w:spacing w:after="0"/>
            </w:pPr>
            <w:r/>
            <w:r>
              <w:rPr>
                <w:sz w:val="17"/>
              </w:rPr>
              <w:t>S-OWM-CL</w:t>
            </w:r>
          </w:p>
        </w:tc>
        <w:tc>
          <w:tcPr>
            <w:tcW w:type="dxa" w:w="1560"/>
          </w:tcPr>
          <w:p>
            <w:pPr>
              <w:spacing w:after="0"/>
            </w:pPr>
            <w:r/>
            <w:r>
              <w:rPr>
                <w:sz w:val="17"/>
              </w:rPr>
              <w:t>Bubble-block scenario</w:t>
            </w:r>
          </w:p>
        </w:tc>
        <w:tc>
          <w:tcPr>
            <w:tcW w:type="dxa" w:w="1560"/>
          </w:tcPr>
          <w:p>
            <w:pPr>
              <w:spacing w:after="0"/>
            </w:pPr>
            <w:r/>
            <w:r>
              <w:rPr>
                <w:sz w:val="17"/>
              </w:rPr>
              <w:t>Open-weight margin compression: Cloud Providers</w:t>
            </w:r>
          </w:p>
        </w:tc>
        <w:tc>
          <w:tcPr>
            <w:tcW w:type="dxa" w:w="1560"/>
          </w:tcPr>
          <w:p>
            <w:pPr>
              <w:spacing w:after="0"/>
            </w:pPr>
            <w:r/>
            <w:r>
              <w:rPr>
                <w:sz w:val="17"/>
              </w:rPr>
              <w:t>0.10</w:t>
            </w:r>
          </w:p>
        </w:tc>
        <w:tc>
          <w:tcPr>
            <w:tcW w:type="dxa" w:w="1560"/>
          </w:tcPr>
          <w:p>
            <w:pPr>
              <w:spacing w:after="0"/>
            </w:pPr>
            <w:r/>
            <w:r>
              <w:rPr>
                <w:sz w:val="17"/>
              </w:rPr>
              <w:t>index</w:t>
            </w:r>
          </w:p>
        </w:tc>
        <w:tc>
          <w:tcPr>
            <w:tcW w:type="dxa" w:w="1560"/>
          </w:tcPr>
          <w:p>
            <w:pPr>
              <w:spacing w:after="0"/>
            </w:pPr>
            <w:r/>
            <w:r>
              <w:rPr>
                <w:sz w:val="17"/>
              </w:rPr>
              <w:t>Scenario parameter: free frontier weights compress FM API pricing; inference hardware barely exposed</w:t>
            </w:r>
          </w:p>
        </w:tc>
      </w:tr>
      <w:tr>
        <w:tc>
          <w:tcPr>
            <w:tcW w:type="dxa" w:w="1560"/>
            <w:shd w:val="clear" w:color="auto" w:fill="EDF1F5"/>
          </w:tcPr>
          <w:p>
            <w:pPr>
              <w:spacing w:after="0"/>
            </w:pPr>
            <w:r/>
            <w:r>
              <w:rPr>
                <w:sz w:val="17"/>
              </w:rPr>
              <w:t>S-OWM-FO</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Open-weight margin compression: Foundation Models</w:t>
            </w:r>
          </w:p>
        </w:tc>
        <w:tc>
          <w:tcPr>
            <w:tcW w:type="dxa" w:w="1560"/>
            <w:shd w:val="clear" w:color="auto" w:fill="EDF1F5"/>
          </w:tcPr>
          <w:p>
            <w:pPr>
              <w:spacing w:after="0"/>
            </w:pPr>
            <w:r/>
            <w:r>
              <w:rPr>
                <w:sz w:val="17"/>
              </w:rPr>
              <w:t>0.90</w:t>
            </w:r>
          </w:p>
        </w:tc>
        <w:tc>
          <w:tcPr>
            <w:tcW w:type="dxa" w:w="1560"/>
            <w:shd w:val="clear" w:color="auto" w:fill="EDF1F5"/>
          </w:tcPr>
          <w:p>
            <w:pPr>
              <w:spacing w:after="0"/>
            </w:pPr>
            <w:r/>
            <w:r>
              <w:rPr>
                <w:sz w:val="17"/>
              </w:rPr>
              <w:t>index</w:t>
            </w:r>
          </w:p>
        </w:tc>
        <w:tc>
          <w:tcPr>
            <w:tcW w:type="dxa" w:w="1560"/>
            <w:shd w:val="clear" w:color="auto" w:fill="EDF1F5"/>
          </w:tcPr>
          <w:p>
            <w:pPr>
              <w:spacing w:after="0"/>
            </w:pPr>
            <w:r/>
            <w:r>
              <w:rPr>
                <w:sz w:val="17"/>
              </w:rPr>
              <w:t>Scenario parameter: free frontier weights compress FM API pricing; inference hardware barely exposed</w:t>
            </w:r>
          </w:p>
        </w:tc>
      </w:tr>
      <w:tr>
        <w:tc>
          <w:tcPr>
            <w:tcW w:type="dxa" w:w="1560"/>
          </w:tcPr>
          <w:p>
            <w:pPr>
              <w:spacing w:after="0"/>
            </w:pPr>
            <w:r/>
            <w:r>
              <w:rPr>
                <w:sz w:val="17"/>
              </w:rPr>
              <w:t>S-OWM-LL</w:t>
            </w:r>
          </w:p>
        </w:tc>
        <w:tc>
          <w:tcPr>
            <w:tcW w:type="dxa" w:w="1560"/>
          </w:tcPr>
          <w:p>
            <w:pPr>
              <w:spacing w:after="0"/>
            </w:pPr>
            <w:r/>
            <w:r>
              <w:rPr>
                <w:sz w:val="17"/>
              </w:rPr>
              <w:t>Bubble-block scenario</w:t>
            </w:r>
          </w:p>
        </w:tc>
        <w:tc>
          <w:tcPr>
            <w:tcW w:type="dxa" w:w="1560"/>
          </w:tcPr>
          <w:p>
            <w:pPr>
              <w:spacing w:after="0"/>
            </w:pPr>
            <w:r/>
            <w:r>
              <w:rPr>
                <w:sz w:val="17"/>
              </w:rPr>
              <w:t>Open-weight margin compression: LLM Wrappers</w:t>
            </w:r>
          </w:p>
        </w:tc>
        <w:tc>
          <w:tcPr>
            <w:tcW w:type="dxa" w:w="1560"/>
          </w:tcPr>
          <w:p>
            <w:pPr>
              <w:spacing w:after="0"/>
            </w:pPr>
            <w:r/>
            <w:r>
              <w:rPr>
                <w:sz w:val="17"/>
              </w:rPr>
              <w:t>0.45</w:t>
            </w:r>
          </w:p>
        </w:tc>
        <w:tc>
          <w:tcPr>
            <w:tcW w:type="dxa" w:w="1560"/>
          </w:tcPr>
          <w:p>
            <w:pPr>
              <w:spacing w:after="0"/>
            </w:pPr>
            <w:r/>
            <w:r>
              <w:rPr>
                <w:sz w:val="17"/>
              </w:rPr>
              <w:t>index</w:t>
            </w:r>
          </w:p>
        </w:tc>
        <w:tc>
          <w:tcPr>
            <w:tcW w:type="dxa" w:w="1560"/>
          </w:tcPr>
          <w:p>
            <w:pPr>
              <w:spacing w:after="0"/>
            </w:pPr>
            <w:r/>
            <w:r>
              <w:rPr>
                <w:sz w:val="17"/>
              </w:rPr>
              <w:t>Scenario parameter: free frontier weights compress FM API pricing; inference hardware barely exposed</w:t>
            </w:r>
          </w:p>
        </w:tc>
      </w:tr>
      <w:tr>
        <w:tc>
          <w:tcPr>
            <w:tcW w:type="dxa" w:w="1560"/>
            <w:shd w:val="clear" w:color="auto" w:fill="EDF1F5"/>
          </w:tcPr>
          <w:p>
            <w:pPr>
              <w:spacing w:after="0"/>
            </w:pPr>
            <w:r/>
            <w:r>
              <w:rPr>
                <w:sz w:val="17"/>
              </w:rPr>
              <w:t>S-SEV-mild</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Burst severity: mild</w:t>
            </w:r>
          </w:p>
        </w:tc>
        <w:tc>
          <w:tcPr>
            <w:tcW w:type="dxa" w:w="1560"/>
            <w:shd w:val="clear" w:color="auto" w:fill="EDF1F5"/>
          </w:tcPr>
          <w:p>
            <w:pPr>
              <w:spacing w:after="0"/>
            </w:pPr>
            <w:r/>
            <w:r>
              <w:rPr>
                <w:sz w:val="17"/>
              </w:rPr>
              <w:t>impair 0.30 / capex-cut 0.10</w:t>
            </w:r>
          </w:p>
        </w:tc>
        <w:tc>
          <w:tcPr>
            <w:tcW w:type="dxa" w:w="1560"/>
            <w:shd w:val="clear" w:color="auto" w:fill="EDF1F5"/>
          </w:tcPr>
          <w:p>
            <w:pPr>
              <w:spacing w:after="0"/>
            </w:pPr>
            <w:r/>
            <w:r>
              <w:rPr>
                <w:sz w:val="17"/>
              </w:rPr>
              <w:t>shares</w:t>
            </w:r>
          </w:p>
        </w:tc>
        <w:tc>
          <w:tcPr>
            <w:tcW w:type="dxa" w:w="1560"/>
            <w:shd w:val="clear" w:color="auto" w:fill="EDF1F5"/>
          </w:tcPr>
          <w:p>
            <w:pPr>
              <w:spacing w:after="0"/>
            </w:pPr>
            <w:r/>
            <w:r>
              <w:rPr>
                <w:sz w:val="17"/>
              </w:rPr>
              <w:t>Scenario parameters</w:t>
            </w:r>
          </w:p>
        </w:tc>
      </w:tr>
      <w:tr>
        <w:tc>
          <w:tcPr>
            <w:tcW w:type="dxa" w:w="1560"/>
          </w:tcPr>
          <w:p>
            <w:pPr>
              <w:spacing w:after="0"/>
            </w:pPr>
            <w:r/>
            <w:r>
              <w:rPr>
                <w:sz w:val="17"/>
              </w:rPr>
              <w:t>S-SEV-severe</w:t>
            </w:r>
          </w:p>
        </w:tc>
        <w:tc>
          <w:tcPr>
            <w:tcW w:type="dxa" w:w="1560"/>
          </w:tcPr>
          <w:p>
            <w:pPr>
              <w:spacing w:after="0"/>
            </w:pPr>
            <w:r/>
            <w:r>
              <w:rPr>
                <w:sz w:val="17"/>
              </w:rPr>
              <w:t>Bubble-block scenario</w:t>
            </w:r>
          </w:p>
        </w:tc>
        <w:tc>
          <w:tcPr>
            <w:tcW w:type="dxa" w:w="1560"/>
          </w:tcPr>
          <w:p>
            <w:pPr>
              <w:spacing w:after="0"/>
            </w:pPr>
            <w:r/>
            <w:r>
              <w:rPr>
                <w:sz w:val="17"/>
              </w:rPr>
              <w:t>Burst severity: severe</w:t>
            </w:r>
          </w:p>
        </w:tc>
        <w:tc>
          <w:tcPr>
            <w:tcW w:type="dxa" w:w="1560"/>
          </w:tcPr>
          <w:p>
            <w:pPr>
              <w:spacing w:after="0"/>
            </w:pPr>
            <w:r/>
            <w:r>
              <w:rPr>
                <w:sz w:val="17"/>
              </w:rPr>
              <w:t>impair 0.70 / capex-cut 0.30</w:t>
            </w:r>
          </w:p>
        </w:tc>
        <w:tc>
          <w:tcPr>
            <w:tcW w:type="dxa" w:w="1560"/>
          </w:tcPr>
          <w:p>
            <w:pPr>
              <w:spacing w:after="0"/>
            </w:pPr>
            <w:r/>
            <w:r>
              <w:rPr>
                <w:sz w:val="17"/>
              </w:rPr>
              <w:t>shares</w:t>
            </w:r>
          </w:p>
        </w:tc>
        <w:tc>
          <w:tcPr>
            <w:tcW w:type="dxa" w:w="1560"/>
          </w:tcPr>
          <w:p>
            <w:pPr>
              <w:spacing w:after="0"/>
            </w:pPr>
            <w:r/>
            <w:r>
              <w:rPr>
                <w:sz w:val="17"/>
              </w:rPr>
              <w:t>Scenario parameters</w:t>
            </w:r>
          </w:p>
        </w:tc>
      </w:tr>
      <w:tr>
        <w:tc>
          <w:tcPr>
            <w:tcW w:type="dxa" w:w="1560"/>
            <w:shd w:val="clear" w:color="auto" w:fill="EDF1F5"/>
          </w:tcPr>
          <w:p>
            <w:pPr>
              <w:spacing w:after="0"/>
            </w:pPr>
            <w:r/>
            <w:r>
              <w:rPr>
                <w:sz w:val="17"/>
              </w:rPr>
              <w:t>S-MPC</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Wealth MPC out of equity</w:t>
            </w:r>
          </w:p>
        </w:tc>
        <w:tc>
          <w:tcPr>
            <w:tcW w:type="dxa" w:w="1560"/>
            <w:shd w:val="clear" w:color="auto" w:fill="EDF1F5"/>
          </w:tcPr>
          <w:p>
            <w:pPr>
              <w:spacing w:after="0"/>
            </w:pPr>
            <w:r/>
            <w:r>
              <w:rPr>
                <w:sz w:val="17"/>
              </w:rPr>
              <w:t>0.04</w:t>
            </w:r>
          </w:p>
        </w:tc>
        <w:tc>
          <w:tcPr>
            <w:tcW w:type="dxa" w:w="1560"/>
            <w:shd w:val="clear" w:color="auto" w:fill="EDF1F5"/>
          </w:tcPr>
          <w:p>
            <w:pPr>
              <w:spacing w:after="0"/>
            </w:pPr>
            <w:r/>
            <w:r>
              <w:rPr>
                <w:sz w:val="17"/>
              </w:rPr>
              <w:t>$consumption/$wealth</w:t>
            </w:r>
          </w:p>
        </w:tc>
        <w:tc>
          <w:tcPr>
            <w:tcW w:type="dxa" w:w="1560"/>
            <w:shd w:val="clear" w:color="auto" w:fill="EDF1F5"/>
          </w:tcPr>
          <w:p>
            <w:pPr>
              <w:spacing w:after="0"/>
            </w:pPr>
            <w:r/>
            <w:r>
              <w:rPr>
                <w:sz w:val="17"/>
              </w:rPr>
              <w:t>FRB/US &amp; CBO convention 3-5c; upper-range assumption</w:t>
            </w:r>
          </w:p>
        </w:tc>
      </w:tr>
      <w:tr>
        <w:tc>
          <w:tcPr>
            <w:tcW w:type="dxa" w:w="1560"/>
          </w:tcPr>
          <w:p>
            <w:pPr>
              <w:spacing w:after="0"/>
            </w:pPr>
            <w:r/>
            <w:r>
              <w:rPr>
                <w:sz w:val="17"/>
              </w:rPr>
              <w:t>S-TAX-HA</w:t>
            </w:r>
          </w:p>
        </w:tc>
        <w:tc>
          <w:tcPr>
            <w:tcW w:type="dxa" w:w="1560"/>
          </w:tcPr>
          <w:p>
            <w:pPr>
              <w:spacing w:after="0"/>
            </w:pPr>
            <w:r/>
            <w:r>
              <w:rPr>
                <w:sz w:val="17"/>
              </w:rPr>
              <w:t>Category effective tax</w:t>
            </w:r>
          </w:p>
        </w:tc>
        <w:tc>
          <w:tcPr>
            <w:tcW w:type="dxa" w:w="1560"/>
          </w:tcPr>
          <w:p>
            <w:pPr>
              <w:spacing w:after="0"/>
            </w:pPr>
            <w:r/>
            <w:r>
              <w:rPr>
                <w:sz w:val="17"/>
              </w:rPr>
              <w:t>Hardware</w:t>
            </w:r>
          </w:p>
        </w:tc>
        <w:tc>
          <w:tcPr>
            <w:tcW w:type="dxa" w:w="1560"/>
          </w:tcPr>
          <w:p>
            <w:pPr>
              <w:spacing w:after="0"/>
            </w:pPr>
            <w:r/>
            <w:r>
              <w:rPr>
                <w:sz w:val="17"/>
              </w:rPr>
              <w:t>0.17</w:t>
            </w:r>
          </w:p>
        </w:tc>
        <w:tc>
          <w:tcPr>
            <w:tcW w:type="dxa" w:w="1560"/>
          </w:tcPr>
          <w:p>
            <w:pPr>
              <w:spacing w:after="0"/>
            </w:pPr>
            <w:r/>
            <w:r>
              <w:rPr>
                <w:sz w:val="17"/>
              </w:rPr>
              <w:t>rate</w:t>
            </w:r>
          </w:p>
        </w:tc>
        <w:tc>
          <w:tcPr>
            <w:tcW w:type="dxa" w:w="1560"/>
          </w:tcPr>
          <w:p>
            <w:pPr>
              <w:spacing w:after="0"/>
            </w:pPr>
            <w:r/>
            <w:r>
              <w:rPr>
                <w:sz w:val="17"/>
              </w:rPr>
              <w:t>Hardware 17% per NVDA FY27 16-18% guide; others from company filings (conservative)</w:t>
            </w:r>
          </w:p>
        </w:tc>
      </w:tr>
      <w:tr>
        <w:tc>
          <w:tcPr>
            <w:tcW w:type="dxa" w:w="1560"/>
            <w:shd w:val="clear" w:color="auto" w:fill="EDF1F5"/>
          </w:tcPr>
          <w:p>
            <w:pPr>
              <w:spacing w:after="0"/>
            </w:pPr>
            <w:r/>
            <w:r>
              <w:rPr>
                <w:sz w:val="17"/>
              </w:rPr>
              <w:t>S-TAX-CL</w:t>
            </w:r>
          </w:p>
        </w:tc>
        <w:tc>
          <w:tcPr>
            <w:tcW w:type="dxa" w:w="1560"/>
            <w:shd w:val="clear" w:color="auto" w:fill="EDF1F5"/>
          </w:tcPr>
          <w:p>
            <w:pPr>
              <w:spacing w:after="0"/>
            </w:pPr>
            <w:r/>
            <w:r>
              <w:rPr>
                <w:sz w:val="17"/>
              </w:rPr>
              <w:t>Category effective tax</w:t>
            </w:r>
          </w:p>
        </w:tc>
        <w:tc>
          <w:tcPr>
            <w:tcW w:type="dxa" w:w="1560"/>
            <w:shd w:val="clear" w:color="auto" w:fill="EDF1F5"/>
          </w:tcPr>
          <w:p>
            <w:pPr>
              <w:spacing w:after="0"/>
            </w:pPr>
            <w:r/>
            <w:r>
              <w:rPr>
                <w:sz w:val="17"/>
              </w:rPr>
              <w:t>Cloud Providers</w:t>
            </w:r>
          </w:p>
        </w:tc>
        <w:tc>
          <w:tcPr>
            <w:tcW w:type="dxa" w:w="1560"/>
            <w:shd w:val="clear" w:color="auto" w:fill="EDF1F5"/>
          </w:tcPr>
          <w:p>
            <w:pPr>
              <w:spacing w:after="0"/>
            </w:pPr>
            <w:r/>
            <w:r>
              <w:rPr>
                <w:sz w:val="17"/>
              </w:rPr>
              <w:t>0.19</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Hardware 17% per NVDA FY27 16-18% guide; others from company filings (conservative)</w:t>
            </w:r>
          </w:p>
        </w:tc>
      </w:tr>
      <w:tr>
        <w:tc>
          <w:tcPr>
            <w:tcW w:type="dxa" w:w="1560"/>
          </w:tcPr>
          <w:p>
            <w:pPr>
              <w:spacing w:after="0"/>
            </w:pPr>
            <w:r/>
            <w:r>
              <w:rPr>
                <w:sz w:val="17"/>
              </w:rPr>
              <w:t>S-TAX-FO</w:t>
            </w:r>
          </w:p>
        </w:tc>
        <w:tc>
          <w:tcPr>
            <w:tcW w:type="dxa" w:w="1560"/>
          </w:tcPr>
          <w:p>
            <w:pPr>
              <w:spacing w:after="0"/>
            </w:pPr>
            <w:r/>
            <w:r>
              <w:rPr>
                <w:sz w:val="17"/>
              </w:rPr>
              <w:t>Category effective tax</w:t>
            </w:r>
          </w:p>
        </w:tc>
        <w:tc>
          <w:tcPr>
            <w:tcW w:type="dxa" w:w="1560"/>
          </w:tcPr>
          <w:p>
            <w:pPr>
              <w:spacing w:after="0"/>
            </w:pPr>
            <w:r/>
            <w:r>
              <w:rPr>
                <w:sz w:val="17"/>
              </w:rPr>
              <w:t>Foundation Models</w:t>
            </w:r>
          </w:p>
        </w:tc>
        <w:tc>
          <w:tcPr>
            <w:tcW w:type="dxa" w:w="1560"/>
          </w:tcPr>
          <w:p>
            <w:pPr>
              <w:spacing w:after="0"/>
            </w:pPr>
            <w:r/>
            <w:r>
              <w:rPr>
                <w:sz w:val="17"/>
              </w:rPr>
              <w:t>0.22</w:t>
            </w:r>
          </w:p>
        </w:tc>
        <w:tc>
          <w:tcPr>
            <w:tcW w:type="dxa" w:w="1560"/>
          </w:tcPr>
          <w:p>
            <w:pPr>
              <w:spacing w:after="0"/>
            </w:pPr>
            <w:r/>
            <w:r>
              <w:rPr>
                <w:sz w:val="17"/>
              </w:rPr>
              <w:t>rate</w:t>
            </w:r>
          </w:p>
        </w:tc>
        <w:tc>
          <w:tcPr>
            <w:tcW w:type="dxa" w:w="1560"/>
          </w:tcPr>
          <w:p>
            <w:pPr>
              <w:spacing w:after="0"/>
            </w:pPr>
            <w:r/>
            <w:r>
              <w:rPr>
                <w:sz w:val="17"/>
              </w:rPr>
              <w:t>Hardware 17% per NVDA FY27 16-18% guide; others from company filings (conservative)</w:t>
            </w:r>
          </w:p>
        </w:tc>
      </w:tr>
      <w:tr>
        <w:tc>
          <w:tcPr>
            <w:tcW w:type="dxa" w:w="1560"/>
            <w:shd w:val="clear" w:color="auto" w:fill="EDF1F5"/>
          </w:tcPr>
          <w:p>
            <w:pPr>
              <w:spacing w:after="0"/>
            </w:pPr>
            <w:r/>
            <w:r>
              <w:rPr>
                <w:sz w:val="17"/>
              </w:rPr>
              <w:t>S-TAX-LL</w:t>
            </w:r>
          </w:p>
        </w:tc>
        <w:tc>
          <w:tcPr>
            <w:tcW w:type="dxa" w:w="1560"/>
            <w:shd w:val="clear" w:color="auto" w:fill="EDF1F5"/>
          </w:tcPr>
          <w:p>
            <w:pPr>
              <w:spacing w:after="0"/>
            </w:pPr>
            <w:r/>
            <w:r>
              <w:rPr>
                <w:sz w:val="17"/>
              </w:rPr>
              <w:t>Category effective tax</w:t>
            </w:r>
          </w:p>
        </w:tc>
        <w:tc>
          <w:tcPr>
            <w:tcW w:type="dxa" w:w="1560"/>
            <w:shd w:val="clear" w:color="auto" w:fill="EDF1F5"/>
          </w:tcPr>
          <w:p>
            <w:pPr>
              <w:spacing w:after="0"/>
            </w:pPr>
            <w:r/>
            <w:r>
              <w:rPr>
                <w:sz w:val="17"/>
              </w:rPr>
              <w:t>LLM Wrappers</w:t>
            </w:r>
          </w:p>
        </w:tc>
        <w:tc>
          <w:tcPr>
            <w:tcW w:type="dxa" w:w="1560"/>
            <w:shd w:val="clear" w:color="auto" w:fill="EDF1F5"/>
          </w:tcPr>
          <w:p>
            <w:pPr>
              <w:spacing w:after="0"/>
            </w:pPr>
            <w:r/>
            <w:r>
              <w:rPr>
                <w:sz w:val="17"/>
              </w:rPr>
              <w:t>0.18</w:t>
            </w:r>
          </w:p>
        </w:tc>
        <w:tc>
          <w:tcPr>
            <w:tcW w:type="dxa" w:w="1560"/>
            <w:shd w:val="clear" w:color="auto" w:fill="EDF1F5"/>
          </w:tcPr>
          <w:p>
            <w:pPr>
              <w:spacing w:after="0"/>
            </w:pPr>
            <w:r/>
            <w:r>
              <w:rPr>
                <w:sz w:val="17"/>
              </w:rPr>
              <w:t>rate</w:t>
            </w:r>
          </w:p>
        </w:tc>
        <w:tc>
          <w:tcPr>
            <w:tcW w:type="dxa" w:w="1560"/>
            <w:shd w:val="clear" w:color="auto" w:fill="EDF1F5"/>
          </w:tcPr>
          <w:p>
            <w:pPr>
              <w:spacing w:after="0"/>
            </w:pPr>
            <w:r/>
            <w:r>
              <w:rPr>
                <w:sz w:val="17"/>
              </w:rPr>
              <w:t>Hardware 17% per NVDA FY27 16-18% guide; others from company filings (conservative)</w:t>
            </w:r>
          </w:p>
        </w:tc>
      </w:tr>
      <w:tr>
        <w:tc>
          <w:tcPr>
            <w:tcW w:type="dxa" w:w="1560"/>
          </w:tcPr>
          <w:p>
            <w:pPr>
              <w:spacing w:after="0"/>
            </w:pPr>
            <w:r/>
            <w:r>
              <w:rPr>
                <w:sz w:val="17"/>
              </w:rPr>
              <w:t>S-WACC</w:t>
            </w:r>
          </w:p>
        </w:tc>
        <w:tc>
          <w:tcPr>
            <w:tcW w:type="dxa" w:w="1560"/>
          </w:tcPr>
          <w:p>
            <w:pPr>
              <w:spacing w:after="0"/>
            </w:pPr>
            <w:r/>
            <w:r>
              <w:rPr>
                <w:sz w:val="17"/>
              </w:rPr>
              <w:t>Bubble-block scenario</w:t>
            </w:r>
          </w:p>
        </w:tc>
        <w:tc>
          <w:tcPr>
            <w:tcW w:type="dxa" w:w="1560"/>
          </w:tcPr>
          <w:p>
            <w:pPr>
              <w:spacing w:after="0"/>
            </w:pPr>
            <w:r/>
            <w:r>
              <w:rPr>
                <w:sz w:val="17"/>
              </w:rPr>
              <w:t>Uniform WACC proxy</w:t>
            </w:r>
          </w:p>
        </w:tc>
        <w:tc>
          <w:tcPr>
            <w:tcW w:type="dxa" w:w="1560"/>
          </w:tcPr>
          <w:p>
            <w:pPr>
              <w:spacing w:after="0"/>
            </w:pPr>
            <w:r/>
            <w:r>
              <w:rPr>
                <w:sz w:val="17"/>
              </w:rPr>
              <w:t>0.10</w:t>
            </w:r>
          </w:p>
        </w:tc>
        <w:tc>
          <w:tcPr>
            <w:tcW w:type="dxa" w:w="1560"/>
          </w:tcPr>
          <w:p>
            <w:pPr>
              <w:spacing w:after="0"/>
            </w:pPr>
            <w:r/>
            <w:r>
              <w:rPr>
                <w:sz w:val="17"/>
              </w:rPr>
              <w:t>rate</w:t>
            </w:r>
          </w:p>
        </w:tc>
        <w:tc>
          <w:tcPr>
            <w:tcW w:type="dxa" w:w="1560"/>
          </w:tcPr>
          <w:p>
            <w:pPr>
              <w:spacing w:after="0"/>
            </w:pPr>
            <w:r/>
            <w:r>
              <w:rPr>
                <w:sz w:val="17"/>
              </w:rPr>
              <w:t>Stylized proxy in create_company_financials; CAPM-implied 9.0% at beta 1.0 (Rf 4.8% + ERP 4.2%)</w:t>
            </w:r>
          </w:p>
        </w:tc>
      </w:tr>
      <w:tr>
        <w:tc>
          <w:tcPr>
            <w:tcW w:type="dxa" w:w="1560"/>
            <w:shd w:val="clear" w:color="auto" w:fill="EDF1F5"/>
          </w:tcPr>
          <w:p>
            <w:pPr>
              <w:spacing w:after="0"/>
            </w:pPr>
            <w:r/>
            <w:r>
              <w:rPr>
                <w:sz w:val="17"/>
              </w:rPr>
              <w:t>S-PROXY</w:t>
            </w:r>
          </w:p>
        </w:tc>
        <w:tc>
          <w:tcPr>
            <w:tcW w:type="dxa" w:w="1560"/>
            <w:shd w:val="clear" w:color="auto" w:fill="EDF1F5"/>
          </w:tcPr>
          <w:p>
            <w:pPr>
              <w:spacing w:after="0"/>
            </w:pPr>
            <w:r/>
            <w:r>
              <w:rPr>
                <w:sz w:val="17"/>
              </w:rPr>
              <w:t>Bubble-block scenario</w:t>
            </w:r>
          </w:p>
        </w:tc>
        <w:tc>
          <w:tcPr>
            <w:tcW w:type="dxa" w:w="1560"/>
            <w:shd w:val="clear" w:color="auto" w:fill="EDF1F5"/>
          </w:tcPr>
          <w:p>
            <w:pPr>
              <w:spacing w:after="0"/>
            </w:pPr>
            <w:r/>
            <w:r>
              <w:rPr>
                <w:sz w:val="17"/>
              </w:rPr>
              <w:t>Uniform financial proxies</w:t>
            </w:r>
          </w:p>
        </w:tc>
        <w:tc>
          <w:tcPr>
            <w:tcW w:type="dxa" w:w="1560"/>
            <w:shd w:val="clear" w:color="auto" w:fill="EDF1F5"/>
          </w:tcPr>
          <w:p>
            <w:pPr>
              <w:spacing w:after="0"/>
            </w:pPr>
            <w:r/>
            <w:r>
              <w:rPr>
                <w:sz w:val="17"/>
              </w:rPr>
              <w:t>margin 0.30; beta 1.0; 15x revenue multiple; growth 25%/30%</w:t>
            </w:r>
          </w:p>
        </w:tc>
        <w:tc>
          <w:tcPr>
            <w:tcW w:type="dxa" w:w="1560"/>
            <w:shd w:val="clear" w:color="auto" w:fill="EDF1F5"/>
          </w:tcPr>
          <w:p>
            <w:pPr>
              <w:spacing w:after="0"/>
            </w:pPr>
            <w:r/>
            <w:r>
              <w:rPr>
                <w:sz w:val="17"/>
              </w:rPr>
              <w:t>various</w:t>
            </w:r>
          </w:p>
        </w:tc>
        <w:tc>
          <w:tcPr>
            <w:tcW w:type="dxa" w:w="1560"/>
            <w:shd w:val="clear" w:color="auto" w:fill="EDF1F5"/>
          </w:tcPr>
          <w:p>
            <w:pPr>
              <w:spacing w:after="0"/>
            </w:pPr>
            <w:r/>
            <w:r>
              <w:rPr>
                <w:sz w:val="17"/>
              </w:rPr>
              <w:t>Stylized uniform proxies in create_company_financials (valuation screen only)</w:t>
            </w:r>
          </w:p>
        </w:tc>
      </w:tr>
      <w:tr>
        <w:tc>
          <w:tcPr>
            <w:tcW w:type="dxa" w:w="1560"/>
          </w:tcPr>
          <w:p>
            <w:pPr>
              <w:spacing w:after="0"/>
            </w:pPr>
            <w:r/>
            <w:r>
              <w:rPr>
                <w:sz w:val="17"/>
              </w:rPr>
              <w:t>E-CL</w:t>
            </w:r>
          </w:p>
        </w:tc>
        <w:tc>
          <w:tcPr>
            <w:tcW w:type="dxa" w:w="1560"/>
          </w:tcPr>
          <w:p>
            <w:pPr>
              <w:spacing w:after="0"/>
            </w:pPr>
            <w:r/>
            <w:r>
              <w:rPr>
                <w:sz w:val="17"/>
              </w:rPr>
              <w:t>Demand elasticities</w:t>
            </w:r>
          </w:p>
        </w:tc>
        <w:tc>
          <w:tcPr>
            <w:tcW w:type="dxa" w:w="1560"/>
          </w:tcPr>
          <w:p>
            <w:pPr>
              <w:spacing w:after="0"/>
            </w:pPr>
            <w:r/>
            <w:r>
              <w:rPr>
                <w:sz w:val="17"/>
              </w:rPr>
              <w:t>Cloud Providers price elasticity</w:t>
            </w:r>
          </w:p>
        </w:tc>
        <w:tc>
          <w:tcPr>
            <w:tcW w:type="dxa" w:w="1560"/>
          </w:tcPr>
          <w:p>
            <w:pPr>
              <w:spacing w:after="0"/>
            </w:pPr>
            <w:r/>
            <w:r>
              <w:rPr>
                <w:sz w:val="17"/>
              </w:rPr>
              <w:t>base -1.80 [-2.50, -1.20]</w:t>
            </w:r>
          </w:p>
        </w:tc>
        <w:tc>
          <w:tcPr>
            <w:tcW w:type="dxa" w:w="1560"/>
          </w:tcPr>
          <w:p>
            <w:pPr>
              <w:spacing w:after="0"/>
            </w:pPr>
            <w:r/>
            <w:r>
              <w:rPr>
                <w:sz w:val="17"/>
              </w:rPr>
              <w:t>elasticity</w:t>
            </w:r>
          </w:p>
        </w:tc>
        <w:tc>
          <w:tcPr>
            <w:tcW w:type="dxa" w:w="1560"/>
          </w:tcPr>
          <w:p>
            <w:pPr>
              <w:spacing w:after="0"/>
            </w:pPr>
            <w:r/>
            <w:r>
              <w:rPr>
                <w:sz w:val="17"/>
              </w:rPr>
              <w:t>Conceptual anchor: Shapiro &amp; Varian (1999); Bakos &amp; Brynjolfsson (2000); ranges feed Lerner/markup bands</w:t>
            </w:r>
          </w:p>
        </w:tc>
      </w:tr>
      <w:tr>
        <w:tc>
          <w:tcPr>
            <w:tcW w:type="dxa" w:w="1560"/>
            <w:shd w:val="clear" w:color="auto" w:fill="EDF1F5"/>
          </w:tcPr>
          <w:p>
            <w:pPr>
              <w:spacing w:after="0"/>
            </w:pPr>
            <w:r/>
            <w:r>
              <w:rPr>
                <w:sz w:val="17"/>
              </w:rPr>
              <w:t>E-HA</w:t>
            </w:r>
          </w:p>
        </w:tc>
        <w:tc>
          <w:tcPr>
            <w:tcW w:type="dxa" w:w="1560"/>
            <w:shd w:val="clear" w:color="auto" w:fill="EDF1F5"/>
          </w:tcPr>
          <w:p>
            <w:pPr>
              <w:spacing w:after="0"/>
            </w:pPr>
            <w:r/>
            <w:r>
              <w:rPr>
                <w:sz w:val="17"/>
              </w:rPr>
              <w:t>Demand elasticities</w:t>
            </w:r>
          </w:p>
        </w:tc>
        <w:tc>
          <w:tcPr>
            <w:tcW w:type="dxa" w:w="1560"/>
            <w:shd w:val="clear" w:color="auto" w:fill="EDF1F5"/>
          </w:tcPr>
          <w:p>
            <w:pPr>
              <w:spacing w:after="0"/>
            </w:pPr>
            <w:r/>
            <w:r>
              <w:rPr>
                <w:sz w:val="17"/>
              </w:rPr>
              <w:t>Hardware price elasticity</w:t>
            </w:r>
          </w:p>
        </w:tc>
        <w:tc>
          <w:tcPr>
            <w:tcW w:type="dxa" w:w="1560"/>
            <w:shd w:val="clear" w:color="auto" w:fill="EDF1F5"/>
          </w:tcPr>
          <w:p>
            <w:pPr>
              <w:spacing w:after="0"/>
            </w:pPr>
            <w:r/>
            <w:r>
              <w:rPr>
                <w:sz w:val="17"/>
              </w:rPr>
              <w:t>base -1.50 [-2.00, -1.20]</w:t>
            </w:r>
          </w:p>
        </w:tc>
        <w:tc>
          <w:tcPr>
            <w:tcW w:type="dxa" w:w="1560"/>
            <w:shd w:val="clear" w:color="auto" w:fill="EDF1F5"/>
          </w:tcPr>
          <w:p>
            <w:pPr>
              <w:spacing w:after="0"/>
            </w:pPr>
            <w:r/>
            <w:r>
              <w:rPr>
                <w:sz w:val="17"/>
              </w:rPr>
              <w:t>elasticity</w:t>
            </w:r>
          </w:p>
        </w:tc>
        <w:tc>
          <w:tcPr>
            <w:tcW w:type="dxa" w:w="1560"/>
            <w:shd w:val="clear" w:color="auto" w:fill="EDF1F5"/>
          </w:tcPr>
          <w:p>
            <w:pPr>
              <w:spacing w:after="0"/>
            </w:pPr>
            <w:r/>
            <w:r>
              <w:rPr>
                <w:sz w:val="17"/>
              </w:rPr>
              <w:t>Conceptual anchor: Scherer &amp; Ross (1990); ranges feed Lerner/markup bands</w:t>
            </w:r>
          </w:p>
        </w:tc>
      </w:tr>
      <w:tr>
        <w:tc>
          <w:tcPr>
            <w:tcW w:type="dxa" w:w="1560"/>
          </w:tcPr>
          <w:p>
            <w:pPr>
              <w:spacing w:after="0"/>
            </w:pPr>
            <w:r/>
            <w:r>
              <w:rPr>
                <w:sz w:val="17"/>
              </w:rPr>
              <w:t>E-FO</w:t>
            </w:r>
          </w:p>
        </w:tc>
        <w:tc>
          <w:tcPr>
            <w:tcW w:type="dxa" w:w="1560"/>
          </w:tcPr>
          <w:p>
            <w:pPr>
              <w:spacing w:after="0"/>
            </w:pPr>
            <w:r/>
            <w:r>
              <w:rPr>
                <w:sz w:val="17"/>
              </w:rPr>
              <w:t>Demand elasticities</w:t>
            </w:r>
          </w:p>
        </w:tc>
        <w:tc>
          <w:tcPr>
            <w:tcW w:type="dxa" w:w="1560"/>
          </w:tcPr>
          <w:p>
            <w:pPr>
              <w:spacing w:after="0"/>
            </w:pPr>
            <w:r/>
            <w:r>
              <w:rPr>
                <w:sz w:val="17"/>
              </w:rPr>
              <w:t>Foundation Models price elasticity</w:t>
            </w:r>
          </w:p>
        </w:tc>
        <w:tc>
          <w:tcPr>
            <w:tcW w:type="dxa" w:w="1560"/>
          </w:tcPr>
          <w:p>
            <w:pPr>
              <w:spacing w:after="0"/>
            </w:pPr>
            <w:r/>
            <w:r>
              <w:rPr>
                <w:sz w:val="17"/>
              </w:rPr>
              <w:t>base -2.50 [-3.50, -1.80]</w:t>
            </w:r>
          </w:p>
        </w:tc>
        <w:tc>
          <w:tcPr>
            <w:tcW w:type="dxa" w:w="1560"/>
          </w:tcPr>
          <w:p>
            <w:pPr>
              <w:spacing w:after="0"/>
            </w:pPr>
            <w:r/>
            <w:r>
              <w:rPr>
                <w:sz w:val="17"/>
              </w:rPr>
              <w:t>elasticity</w:t>
            </w:r>
          </w:p>
        </w:tc>
        <w:tc>
          <w:tcPr>
            <w:tcW w:type="dxa" w:w="1560"/>
          </w:tcPr>
          <w:p>
            <w:pPr>
              <w:spacing w:after="0"/>
            </w:pPr>
            <w:r/>
            <w:r>
              <w:rPr>
                <w:sz w:val="17"/>
              </w:rPr>
              <w:t>Conceptual anchor: Farrell &amp; Klemperer (2007); ranges feed Lerner/markup bands</w:t>
            </w:r>
          </w:p>
        </w:tc>
      </w:tr>
      <w:tr>
        <w:tc>
          <w:tcPr>
            <w:tcW w:type="dxa" w:w="1560"/>
            <w:shd w:val="clear" w:color="auto" w:fill="EDF1F5"/>
          </w:tcPr>
          <w:p>
            <w:pPr>
              <w:spacing w:after="0"/>
            </w:pPr>
            <w:r/>
            <w:r>
              <w:rPr>
                <w:sz w:val="17"/>
              </w:rPr>
              <w:t>E-LL</w:t>
            </w:r>
          </w:p>
        </w:tc>
        <w:tc>
          <w:tcPr>
            <w:tcW w:type="dxa" w:w="1560"/>
            <w:shd w:val="clear" w:color="auto" w:fill="EDF1F5"/>
          </w:tcPr>
          <w:p>
            <w:pPr>
              <w:spacing w:after="0"/>
            </w:pPr>
            <w:r/>
            <w:r>
              <w:rPr>
                <w:sz w:val="17"/>
              </w:rPr>
              <w:t>Demand elasticities</w:t>
            </w:r>
          </w:p>
        </w:tc>
        <w:tc>
          <w:tcPr>
            <w:tcW w:type="dxa" w:w="1560"/>
            <w:shd w:val="clear" w:color="auto" w:fill="EDF1F5"/>
          </w:tcPr>
          <w:p>
            <w:pPr>
              <w:spacing w:after="0"/>
            </w:pPr>
            <w:r/>
            <w:r>
              <w:rPr>
                <w:sz w:val="17"/>
              </w:rPr>
              <w:t>LLM Wrappers price elasticity</w:t>
            </w:r>
          </w:p>
        </w:tc>
        <w:tc>
          <w:tcPr>
            <w:tcW w:type="dxa" w:w="1560"/>
            <w:shd w:val="clear" w:color="auto" w:fill="EDF1F5"/>
          </w:tcPr>
          <w:p>
            <w:pPr>
              <w:spacing w:after="0"/>
            </w:pPr>
            <w:r/>
            <w:r>
              <w:rPr>
                <w:sz w:val="17"/>
              </w:rPr>
              <w:t>base -4.00 [-6.00, -3.00]</w:t>
            </w:r>
          </w:p>
        </w:tc>
        <w:tc>
          <w:tcPr>
            <w:tcW w:type="dxa" w:w="1560"/>
            <w:shd w:val="clear" w:color="auto" w:fill="EDF1F5"/>
          </w:tcPr>
          <w:p>
            <w:pPr>
              <w:spacing w:after="0"/>
            </w:pPr>
            <w:r/>
            <w:r>
              <w:rPr>
                <w:sz w:val="17"/>
              </w:rPr>
              <w:t>elasticity</w:t>
            </w:r>
          </w:p>
        </w:tc>
        <w:tc>
          <w:tcPr>
            <w:tcW w:type="dxa" w:w="1560"/>
            <w:shd w:val="clear" w:color="auto" w:fill="EDF1F5"/>
          </w:tcPr>
          <w:p>
            <w:pPr>
              <w:spacing w:after="0"/>
            </w:pPr>
            <w:r/>
            <w:r>
              <w:rPr>
                <w:sz w:val="17"/>
              </w:rPr>
              <w:t>Conceptual anchor: Sutton (1991); ranges feed Lerner/markup bands</w:t>
            </w:r>
          </w:p>
        </w:tc>
      </w:tr>
      <w:tr>
        <w:tc>
          <w:tcPr>
            <w:tcW w:type="dxa" w:w="1560"/>
          </w:tcPr>
          <w:p>
            <w:pPr>
              <w:spacing w:after="0"/>
            </w:pPr>
            <w:r/>
            <w:r>
              <w:rPr>
                <w:sz w:val="17"/>
              </w:rPr>
              <w:t>P-1</w:t>
            </w:r>
          </w:p>
        </w:tc>
        <w:tc>
          <w:tcPr>
            <w:tcW w:type="dxa" w:w="1560"/>
          </w:tcPr>
          <w:p>
            <w:pPr>
              <w:spacing w:after="0"/>
            </w:pPr>
            <w:r/>
            <w:r>
              <w:rPr>
                <w:sz w:val="17"/>
              </w:rPr>
              <w:t>Policy scenarios</w:t>
            </w:r>
          </w:p>
        </w:tc>
        <w:tc>
          <w:tcPr>
            <w:tcW w:type="dxa" w:w="1560"/>
          </w:tcPr>
          <w:p>
            <w:pPr>
              <w:spacing w:after="0"/>
            </w:pPr>
            <w:r/>
            <w:r>
              <w:rPr>
                <w:sz w:val="17"/>
              </w:rPr>
              <w:t>API Interoperability Mandate</w:t>
            </w:r>
          </w:p>
        </w:tc>
        <w:tc>
          <w:tcPr>
            <w:tcW w:type="dxa" w:w="1560"/>
          </w:tcPr>
          <w:p>
            <w:pPr>
              <w:spacing w:after="0"/>
            </w:pPr>
            <w:r/>
            <w:r>
              <w:rPr>
                <w:sz w:val="17"/>
              </w:rPr>
              <w:t>DWL reduction base 0.35 [0.25, 0.45]; cost $5.0B [$3.0B, $7.0B]</w:t>
            </w:r>
          </w:p>
        </w:tc>
        <w:tc>
          <w:tcPr>
            <w:tcW w:type="dxa" w:w="1560"/>
          </w:tcPr>
          <w:p>
            <w:pPr>
              <w:spacing w:after="0"/>
            </w:pPr>
            <w:r/>
            <w:r>
              <w:rPr>
                <w:sz w:val="17"/>
              </w:rPr>
              <w:t>share; $B</w:t>
            </w:r>
          </w:p>
        </w:tc>
        <w:tc>
          <w:tcPr>
            <w:tcW w:type="dxa" w:w="1560"/>
          </w:tcPr>
          <w:p>
            <w:pPr>
              <w:spacing w:after="0"/>
            </w:pPr>
            <w:r/>
            <w:r>
              <w:rPr>
                <w:sz w:val="17"/>
              </w:rPr>
              <w:t>Source: EU Digital Markets Act (European Commission 2022)</w:t>
            </w:r>
          </w:p>
        </w:tc>
      </w:tr>
      <w:tr>
        <w:tc>
          <w:tcPr>
            <w:tcW w:type="dxa" w:w="1560"/>
            <w:shd w:val="clear" w:color="auto" w:fill="EDF1F5"/>
          </w:tcPr>
          <w:p>
            <w:pPr>
              <w:spacing w:after="0"/>
            </w:pPr>
            <w:r/>
            <w:r>
              <w:rPr>
                <w:sz w:val="17"/>
              </w:rPr>
              <w:t>P-2</w:t>
            </w:r>
          </w:p>
        </w:tc>
        <w:tc>
          <w:tcPr>
            <w:tcW w:type="dxa" w:w="1560"/>
            <w:shd w:val="clear" w:color="auto" w:fill="EDF1F5"/>
          </w:tcPr>
          <w:p>
            <w:pPr>
              <w:spacing w:after="0"/>
            </w:pPr>
            <w:r/>
            <w:r>
              <w:rPr>
                <w:sz w:val="17"/>
              </w:rPr>
              <w:t>Policy scenarios</w:t>
            </w:r>
          </w:p>
        </w:tc>
        <w:tc>
          <w:tcPr>
            <w:tcW w:type="dxa" w:w="1560"/>
            <w:shd w:val="clear" w:color="auto" w:fill="EDF1F5"/>
          </w:tcPr>
          <w:p>
            <w:pPr>
              <w:spacing w:after="0"/>
            </w:pPr>
            <w:r/>
            <w:r>
              <w:rPr>
                <w:sz w:val="17"/>
              </w:rPr>
              <w:t>Antitrust Enforcement</w:t>
            </w:r>
          </w:p>
        </w:tc>
        <w:tc>
          <w:tcPr>
            <w:tcW w:type="dxa" w:w="1560"/>
            <w:shd w:val="clear" w:color="auto" w:fill="EDF1F5"/>
          </w:tcPr>
          <w:p>
            <w:pPr>
              <w:spacing w:after="0"/>
            </w:pPr>
            <w:r/>
            <w:r>
              <w:rPr>
                <w:sz w:val="17"/>
              </w:rPr>
              <w:t>DWL reduction base 0.25 [0.15, 0.35]; cost $2.0B [$1.0B, $4.0B]</w:t>
            </w:r>
          </w:p>
        </w:tc>
        <w:tc>
          <w:tcPr>
            <w:tcW w:type="dxa" w:w="1560"/>
            <w:shd w:val="clear" w:color="auto" w:fill="EDF1F5"/>
          </w:tcPr>
          <w:p>
            <w:pPr>
              <w:spacing w:after="0"/>
            </w:pPr>
            <w:r/>
            <w:r>
              <w:rPr>
                <w:sz w:val="17"/>
              </w:rPr>
              <w:t>share; $B</w:t>
            </w:r>
          </w:p>
        </w:tc>
        <w:tc>
          <w:tcPr>
            <w:tcW w:type="dxa" w:w="1560"/>
            <w:shd w:val="clear" w:color="auto" w:fill="EDF1F5"/>
          </w:tcPr>
          <w:p>
            <w:pPr>
              <w:spacing w:after="0"/>
            </w:pPr>
            <w:r/>
            <w:r>
              <w:rPr>
                <w:sz w:val="17"/>
              </w:rPr>
              <w:t>Source: DOJ/FTC costs (Baker 2019)</w:t>
            </w:r>
          </w:p>
        </w:tc>
      </w:tr>
      <w:tr>
        <w:tc>
          <w:tcPr>
            <w:tcW w:type="dxa" w:w="1560"/>
          </w:tcPr>
          <w:p>
            <w:pPr>
              <w:spacing w:after="0"/>
            </w:pPr>
            <w:r/>
            <w:r>
              <w:rPr>
                <w:sz w:val="17"/>
              </w:rPr>
              <w:t>P-3</w:t>
            </w:r>
          </w:p>
        </w:tc>
        <w:tc>
          <w:tcPr>
            <w:tcW w:type="dxa" w:w="1560"/>
          </w:tcPr>
          <w:p>
            <w:pPr>
              <w:spacing w:after="0"/>
            </w:pPr>
            <w:r/>
            <w:r>
              <w:rPr>
                <w:sz w:val="17"/>
              </w:rPr>
              <w:t>Policy scenarios</w:t>
            </w:r>
          </w:p>
        </w:tc>
        <w:tc>
          <w:tcPr>
            <w:tcW w:type="dxa" w:w="1560"/>
          </w:tcPr>
          <w:p>
            <w:pPr>
              <w:spacing w:after="0"/>
            </w:pPr>
            <w:r/>
            <w:r>
              <w:rPr>
                <w:sz w:val="17"/>
              </w:rPr>
              <w:t>Innovation Subsidies</w:t>
            </w:r>
          </w:p>
        </w:tc>
        <w:tc>
          <w:tcPr>
            <w:tcW w:type="dxa" w:w="1560"/>
          </w:tcPr>
          <w:p>
            <w:pPr>
              <w:spacing w:after="0"/>
            </w:pPr>
            <w:r/>
            <w:r>
              <w:rPr>
                <w:sz w:val="17"/>
              </w:rPr>
              <w:t>DWL reduction base midpoint [0.15, 0.30]; cost $8.0B [$5.0B, $12.0B]</w:t>
            </w:r>
          </w:p>
        </w:tc>
        <w:tc>
          <w:tcPr>
            <w:tcW w:type="dxa" w:w="1560"/>
          </w:tcPr>
          <w:p>
            <w:pPr>
              <w:spacing w:after="0"/>
            </w:pPr>
            <w:r/>
            <w:r>
              <w:rPr>
                <w:sz w:val="17"/>
              </w:rPr>
              <w:t>share; $B</w:t>
            </w:r>
          </w:p>
        </w:tc>
        <w:tc>
          <w:tcPr>
            <w:tcW w:type="dxa" w:w="1560"/>
          </w:tcPr>
          <w:p>
            <w:pPr>
              <w:spacing w:after="0"/>
            </w:pPr>
            <w:r/>
            <w:r>
              <w:rPr>
                <w:sz w:val="17"/>
              </w:rPr>
              <w:t>Source: CHIPS Act (CBO Jul 2022 cost estimate) &amp; IRA credits (JCT scores)</w:t>
            </w:r>
          </w:p>
        </w:tc>
      </w:tr>
      <w:tr>
        <w:tc>
          <w:tcPr>
            <w:tcW w:type="dxa" w:w="1560"/>
            <w:shd w:val="clear" w:color="auto" w:fill="EDF1F5"/>
          </w:tcPr>
          <w:p>
            <w:pPr>
              <w:spacing w:after="0"/>
            </w:pPr>
            <w:r/>
            <w:r>
              <w:rPr>
                <w:sz w:val="17"/>
              </w:rPr>
              <w:t>P-4</w:t>
            </w:r>
          </w:p>
        </w:tc>
        <w:tc>
          <w:tcPr>
            <w:tcW w:type="dxa" w:w="1560"/>
            <w:shd w:val="clear" w:color="auto" w:fill="EDF1F5"/>
          </w:tcPr>
          <w:p>
            <w:pPr>
              <w:spacing w:after="0"/>
            </w:pPr>
            <w:r/>
            <w:r>
              <w:rPr>
                <w:sz w:val="17"/>
              </w:rPr>
              <w:t>Policy scenarios</w:t>
            </w:r>
          </w:p>
        </w:tc>
        <w:tc>
          <w:tcPr>
            <w:tcW w:type="dxa" w:w="1560"/>
            <w:shd w:val="clear" w:color="auto" w:fill="EDF1F5"/>
          </w:tcPr>
          <w:p>
            <w:pPr>
              <w:spacing w:after="0"/>
            </w:pPr>
            <w:r/>
            <w:r>
              <w:rPr>
                <w:sz w:val="17"/>
              </w:rPr>
              <w:t>Data Sharing Mandate</w:t>
            </w:r>
          </w:p>
        </w:tc>
        <w:tc>
          <w:tcPr>
            <w:tcW w:type="dxa" w:w="1560"/>
            <w:shd w:val="clear" w:color="auto" w:fill="EDF1F5"/>
          </w:tcPr>
          <w:p>
            <w:pPr>
              <w:spacing w:after="0"/>
            </w:pPr>
            <w:r/>
            <w:r>
              <w:rPr>
                <w:sz w:val="17"/>
              </w:rPr>
              <w:t>DWL reduction base 0.18 [0.12, 0.25]; cost $3.0B [$2.0B, $5.0B]</w:t>
            </w:r>
          </w:p>
        </w:tc>
        <w:tc>
          <w:tcPr>
            <w:tcW w:type="dxa" w:w="1560"/>
            <w:shd w:val="clear" w:color="auto" w:fill="EDF1F5"/>
          </w:tcPr>
          <w:p>
            <w:pPr>
              <w:spacing w:after="0"/>
            </w:pPr>
            <w:r/>
            <w:r>
              <w:rPr>
                <w:sz w:val="17"/>
              </w:rPr>
              <w:t>share; $B</w:t>
            </w:r>
          </w:p>
        </w:tc>
        <w:tc>
          <w:tcPr>
            <w:tcW w:type="dxa" w:w="1560"/>
            <w:shd w:val="clear" w:color="auto" w:fill="EDF1F5"/>
          </w:tcPr>
          <w:p>
            <w:pPr>
              <w:spacing w:after="0"/>
            </w:pPr>
            <w:r/>
            <w:r>
              <w:rPr>
                <w:sz w:val="17"/>
              </w:rPr>
              <w:t>Source: Krämer, Senellart &amp; de Streel (2020), Making Data Portability More Effective, CERRE</w:t>
            </w:r>
          </w:p>
        </w:tc>
      </w:tr>
      <w:tr>
        <w:tc>
          <w:tcPr>
            <w:tcW w:type="dxa" w:w="1560"/>
          </w:tcPr>
          <w:p>
            <w:pPr>
              <w:spacing w:after="0"/>
            </w:pPr>
            <w:r/>
            <w:r>
              <w:rPr>
                <w:sz w:val="17"/>
              </w:rPr>
              <w:t>P-5</w:t>
            </w:r>
          </w:p>
        </w:tc>
        <w:tc>
          <w:tcPr>
            <w:tcW w:type="dxa" w:w="1560"/>
          </w:tcPr>
          <w:p>
            <w:pPr>
              <w:spacing w:after="0"/>
            </w:pPr>
            <w:r/>
            <w:r>
              <w:rPr>
                <w:sz w:val="17"/>
              </w:rPr>
              <w:t>Policy scenarios</w:t>
            </w:r>
          </w:p>
        </w:tc>
        <w:tc>
          <w:tcPr>
            <w:tcW w:type="dxa" w:w="1560"/>
          </w:tcPr>
          <w:p>
            <w:pPr>
              <w:spacing w:after="0"/>
            </w:pPr>
            <w:r/>
            <w:r>
              <w:rPr>
                <w:sz w:val="17"/>
              </w:rPr>
              <w:t>Combined Intervention</w:t>
            </w:r>
          </w:p>
        </w:tc>
        <w:tc>
          <w:tcPr>
            <w:tcW w:type="dxa" w:w="1560"/>
          </w:tcPr>
          <w:p>
            <w:pPr>
              <w:spacing w:after="0"/>
            </w:pPr>
            <w:r/>
            <w:r>
              <w:rPr>
                <w:sz w:val="17"/>
              </w:rPr>
              <w:t>DWL reduction base 0.55 [0.45, 0.65]; cost $15.0B [$12.0B, $20.0B]</w:t>
            </w:r>
          </w:p>
        </w:tc>
        <w:tc>
          <w:tcPr>
            <w:tcW w:type="dxa" w:w="1560"/>
          </w:tcPr>
          <w:p>
            <w:pPr>
              <w:spacing w:after="0"/>
            </w:pPr>
            <w:r/>
            <w:r>
              <w:rPr>
                <w:sz w:val="17"/>
              </w:rPr>
              <w:t>share; $B</w:t>
            </w:r>
          </w:p>
        </w:tc>
        <w:tc>
          <w:tcPr>
            <w:tcW w:type="dxa" w:w="1560"/>
          </w:tcPr>
          <w:p>
            <w:pPr>
              <w:spacing w:after="0"/>
            </w:pPr>
            <w:r/>
            <w:r>
              <w:rPr>
                <w:sz w:val="17"/>
              </w:rPr>
              <w:t>Source: Policy complementarity (Crémer et al. 2019)</w:t>
            </w:r>
          </w:p>
        </w:tc>
      </w:tr>
      <w:tr>
        <w:tc>
          <w:tcPr>
            <w:tcW w:type="dxa" w:w="1560"/>
            <w:shd w:val="clear" w:color="auto" w:fill="EDF1F5"/>
          </w:tcPr>
          <w:p>
            <w:pPr>
              <w:spacing w:after="0"/>
            </w:pPr>
            <w:r/>
            <w:r>
              <w:rPr>
                <w:sz w:val="17"/>
              </w:rPr>
              <w:t>D-01</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OpenAI &lt;- NVIDIA ($105B credit support for Ohio DC)</w:t>
            </w:r>
          </w:p>
        </w:tc>
        <w:tc>
          <w:tcPr>
            <w:tcW w:type="dxa" w:w="1560"/>
            <w:shd w:val="clear" w:color="auto" w:fill="EDF1F5"/>
          </w:tcPr>
          <w:p>
            <w:pPr>
              <w:spacing w:after="0"/>
            </w:pPr>
            <w:r/>
            <w:r>
              <w:rPr>
                <w:sz w:val="17"/>
              </w:rPr>
              <w:t>105.00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Critical; circ factor 0.98; booking committed; source: FinanceFeeds Aug 2026 (contingent residual-value guarantee; pays only on OpenAI lease default)</w:t>
            </w:r>
          </w:p>
        </w:tc>
      </w:tr>
      <w:tr>
        <w:tc>
          <w:tcPr>
            <w:tcW w:type="dxa" w:w="1560"/>
          </w:tcPr>
          <w:p>
            <w:pPr>
              <w:spacing w:after="0"/>
            </w:pPr>
            <w:r/>
            <w:r>
              <w:rPr>
                <w:sz w:val="17"/>
              </w:rPr>
              <w:t>D-02</w:t>
            </w:r>
          </w:p>
        </w:tc>
        <w:tc>
          <w:tcPr>
            <w:tcW w:type="dxa" w:w="1560"/>
          </w:tcPr>
          <w:p>
            <w:pPr>
              <w:spacing w:after="0"/>
            </w:pPr>
            <w:r/>
            <w:r>
              <w:rPr>
                <w:sz w:val="17"/>
              </w:rPr>
              <w:t>Circular deals</w:t>
            </w:r>
          </w:p>
        </w:tc>
        <w:tc>
          <w:tcPr>
            <w:tcW w:type="dxa" w:w="1560"/>
          </w:tcPr>
          <w:p>
            <w:pPr>
              <w:spacing w:after="0"/>
            </w:pPr>
            <w:r/>
            <w:r>
              <w:rPr>
                <w:sz w:val="17"/>
              </w:rPr>
              <w:t>Anthropic &lt;- Nvidia-backed Lambda + Nscale ($80B compute)</w:t>
            </w:r>
          </w:p>
        </w:tc>
        <w:tc>
          <w:tcPr>
            <w:tcW w:type="dxa" w:w="1560"/>
          </w:tcPr>
          <w:p>
            <w:pPr>
              <w:spacing w:after="0"/>
            </w:pPr>
            <w:r/>
            <w:r>
              <w:rPr>
                <w:sz w:val="17"/>
              </w:rPr>
              <w:t>80.00</w:t>
            </w:r>
          </w:p>
        </w:tc>
        <w:tc>
          <w:tcPr>
            <w:tcW w:type="dxa" w:w="1560"/>
          </w:tcPr>
          <w:p>
            <w:pPr>
              <w:spacing w:after="0"/>
            </w:pPr>
            <w:r/>
            <w:r>
              <w:rPr>
                <w:sz w:val="17"/>
              </w:rPr>
              <w:t>$B committed</w:t>
            </w:r>
          </w:p>
        </w:tc>
        <w:tc>
          <w:tcPr>
            <w:tcW w:type="dxa" w:w="1560"/>
          </w:tcPr>
          <w:p>
            <w:pPr>
              <w:spacing w:after="0"/>
            </w:pPr>
            <w:r/>
            <w:r>
              <w:rPr>
                <w:sz w:val="17"/>
              </w:rPr>
              <w:t>Risk Critical; circ factor 0.95; booking committed; source: WSJ/Reuters Aug 30 2026 ($45B Nscale + $35B Lambda compute)</w:t>
            </w:r>
          </w:p>
        </w:tc>
      </w:tr>
      <w:tr>
        <w:tc>
          <w:tcPr>
            <w:tcW w:type="dxa" w:w="1560"/>
            <w:shd w:val="clear" w:color="auto" w:fill="EDF1F5"/>
          </w:tcPr>
          <w:p>
            <w:pPr>
              <w:spacing w:after="0"/>
            </w:pPr>
            <w:r/>
            <w:r>
              <w:rPr>
                <w:sz w:val="17"/>
              </w:rPr>
              <w:t>D-03</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CoreWeave &lt;- NVIDIA (equity + hardware + customers)</w:t>
            </w:r>
          </w:p>
        </w:tc>
        <w:tc>
          <w:tcPr>
            <w:tcW w:type="dxa" w:w="1560"/>
            <w:shd w:val="clear" w:color="auto" w:fill="EDF1F5"/>
          </w:tcPr>
          <w:p>
            <w:pPr>
              <w:spacing w:after="0"/>
            </w:pPr>
            <w:r/>
            <w:r>
              <w:rPr>
                <w:sz w:val="17"/>
              </w:rPr>
              <w:t>2.00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Critical; circ factor 0.98; booking committed; source: Reuters/TechCrunch Jan 26 2026 ($2B at $87.20; prior 24.3M-share stake)</w:t>
            </w:r>
          </w:p>
        </w:tc>
      </w:tr>
      <w:tr>
        <w:tc>
          <w:tcPr>
            <w:tcW w:type="dxa" w:w="1560"/>
          </w:tcPr>
          <w:p>
            <w:pPr>
              <w:spacing w:after="0"/>
            </w:pPr>
            <w:r/>
            <w:r>
              <w:rPr>
                <w:sz w:val="17"/>
              </w:rPr>
              <w:t>D-04</w:t>
            </w:r>
          </w:p>
        </w:tc>
        <w:tc>
          <w:tcPr>
            <w:tcW w:type="dxa" w:w="1560"/>
          </w:tcPr>
          <w:p>
            <w:pPr>
              <w:spacing w:after="0"/>
            </w:pPr>
            <w:r/>
            <w:r>
              <w:rPr>
                <w:sz w:val="17"/>
              </w:rPr>
              <w:t>Circular deals</w:t>
            </w:r>
          </w:p>
        </w:tc>
        <w:tc>
          <w:tcPr>
            <w:tcW w:type="dxa" w:w="1560"/>
          </w:tcPr>
          <w:p>
            <w:pPr>
              <w:spacing w:after="0"/>
            </w:pPr>
            <w:r/>
            <w:r>
              <w:rPr>
                <w:sz w:val="17"/>
              </w:rPr>
              <w:t>Meta &lt;- CoreWeave (5-yr compute contract)</w:t>
            </w:r>
          </w:p>
        </w:tc>
        <w:tc>
          <w:tcPr>
            <w:tcW w:type="dxa" w:w="1560"/>
          </w:tcPr>
          <w:p>
            <w:pPr>
              <w:spacing w:after="0"/>
            </w:pPr>
            <w:r/>
            <w:r>
              <w:rPr>
                <w:sz w:val="17"/>
              </w:rPr>
              <w:t>14.20</w:t>
            </w:r>
          </w:p>
        </w:tc>
        <w:tc>
          <w:tcPr>
            <w:tcW w:type="dxa" w:w="1560"/>
          </w:tcPr>
          <w:p>
            <w:pPr>
              <w:spacing w:after="0"/>
            </w:pPr>
            <w:r/>
            <w:r>
              <w:rPr>
                <w:sz w:val="17"/>
              </w:rPr>
              <w:t>$B committed</w:t>
            </w:r>
          </w:p>
        </w:tc>
        <w:tc>
          <w:tcPr>
            <w:tcW w:type="dxa" w:w="1560"/>
          </w:tcPr>
          <w:p>
            <w:pPr>
              <w:spacing w:after="0"/>
            </w:pPr>
            <w:r/>
            <w:r>
              <w:rPr>
                <w:sz w:val="17"/>
              </w:rPr>
              <w:t>Risk Medium; circ factor 0.6; booking committed; source: CoreWeave SEC filing Sep 30 2025, up to $14.2B (Reuters/WSJ); $21B expansion Apr 2026 disclosed, not added</w:t>
            </w:r>
          </w:p>
        </w:tc>
      </w:tr>
      <w:tr>
        <w:tc>
          <w:tcPr>
            <w:tcW w:type="dxa" w:w="1560"/>
            <w:shd w:val="clear" w:color="auto" w:fill="EDF1F5"/>
          </w:tcPr>
          <w:p>
            <w:pPr>
              <w:spacing w:after="0"/>
            </w:pPr>
            <w:r/>
            <w:r>
              <w:rPr>
                <w:sz w:val="17"/>
              </w:rPr>
              <w:t>D-05</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Microsoft Azure &lt;- OpenAI (equity + model exclusivity)</w:t>
            </w:r>
          </w:p>
        </w:tc>
        <w:tc>
          <w:tcPr>
            <w:tcW w:type="dxa" w:w="1560"/>
            <w:shd w:val="clear" w:color="auto" w:fill="EDF1F5"/>
          </w:tcPr>
          <w:p>
            <w:pPr>
              <w:spacing w:after="0"/>
            </w:pPr>
            <w:r/>
            <w:r>
              <w:rPr>
                <w:sz w:val="17"/>
              </w:rPr>
              <w:t>13.00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0.85; booking committed; source: Cumulative $13B: $1B (2019) + $10B (2023) + extensions (Bloomberg Law/Motley Fool)</w:t>
            </w:r>
          </w:p>
        </w:tc>
      </w:tr>
      <w:tr>
        <w:tc>
          <w:tcPr>
            <w:tcW w:type="dxa" w:w="1560"/>
          </w:tcPr>
          <w:p>
            <w:pPr>
              <w:spacing w:after="0"/>
            </w:pPr>
            <w:r/>
            <w:r>
              <w:rPr>
                <w:sz w:val="17"/>
              </w:rPr>
              <w:t>D-06</w:t>
            </w:r>
          </w:p>
        </w:tc>
        <w:tc>
          <w:tcPr>
            <w:tcW w:type="dxa" w:w="1560"/>
          </w:tcPr>
          <w:p>
            <w:pPr>
              <w:spacing w:after="0"/>
            </w:pPr>
            <w:r/>
            <w:r>
              <w:rPr>
                <w:sz w:val="17"/>
              </w:rPr>
              <w:t>Circular deals</w:t>
            </w:r>
          </w:p>
        </w:tc>
        <w:tc>
          <w:tcPr>
            <w:tcW w:type="dxa" w:w="1560"/>
          </w:tcPr>
          <w:p>
            <w:pPr>
              <w:spacing w:after="0"/>
            </w:pPr>
            <w:r/>
            <w:r>
              <w:rPr>
                <w:sz w:val="17"/>
              </w:rPr>
              <w:t>AWS &lt;- Anthropic (strategic stake + compute buyer)</w:t>
            </w:r>
          </w:p>
        </w:tc>
        <w:tc>
          <w:tcPr>
            <w:tcW w:type="dxa" w:w="1560"/>
          </w:tcPr>
          <w:p>
            <w:pPr>
              <w:spacing w:after="0"/>
            </w:pPr>
            <w:r/>
            <w:r>
              <w:rPr>
                <w:sz w:val="17"/>
              </w:rPr>
              <w:t>13.00</w:t>
            </w:r>
          </w:p>
        </w:tc>
        <w:tc>
          <w:tcPr>
            <w:tcW w:type="dxa" w:w="1560"/>
          </w:tcPr>
          <w:p>
            <w:pPr>
              <w:spacing w:after="0"/>
            </w:pPr>
            <w:r/>
            <w:r>
              <w:rPr>
                <w:sz w:val="17"/>
              </w:rPr>
              <w:t>$B committed</w:t>
            </w:r>
          </w:p>
        </w:tc>
        <w:tc>
          <w:tcPr>
            <w:tcW w:type="dxa" w:w="1560"/>
          </w:tcPr>
          <w:p>
            <w:pPr>
              <w:spacing w:after="0"/>
            </w:pPr>
            <w:r/>
            <w:r>
              <w:rPr>
                <w:sz w:val="17"/>
              </w:rPr>
              <w:t>Risk Medium; circ factor 0.75; booking committed; source: Reuters Apr 20 2026 + Barron’s ($8B 2023-24 + $5B Apr 2026; $20B conditional + $100B/10yr reverse AWS spend disclosed, not added)</w:t>
            </w:r>
          </w:p>
        </w:tc>
      </w:tr>
      <w:tr>
        <w:tc>
          <w:tcPr>
            <w:tcW w:type="dxa" w:w="1560"/>
            <w:shd w:val="clear" w:color="auto" w:fill="EDF1F5"/>
          </w:tcPr>
          <w:p>
            <w:pPr>
              <w:spacing w:after="0"/>
            </w:pPr>
            <w:r/>
            <w:r>
              <w:rPr>
                <w:sz w:val="17"/>
              </w:rPr>
              <w:t>D-07</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NVIDIA GPU Buyers &lt;- NVIDIA + six-platform ($500B+ MOU facility)</w:t>
            </w:r>
          </w:p>
        </w:tc>
        <w:tc>
          <w:tcPr>
            <w:tcW w:type="dxa" w:w="1560"/>
            <w:shd w:val="clear" w:color="auto" w:fill="EDF1F5"/>
          </w:tcPr>
          <w:p>
            <w:pPr>
              <w:spacing w:after="0"/>
            </w:pPr>
            <w:r/>
            <w:r>
              <w:rPr>
                <w:sz w:val="17"/>
              </w:rPr>
              <w:t>500.00</w:t>
            </w:r>
          </w:p>
        </w:tc>
        <w:tc>
          <w:tcPr>
            <w:tcW w:type="dxa" w:w="1560"/>
            <w:shd w:val="clear" w:color="auto" w:fill="EDF1F5"/>
          </w:tcPr>
          <w:p>
            <w:pPr>
              <w:spacing w:after="0"/>
            </w:pPr>
            <w:r/>
            <w:r>
              <w:rPr>
                <w:sz w:val="17"/>
              </w:rPr>
              <w:t>$B prospective (tracked, not in committed total)</w:t>
            </w:r>
          </w:p>
        </w:tc>
        <w:tc>
          <w:tcPr>
            <w:tcW w:type="dxa" w:w="1560"/>
            <w:shd w:val="clear" w:color="auto" w:fill="EDF1F5"/>
          </w:tcPr>
          <w:p>
            <w:pPr>
              <w:spacing w:after="0"/>
            </w:pPr>
            <w:r/>
            <w:r>
              <w:rPr>
                <w:sz w:val="17"/>
              </w:rPr>
              <w:t>Risk Critical; circ factor 0.5; booking prospective; source: NVIDIA newsroom Aug 10 2026 (MOUs to mobilize over $500B over time; prospective)</w:t>
            </w:r>
          </w:p>
        </w:tc>
      </w:tr>
      <w:tr>
        <w:tc>
          <w:tcPr>
            <w:tcW w:type="dxa" w:w="1560"/>
          </w:tcPr>
          <w:p>
            <w:pPr>
              <w:spacing w:after="0"/>
            </w:pPr>
            <w:r/>
            <w:r>
              <w:rPr>
                <w:sz w:val="17"/>
              </w:rPr>
              <w:t>D-08</w:t>
            </w:r>
          </w:p>
        </w:tc>
        <w:tc>
          <w:tcPr>
            <w:tcW w:type="dxa" w:w="1560"/>
          </w:tcPr>
          <w:p>
            <w:pPr>
              <w:spacing w:after="0"/>
            </w:pPr>
            <w:r/>
            <w:r>
              <w:rPr>
                <w:sz w:val="17"/>
              </w:rPr>
              <w:t>Circular deals</w:t>
            </w:r>
          </w:p>
        </w:tc>
        <w:tc>
          <w:tcPr>
            <w:tcW w:type="dxa" w:w="1560"/>
          </w:tcPr>
          <w:p>
            <w:pPr>
              <w:spacing w:after="0"/>
            </w:pPr>
            <w:r/>
            <w:r>
              <w:rPr>
                <w:sz w:val="17"/>
              </w:rPr>
              <w:t>All Frontier Models &lt;- NVIDIA GPU supply (Blackwell/Rubin)</w:t>
            </w:r>
          </w:p>
        </w:tc>
        <w:tc>
          <w:tcPr>
            <w:tcW w:type="dxa" w:w="1560"/>
          </w:tcPr>
          <w:p>
            <w:pPr>
              <w:spacing w:after="0"/>
            </w:pPr>
            <w:r/>
            <w:r>
              <w:rPr>
                <w:sz w:val="17"/>
              </w:rPr>
              <w:t>249.20</w:t>
            </w:r>
          </w:p>
        </w:tc>
        <w:tc>
          <w:tcPr>
            <w:tcW w:type="dxa" w:w="1560"/>
          </w:tcPr>
          <w:p>
            <w:pPr>
              <w:spacing w:after="0"/>
            </w:pPr>
            <w:r/>
            <w:r>
              <w:rPr>
                <w:sz w:val="17"/>
              </w:rPr>
              <w:t>$B committed</w:t>
            </w:r>
          </w:p>
        </w:tc>
        <w:tc>
          <w:tcPr>
            <w:tcW w:type="dxa" w:w="1560"/>
          </w:tcPr>
          <w:p>
            <w:pPr>
              <w:spacing w:after="0"/>
            </w:pPr>
            <w:r/>
            <w:r>
              <w:rPr>
                <w:sz w:val="17"/>
              </w:rPr>
              <w:t>Risk Critical; circ factor 0.95; booking committed; source: NVIDIA company IR Aug 26 2026 (DC rev $62.3B Q2 FY27 x4 run-rate; aggregate supply exposure)</w:t>
            </w:r>
          </w:p>
        </w:tc>
      </w:tr>
      <w:tr>
        <w:tc>
          <w:tcPr>
            <w:tcW w:type="dxa" w:w="1560"/>
            <w:shd w:val="clear" w:color="auto" w:fill="EDF1F5"/>
          </w:tcPr>
          <w:p>
            <w:pPr>
              <w:spacing w:after="0"/>
            </w:pPr>
            <w:r/>
            <w:r>
              <w:rPr>
                <w:sz w:val="17"/>
              </w:rPr>
              <w:t>D-09</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AI Wrappers (Cursor/Perplexity) &lt;- Anthropic/OpenAI (API)</w:t>
            </w:r>
          </w:p>
        </w:tc>
        <w:tc>
          <w:tcPr>
            <w:tcW w:type="dxa" w:w="1560"/>
            <w:shd w:val="clear" w:color="auto" w:fill="EDF1F5"/>
          </w:tcPr>
          <w:p>
            <w:pPr>
              <w:spacing w:after="0"/>
            </w:pPr>
            <w:r/>
            <w:r>
              <w:rPr>
                <w:sz w:val="17"/>
              </w:rPr>
              <w:t>2.00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0.75; booking committed; source: Stylized API-spend flow (not a sourced deal; booked as flow proxy)</w:t>
            </w:r>
          </w:p>
        </w:tc>
      </w:tr>
      <w:tr>
        <w:tc>
          <w:tcPr>
            <w:tcW w:type="dxa" w:w="1560"/>
          </w:tcPr>
          <w:p>
            <w:pPr>
              <w:spacing w:after="0"/>
            </w:pPr>
            <w:r/>
            <w:r>
              <w:rPr>
                <w:sz w:val="17"/>
              </w:rPr>
              <w:t>D-10</w:t>
            </w:r>
          </w:p>
        </w:tc>
        <w:tc>
          <w:tcPr>
            <w:tcW w:type="dxa" w:w="1560"/>
          </w:tcPr>
          <w:p>
            <w:pPr>
              <w:spacing w:after="0"/>
            </w:pPr>
            <w:r/>
            <w:r>
              <w:rPr>
                <w:sz w:val="17"/>
              </w:rPr>
              <w:t>Circular deals</w:t>
            </w:r>
          </w:p>
        </w:tc>
        <w:tc>
          <w:tcPr>
            <w:tcW w:type="dxa" w:w="1560"/>
          </w:tcPr>
          <w:p>
            <w:pPr>
              <w:spacing w:after="0"/>
            </w:pPr>
            <w:r/>
            <w:r>
              <w:rPr>
                <w:sz w:val="17"/>
              </w:rPr>
              <w:t>SB Energy &lt;- OpenAI ($5.5B warrants perk)</w:t>
            </w:r>
          </w:p>
        </w:tc>
        <w:tc>
          <w:tcPr>
            <w:tcW w:type="dxa" w:w="1560"/>
          </w:tcPr>
          <w:p>
            <w:pPr>
              <w:spacing w:after="0"/>
            </w:pPr>
            <w:r/>
            <w:r>
              <w:rPr>
                <w:sz w:val="17"/>
              </w:rPr>
              <w:t>5.50</w:t>
            </w:r>
          </w:p>
        </w:tc>
        <w:tc>
          <w:tcPr>
            <w:tcW w:type="dxa" w:w="1560"/>
          </w:tcPr>
          <w:p>
            <w:pPr>
              <w:spacing w:after="0"/>
            </w:pPr>
            <w:r/>
            <w:r>
              <w:rPr>
                <w:sz w:val="17"/>
              </w:rPr>
              <w:t>$B committed</w:t>
            </w:r>
          </w:p>
        </w:tc>
        <w:tc>
          <w:tcPr>
            <w:tcW w:type="dxa" w:w="1560"/>
          </w:tcPr>
          <w:p>
            <w:pPr>
              <w:spacing w:after="0"/>
            </w:pPr>
            <w:r/>
            <w:r>
              <w:rPr>
                <w:sz w:val="17"/>
              </w:rPr>
              <w:t>Risk Medium; circ factor 0.9; booking committed; source: WSJ Sep 2026 via SB Energy IPO filing (warrants ~$5.5B); OpenAI/SoftBank $500M each Jan 2026 (Reuters)</w:t>
            </w:r>
          </w:p>
        </w:tc>
      </w:tr>
      <w:tr>
        <w:tc>
          <w:tcPr>
            <w:tcW w:type="dxa" w:w="1560"/>
            <w:shd w:val="clear" w:color="auto" w:fill="EDF1F5"/>
          </w:tcPr>
          <w:p>
            <w:pPr>
              <w:spacing w:after="0"/>
            </w:pPr>
            <w:r/>
            <w:r>
              <w:rPr>
                <w:sz w:val="17"/>
              </w:rPr>
              <w:t>D-11</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Hugging Face &lt;- NVIDIA (acquisition target)</w:t>
            </w:r>
          </w:p>
        </w:tc>
        <w:tc>
          <w:tcPr>
            <w:tcW w:type="dxa" w:w="1560"/>
            <w:shd w:val="clear" w:color="auto" w:fill="EDF1F5"/>
          </w:tcPr>
          <w:p>
            <w:pPr>
              <w:spacing w:after="0"/>
            </w:pPr>
            <w:r/>
            <w:r>
              <w:rPr>
                <w:sz w:val="17"/>
              </w:rPr>
              <w:t>12.93</w:t>
            </w:r>
          </w:p>
        </w:tc>
        <w:tc>
          <w:tcPr>
            <w:tcW w:type="dxa" w:w="1560"/>
            <w:shd w:val="clear" w:color="auto" w:fill="EDF1F5"/>
          </w:tcPr>
          <w:p>
            <w:pPr>
              <w:spacing w:after="0"/>
            </w:pPr>
            <w:r/>
            <w:r>
              <w:rPr>
                <w:sz w:val="17"/>
              </w:rPr>
              <w:t>$B vertical-integration (tracked, not in committed total)</w:t>
            </w:r>
          </w:p>
        </w:tc>
        <w:tc>
          <w:tcPr>
            <w:tcW w:type="dxa" w:w="1560"/>
            <w:shd w:val="clear" w:color="auto" w:fill="EDF1F5"/>
          </w:tcPr>
          <w:p>
            <w:pPr>
              <w:spacing w:after="0"/>
            </w:pPr>
            <w:r/>
            <w:r>
              <w:rPr>
                <w:sz w:val="17"/>
              </w:rPr>
              <w:t>Risk Low; circ factor 0.8; booking vertical-integration; source: TechCrunch/CNN/WSJ Sep 3 2026 (acquisition)</w:t>
            </w:r>
          </w:p>
        </w:tc>
      </w:tr>
      <w:tr>
        <w:tc>
          <w:tcPr>
            <w:tcW w:type="dxa" w:w="1560"/>
          </w:tcPr>
          <w:p>
            <w:pPr>
              <w:spacing w:after="0"/>
            </w:pPr>
            <w:r/>
            <w:r>
              <w:rPr>
                <w:sz w:val="17"/>
              </w:rPr>
              <w:t>D-12</w:t>
            </w:r>
          </w:p>
        </w:tc>
        <w:tc>
          <w:tcPr>
            <w:tcW w:type="dxa" w:w="1560"/>
          </w:tcPr>
          <w:p>
            <w:pPr>
              <w:spacing w:after="0"/>
            </w:pPr>
            <w:r/>
            <w:r>
              <w:rPr>
                <w:sz w:val="17"/>
              </w:rPr>
              <w:t>Circular deals</w:t>
            </w:r>
          </w:p>
        </w:tc>
        <w:tc>
          <w:tcPr>
            <w:tcW w:type="dxa" w:w="1560"/>
          </w:tcPr>
          <w:p>
            <w:pPr>
              <w:spacing w:after="0"/>
            </w:pPr>
            <w:r/>
            <w:r>
              <w:rPr>
                <w:sz w:val="17"/>
              </w:rPr>
              <w:t>Nscale/Lambda &lt;- Nvidia (backing + compute demand from AI labs)</w:t>
            </w:r>
          </w:p>
        </w:tc>
        <w:tc>
          <w:tcPr>
            <w:tcW w:type="dxa" w:w="1560"/>
          </w:tcPr>
          <w:p>
            <w:pPr>
              <w:spacing w:after="0"/>
            </w:pPr>
            <w:r/>
            <w:r>
              <w:rPr>
                <w:sz w:val="17"/>
              </w:rPr>
              <w:t>3.50</w:t>
            </w:r>
          </w:p>
        </w:tc>
        <w:tc>
          <w:tcPr>
            <w:tcW w:type="dxa" w:w="1560"/>
          </w:tcPr>
          <w:p>
            <w:pPr>
              <w:spacing w:after="0"/>
            </w:pPr>
            <w:r/>
            <w:r>
              <w:rPr>
                <w:sz w:val="17"/>
              </w:rPr>
              <w:t>$B committed</w:t>
            </w:r>
          </w:p>
        </w:tc>
        <w:tc>
          <w:tcPr>
            <w:tcW w:type="dxa" w:w="1560"/>
          </w:tcPr>
          <w:p>
            <w:pPr>
              <w:spacing w:after="0"/>
            </w:pPr>
            <w:r/>
            <w:r>
              <w:rPr>
                <w:sz w:val="17"/>
              </w:rPr>
              <w:t>Risk High; circ factor 0.95; booking committed; source: Reuters/DCD Sep 4 2026 ($1.5B converts + ~$2B Nvidia; pre-IPO round sought)</w:t>
            </w:r>
          </w:p>
        </w:tc>
      </w:tr>
      <w:tr>
        <w:tc>
          <w:tcPr>
            <w:tcW w:type="dxa" w:w="1560"/>
            <w:shd w:val="clear" w:color="auto" w:fill="EDF1F5"/>
          </w:tcPr>
          <w:p>
            <w:pPr>
              <w:spacing w:after="0"/>
            </w:pPr>
            <w:r/>
            <w:r>
              <w:rPr>
                <w:sz w:val="17"/>
              </w:rPr>
              <w:t>D-13</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OpenAI &lt;- AWS ($38B multi-year cloud agreement)</w:t>
            </w:r>
          </w:p>
        </w:tc>
        <w:tc>
          <w:tcPr>
            <w:tcW w:type="dxa" w:w="1560"/>
            <w:shd w:val="clear" w:color="auto" w:fill="EDF1F5"/>
          </w:tcPr>
          <w:p>
            <w:pPr>
              <w:spacing w:after="0"/>
            </w:pPr>
            <w:r/>
            <w:r>
              <w:rPr>
                <w:sz w:val="17"/>
              </w:rPr>
              <w:t>38.00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0.9; booking committed; source: RTTNews/DCD/GeekWire Nov 2025 (multi-year cloud agreement)</w:t>
            </w:r>
          </w:p>
        </w:tc>
      </w:tr>
      <w:tr>
        <w:tc>
          <w:tcPr>
            <w:tcW w:type="dxa" w:w="1560"/>
          </w:tcPr>
          <w:p>
            <w:pPr>
              <w:spacing w:after="0"/>
            </w:pPr>
            <w:r/>
            <w:r>
              <w:rPr>
                <w:sz w:val="17"/>
              </w:rPr>
              <w:t>D-14</w:t>
            </w:r>
          </w:p>
        </w:tc>
        <w:tc>
          <w:tcPr>
            <w:tcW w:type="dxa" w:w="1560"/>
          </w:tcPr>
          <w:p>
            <w:pPr>
              <w:spacing w:after="0"/>
            </w:pPr>
            <w:r/>
            <w:r>
              <w:rPr>
                <w:sz w:val="17"/>
              </w:rPr>
              <w:t>Circular deals</w:t>
            </w:r>
          </w:p>
        </w:tc>
        <w:tc>
          <w:tcPr>
            <w:tcW w:type="dxa" w:w="1560"/>
          </w:tcPr>
          <w:p>
            <w:pPr>
              <w:spacing w:after="0"/>
            </w:pPr>
            <w:r/>
            <w:r>
              <w:rPr>
                <w:sz w:val="17"/>
              </w:rPr>
              <w:t>Anthropic &lt;- Fluidstack ($50B reported compute)</w:t>
            </w:r>
          </w:p>
        </w:tc>
        <w:tc>
          <w:tcPr>
            <w:tcW w:type="dxa" w:w="1560"/>
          </w:tcPr>
          <w:p>
            <w:pPr>
              <w:spacing w:after="0"/>
            </w:pPr>
            <w:r/>
            <w:r>
              <w:rPr>
                <w:sz w:val="17"/>
              </w:rPr>
              <w:t>50.00</w:t>
            </w:r>
          </w:p>
        </w:tc>
        <w:tc>
          <w:tcPr>
            <w:tcW w:type="dxa" w:w="1560"/>
          </w:tcPr>
          <w:p>
            <w:pPr>
              <w:spacing w:after="0"/>
            </w:pPr>
            <w:r/>
            <w:r>
              <w:rPr>
                <w:sz w:val="17"/>
              </w:rPr>
              <w:t>$B committed</w:t>
            </w:r>
          </w:p>
        </w:tc>
        <w:tc>
          <w:tcPr>
            <w:tcW w:type="dxa" w:w="1560"/>
          </w:tcPr>
          <w:p>
            <w:pPr>
              <w:spacing w:after="0"/>
            </w:pPr>
            <w:r/>
            <w:r>
              <w:rPr>
                <w:sz w:val="17"/>
              </w:rPr>
              <w:t>Risk High; circ factor 0.9; booking committed; source: Bloomberg tally via trade press Aug 2026 (reported compute)</w:t>
            </w:r>
          </w:p>
        </w:tc>
      </w:tr>
      <w:tr>
        <w:tc>
          <w:tcPr>
            <w:tcW w:type="dxa" w:w="1560"/>
            <w:shd w:val="clear" w:color="auto" w:fill="EDF1F5"/>
          </w:tcPr>
          <w:p>
            <w:pPr>
              <w:spacing w:after="0"/>
            </w:pPr>
            <w:r/>
            <w:r>
              <w:rPr>
                <w:sz w:val="17"/>
              </w:rPr>
              <w:t>D-15</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Anthropic &lt;- SpaceX Colossus ($45B reported capacity)</w:t>
            </w:r>
          </w:p>
        </w:tc>
        <w:tc>
          <w:tcPr>
            <w:tcW w:type="dxa" w:w="1560"/>
            <w:shd w:val="clear" w:color="auto" w:fill="EDF1F5"/>
          </w:tcPr>
          <w:p>
            <w:pPr>
              <w:spacing w:after="0"/>
            </w:pPr>
            <w:r/>
            <w:r>
              <w:rPr>
                <w:sz w:val="17"/>
              </w:rPr>
              <w:t>45.00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0.9; booking committed; source: Bloomberg tally via trade press Aug 2026 (reported capacity)</w:t>
            </w:r>
          </w:p>
        </w:tc>
      </w:tr>
      <w:tr>
        <w:tc>
          <w:tcPr>
            <w:tcW w:type="dxa" w:w="1560"/>
          </w:tcPr>
          <w:p>
            <w:pPr>
              <w:spacing w:after="0"/>
            </w:pPr>
            <w:r/>
            <w:r>
              <w:rPr>
                <w:sz w:val="17"/>
              </w:rPr>
              <w:t>D-16</w:t>
            </w:r>
          </w:p>
        </w:tc>
        <w:tc>
          <w:tcPr>
            <w:tcW w:type="dxa" w:w="1560"/>
          </w:tcPr>
          <w:p>
            <w:pPr>
              <w:spacing w:after="0"/>
            </w:pPr>
            <w:r/>
            <w:r>
              <w:rPr>
                <w:sz w:val="17"/>
              </w:rPr>
              <w:t>Circular deals</w:t>
            </w:r>
          </w:p>
        </w:tc>
        <w:tc>
          <w:tcPr>
            <w:tcW w:type="dxa" w:w="1560"/>
          </w:tcPr>
          <w:p>
            <w:pPr>
              <w:spacing w:after="0"/>
            </w:pPr>
            <w:r/>
            <w:r>
              <w:rPr>
                <w:sz w:val="17"/>
              </w:rPr>
              <w:t>Anthropic &lt;- Volta Infra ($10B reported)</w:t>
            </w:r>
          </w:p>
        </w:tc>
        <w:tc>
          <w:tcPr>
            <w:tcW w:type="dxa" w:w="1560"/>
          </w:tcPr>
          <w:p>
            <w:pPr>
              <w:spacing w:after="0"/>
            </w:pPr>
            <w:r/>
            <w:r>
              <w:rPr>
                <w:sz w:val="17"/>
              </w:rPr>
              <w:t>10.00</w:t>
            </w:r>
          </w:p>
        </w:tc>
        <w:tc>
          <w:tcPr>
            <w:tcW w:type="dxa" w:w="1560"/>
          </w:tcPr>
          <w:p>
            <w:pPr>
              <w:spacing w:after="0"/>
            </w:pPr>
            <w:r/>
            <w:r>
              <w:rPr>
                <w:sz w:val="17"/>
              </w:rPr>
              <w:t>$B committed</w:t>
            </w:r>
          </w:p>
        </w:tc>
        <w:tc>
          <w:tcPr>
            <w:tcW w:type="dxa" w:w="1560"/>
          </w:tcPr>
          <w:p>
            <w:pPr>
              <w:spacing w:after="0"/>
            </w:pPr>
            <w:r/>
            <w:r>
              <w:rPr>
                <w:sz w:val="17"/>
              </w:rPr>
              <w:t>Risk Medium; circ factor 0.85; booking committed; source: Bloomberg tally via trade press Aug 2026 (reported)</w:t>
            </w:r>
          </w:p>
        </w:tc>
      </w:tr>
      <w:tr>
        <w:tc>
          <w:tcPr>
            <w:tcW w:type="dxa" w:w="1560"/>
            <w:shd w:val="clear" w:color="auto" w:fill="EDF1F5"/>
          </w:tcPr>
          <w:p>
            <w:pPr>
              <w:spacing w:after="0"/>
            </w:pPr>
            <w:r/>
            <w:r>
              <w:rPr>
                <w:sz w:val="17"/>
              </w:rPr>
              <w:t>D-17</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Anthropic &lt;- Google ($10B now + $30B milestones; TPU/compute)</w:t>
            </w:r>
          </w:p>
        </w:tc>
        <w:tc>
          <w:tcPr>
            <w:tcW w:type="dxa" w:w="1560"/>
            <w:shd w:val="clear" w:color="auto" w:fill="EDF1F5"/>
          </w:tcPr>
          <w:p>
            <w:pPr>
              <w:spacing w:after="0"/>
            </w:pPr>
            <w:r/>
            <w:r>
              <w:rPr>
                <w:sz w:val="17"/>
              </w:rPr>
              <w:t>10.00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0.9; booking committed; source: TechCrunch/Bloomberg Apr 2026 ($10B now + $30B milestones; ~$200B/5yr plan disclosed, not added)</w:t>
            </w:r>
          </w:p>
        </w:tc>
      </w:tr>
      <w:tr>
        <w:tc>
          <w:tcPr>
            <w:tcW w:type="dxa" w:w="1560"/>
          </w:tcPr>
          <w:p>
            <w:pPr>
              <w:spacing w:after="0"/>
            </w:pPr>
            <w:r/>
            <w:r>
              <w:rPr>
                <w:sz w:val="17"/>
              </w:rPr>
              <w:t>D-18</w:t>
            </w:r>
          </w:p>
        </w:tc>
        <w:tc>
          <w:tcPr>
            <w:tcW w:type="dxa" w:w="1560"/>
          </w:tcPr>
          <w:p>
            <w:pPr>
              <w:spacing w:after="0"/>
            </w:pPr>
            <w:r/>
            <w:r>
              <w:rPr>
                <w:sz w:val="17"/>
              </w:rPr>
              <w:t>Circular deals</w:t>
            </w:r>
          </w:p>
        </w:tc>
        <w:tc>
          <w:tcPr>
            <w:tcW w:type="dxa" w:w="1560"/>
          </w:tcPr>
          <w:p>
            <w:pPr>
              <w:spacing w:after="0"/>
            </w:pPr>
            <w:r/>
            <w:r>
              <w:rPr>
                <w:sz w:val="17"/>
              </w:rPr>
              <w:t>Anthropic &lt;- Microsoft ($5B investment; Nov 2025)</w:t>
            </w:r>
          </w:p>
        </w:tc>
        <w:tc>
          <w:tcPr>
            <w:tcW w:type="dxa" w:w="1560"/>
          </w:tcPr>
          <w:p>
            <w:pPr>
              <w:spacing w:after="0"/>
            </w:pPr>
            <w:r/>
            <w:r>
              <w:rPr>
                <w:sz w:val="17"/>
              </w:rPr>
              <w:t>5.00</w:t>
            </w:r>
          </w:p>
        </w:tc>
        <w:tc>
          <w:tcPr>
            <w:tcW w:type="dxa" w:w="1560"/>
          </w:tcPr>
          <w:p>
            <w:pPr>
              <w:spacing w:after="0"/>
            </w:pPr>
            <w:r/>
            <w:r>
              <w:rPr>
                <w:sz w:val="17"/>
              </w:rPr>
              <w:t>$B committed</w:t>
            </w:r>
          </w:p>
        </w:tc>
        <w:tc>
          <w:tcPr>
            <w:tcW w:type="dxa" w:w="1560"/>
          </w:tcPr>
          <w:p>
            <w:pPr>
              <w:spacing w:after="0"/>
            </w:pPr>
            <w:r/>
            <w:r>
              <w:rPr>
                <w:sz w:val="17"/>
              </w:rPr>
              <w:t>Risk High; circ factor 0.9; booking committed; source: GeekWire/Reuters/Morningstar Nov 2025 ($5B; NVDA up-to-$10B disclosed, not added)</w:t>
            </w:r>
          </w:p>
        </w:tc>
      </w:tr>
      <w:tr>
        <w:tc>
          <w:tcPr>
            <w:tcW w:type="dxa" w:w="1560"/>
            <w:shd w:val="clear" w:color="auto" w:fill="EDF1F5"/>
          </w:tcPr>
          <w:p>
            <w:pPr>
              <w:spacing w:after="0"/>
            </w:pPr>
            <w:r/>
            <w:r>
              <w:rPr>
                <w:sz w:val="17"/>
              </w:rPr>
              <w:t>D-19</w:t>
            </w:r>
          </w:p>
        </w:tc>
        <w:tc>
          <w:tcPr>
            <w:tcW w:type="dxa" w:w="1560"/>
            <w:shd w:val="clear" w:color="auto" w:fill="EDF1F5"/>
          </w:tcPr>
          <w:p>
            <w:pPr>
              <w:spacing w:after="0"/>
            </w:pPr>
            <w:r/>
            <w:r>
              <w:rPr>
                <w:sz w:val="17"/>
              </w:rPr>
              <w:t>Circular deals</w:t>
            </w:r>
          </w:p>
        </w:tc>
        <w:tc>
          <w:tcPr>
            <w:tcW w:type="dxa" w:w="1560"/>
            <w:shd w:val="clear" w:color="auto" w:fill="EDF1F5"/>
          </w:tcPr>
          <w:p>
            <w:pPr>
              <w:spacing w:after="0"/>
            </w:pPr>
            <w:r/>
            <w:r>
              <w:rPr>
                <w:sz w:val="17"/>
              </w:rPr>
              <w:t>Anthropic &lt;- Azure ($30B compute purchase)</w:t>
            </w:r>
          </w:p>
        </w:tc>
        <w:tc>
          <w:tcPr>
            <w:tcW w:type="dxa" w:w="1560"/>
            <w:shd w:val="clear" w:color="auto" w:fill="EDF1F5"/>
          </w:tcPr>
          <w:p>
            <w:pPr>
              <w:spacing w:after="0"/>
            </w:pPr>
            <w:r/>
            <w:r>
              <w:rPr>
                <w:sz w:val="17"/>
              </w:rPr>
              <w:t>30.00</w:t>
            </w:r>
          </w:p>
        </w:tc>
        <w:tc>
          <w:tcPr>
            <w:tcW w:type="dxa" w:w="1560"/>
            <w:shd w:val="clear" w:color="auto" w:fill="EDF1F5"/>
          </w:tcPr>
          <w:p>
            <w:pPr>
              <w:spacing w:after="0"/>
            </w:pPr>
            <w:r/>
            <w:r>
              <w:rPr>
                <w:sz w:val="17"/>
              </w:rPr>
              <w:t>$B committed</w:t>
            </w:r>
          </w:p>
        </w:tc>
        <w:tc>
          <w:tcPr>
            <w:tcW w:type="dxa" w:w="1560"/>
            <w:shd w:val="clear" w:color="auto" w:fill="EDF1F5"/>
          </w:tcPr>
          <w:p>
            <w:pPr>
              <w:spacing w:after="0"/>
            </w:pPr>
            <w:r/>
            <w:r>
              <w:rPr>
                <w:sz w:val="17"/>
              </w:rPr>
              <w:t>Risk High; circ factor 0.9; booking committed; source: Nov 2025 package face value (GeekWire/Reuters/Morningstar; like the $38B OpenAI-AWS row)</w:t>
            </w:r>
          </w:p>
        </w:tc>
      </w:tr>
      <w:tr>
        <w:tc>
          <w:tcPr>
            <w:tcW w:type="dxa" w:w="1560"/>
          </w:tcPr>
          <w:p>
            <w:pPr>
              <w:spacing w:after="0"/>
            </w:pPr>
            <w:r/>
            <w:r>
              <w:rPr>
                <w:sz w:val="17"/>
              </w:rPr>
              <w:t>X-DATA</w:t>
            </w:r>
          </w:p>
        </w:tc>
        <w:tc>
          <w:tcPr>
            <w:tcW w:type="dxa" w:w="1560"/>
          </w:tcPr>
          <w:p>
            <w:pPr>
              <w:spacing w:after="0"/>
            </w:pPr>
            <w:r/>
            <w:r>
              <w:rPr>
                <w:sz w:val="17"/>
              </w:rPr>
              <w:t>Scope: included</w:t>
            </w:r>
          </w:p>
        </w:tc>
        <w:tc>
          <w:tcPr>
            <w:tcW w:type="dxa" w:w="1560"/>
          </w:tcPr>
          <w:p>
            <w:pPr>
              <w:spacing w:after="0"/>
            </w:pPr>
            <w:r/>
            <w:r>
              <w:rPr>
                <w:sz w:val="17"/>
              </w:rPr>
              <w:t>Databricks in LLM Wrappers</w:t>
            </w:r>
          </w:p>
        </w:tc>
        <w:tc>
          <w:tcPr>
            <w:tcW w:type="dxa" w:w="1560"/>
          </w:tcPr>
          <w:p>
            <w:pPr>
              <w:spacing w:after="0"/>
            </w:pPr>
            <w:r/>
            <w:r>
              <w:rPr>
                <w:sz w:val="17"/>
              </w:rPr>
              <w:t>$190B val; ~$7B run-rate</w:t>
            </w:r>
          </w:p>
        </w:tc>
        <w:tc>
          <w:tcPr>
            <w:tcW w:type="dxa" w:w="1560"/>
          </w:tcPr>
          <w:p>
            <w:pPr>
              <w:spacing w:after="0"/>
            </w:pPr>
            <w:r/>
            <w:r>
              <w:rPr>
                <w:sz w:val="17"/>
              </w:rPr>
              <w:t>$B</w:t>
            </w:r>
          </w:p>
        </w:tc>
        <w:tc>
          <w:tcPr>
            <w:tcW w:type="dxa" w:w="1560"/>
          </w:tcPr>
          <w:p>
            <w:pPr>
              <w:spacing w:after="0"/>
            </w:pPr>
            <w:r/>
            <w:r>
              <w:rPr>
                <w:sz w:val="17"/>
              </w:rPr>
              <w:t>$5B round Aug 13 2026 (TechCrunch/Reuters); data/AI platform bucketed with app-layer wrappers</w:t>
            </w:r>
          </w:p>
        </w:tc>
      </w:tr>
      <w:tr>
        <w:tc>
          <w:tcPr>
            <w:tcW w:type="dxa" w:w="1560"/>
            <w:shd w:val="clear" w:color="auto" w:fill="EDF1F5"/>
          </w:tcPr>
          <w:p>
            <w:pPr>
              <w:spacing w:after="0"/>
            </w:pPr>
            <w:r/>
            <w:r>
              <w:rPr>
                <w:sz w:val="17"/>
              </w:rPr>
              <w:t>X-AMZN</w:t>
            </w:r>
          </w:p>
        </w:tc>
        <w:tc>
          <w:tcPr>
            <w:tcW w:type="dxa" w:w="1560"/>
            <w:shd w:val="clear" w:color="auto" w:fill="EDF1F5"/>
          </w:tcPr>
          <w:p>
            <w:pPr>
              <w:spacing w:after="0"/>
            </w:pPr>
            <w:r/>
            <w:r>
              <w:rPr>
                <w:sz w:val="17"/>
              </w:rPr>
              <w:t>Scope: updated</w:t>
            </w:r>
          </w:p>
        </w:tc>
        <w:tc>
          <w:tcPr>
            <w:tcW w:type="dxa" w:w="1560"/>
            <w:shd w:val="clear" w:color="auto" w:fill="EDF1F5"/>
          </w:tcPr>
          <w:p>
            <w:pPr>
              <w:spacing w:after="0"/>
            </w:pPr>
            <w:r/>
            <w:r>
              <w:rPr>
                <w:sz w:val="17"/>
              </w:rPr>
              <w:t>Amazon-Anthropic $13B committed</w:t>
            </w:r>
          </w:p>
        </w:tc>
        <w:tc>
          <w:tcPr>
            <w:tcW w:type="dxa" w:w="1560"/>
            <w:shd w:val="clear" w:color="auto" w:fill="EDF1F5"/>
          </w:tcPr>
          <w:p>
            <w:pPr>
              <w:spacing w:after="0"/>
            </w:pPr>
            <w:r/>
            <w:r>
              <w:rPr>
                <w:sz w:val="17"/>
              </w:rPr>
              <w:t>+$20B conditional; $100B/10yr reverse AWS spend disclosed</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Reuters/Barron's Apr 2026; conditional tranches excluded from frame by convention</w:t>
            </w:r>
          </w:p>
        </w:tc>
      </w:tr>
      <w:tr>
        <w:tc>
          <w:tcPr>
            <w:tcW w:type="dxa" w:w="1560"/>
          </w:tcPr>
          <w:p>
            <w:pPr>
              <w:spacing w:after="0"/>
            </w:pPr>
            <w:r/>
            <w:r>
              <w:rPr>
                <w:sz w:val="17"/>
              </w:rPr>
              <w:t>X-GOOG</w:t>
            </w:r>
          </w:p>
        </w:tc>
        <w:tc>
          <w:tcPr>
            <w:tcW w:type="dxa" w:w="1560"/>
          </w:tcPr>
          <w:p>
            <w:pPr>
              <w:spacing w:after="0"/>
            </w:pPr>
            <w:r/>
            <w:r>
              <w:rPr>
                <w:sz w:val="17"/>
              </w:rPr>
              <w:t>Scope: added</w:t>
            </w:r>
          </w:p>
        </w:tc>
        <w:tc>
          <w:tcPr>
            <w:tcW w:type="dxa" w:w="1560"/>
          </w:tcPr>
          <w:p>
            <w:pPr>
              <w:spacing w:after="0"/>
            </w:pPr>
            <w:r/>
            <w:r>
              <w:rPr>
                <w:sz w:val="17"/>
              </w:rPr>
              <w:t>Google-Anthropic $10B committed</w:t>
            </w:r>
          </w:p>
        </w:tc>
        <w:tc>
          <w:tcPr>
            <w:tcW w:type="dxa" w:w="1560"/>
          </w:tcPr>
          <w:p>
            <w:pPr>
              <w:spacing w:after="0"/>
            </w:pPr>
            <w:r/>
            <w:r>
              <w:rPr>
                <w:sz w:val="17"/>
              </w:rPr>
              <w:t>+$30B conditional; ~$200B/5yr plan disclosed</w:t>
            </w:r>
          </w:p>
        </w:tc>
        <w:tc>
          <w:tcPr>
            <w:tcW w:type="dxa" w:w="1560"/>
          </w:tcPr>
          <w:p>
            <w:pPr>
              <w:spacing w:after="0"/>
            </w:pPr>
            <w:r/>
            <w:r>
              <w:rPr>
                <w:sz w:val="17"/>
              </w:rPr>
              <w:t>$B</w:t>
            </w:r>
          </w:p>
        </w:tc>
        <w:tc>
          <w:tcPr>
            <w:tcW w:type="dxa" w:w="1560"/>
          </w:tcPr>
          <w:p>
            <w:pPr>
              <w:spacing w:after="0"/>
            </w:pPr>
            <w:r/>
            <w:r>
              <w:rPr>
                <w:sz w:val="17"/>
              </w:rPr>
              <w:t>TechCrunch/Bloomberg Apr 2026; reported (uncontracted) plans excluded by convention</w:t>
            </w:r>
          </w:p>
        </w:tc>
      </w:tr>
      <w:tr>
        <w:tc>
          <w:tcPr>
            <w:tcW w:type="dxa" w:w="1560"/>
            <w:shd w:val="clear" w:color="auto" w:fill="EDF1F5"/>
          </w:tcPr>
          <w:p>
            <w:pPr>
              <w:spacing w:after="0"/>
            </w:pPr>
            <w:r/>
            <w:r>
              <w:rPr>
                <w:sz w:val="17"/>
              </w:rPr>
              <w:t>X-MSFT</w:t>
            </w:r>
          </w:p>
        </w:tc>
        <w:tc>
          <w:tcPr>
            <w:tcW w:type="dxa" w:w="1560"/>
            <w:shd w:val="clear" w:color="auto" w:fill="EDF1F5"/>
          </w:tcPr>
          <w:p>
            <w:pPr>
              <w:spacing w:after="0"/>
            </w:pPr>
            <w:r/>
            <w:r>
              <w:rPr>
                <w:sz w:val="17"/>
              </w:rPr>
              <w:t>Scope: added</w:t>
            </w:r>
          </w:p>
        </w:tc>
        <w:tc>
          <w:tcPr>
            <w:tcW w:type="dxa" w:w="1560"/>
            <w:shd w:val="clear" w:color="auto" w:fill="EDF1F5"/>
          </w:tcPr>
          <w:p>
            <w:pPr>
              <w:spacing w:after="0"/>
            </w:pPr>
            <w:r/>
            <w:r>
              <w:rPr>
                <w:sz w:val="17"/>
              </w:rPr>
              <w:t>Microsoft-Anthropic $5B + Anthropic-Azure $30B (Nov 2025 package)</w:t>
            </w:r>
          </w:p>
        </w:tc>
        <w:tc>
          <w:tcPr>
            <w:tcW w:type="dxa" w:w="1560"/>
            <w:shd w:val="clear" w:color="auto" w:fill="EDF1F5"/>
          </w:tcPr>
          <w:p>
            <w:pPr>
              <w:spacing w:after="0"/>
            </w:pPr>
            <w:r/>
            <w:r>
              <w:rPr>
                <w:sz w:val="17"/>
              </w:rPr>
              <w:t>2 rows; NVDA parallel "up to $10B" disclosed, not added</w:t>
            </w:r>
          </w:p>
        </w:tc>
        <w:tc>
          <w:tcPr>
            <w:tcW w:type="dxa" w:w="1560"/>
            <w:shd w:val="clear" w:color="auto" w:fill="EDF1F5"/>
          </w:tcPr>
          <w:p>
            <w:pPr>
              <w:spacing w:after="0"/>
            </w:pPr>
            <w:r/>
            <w:r>
              <w:rPr>
                <w:sz w:val="17"/>
              </w:rPr>
              <w:t>$B</w:t>
            </w:r>
          </w:p>
        </w:tc>
        <w:tc>
          <w:tcPr>
            <w:tcW w:type="dxa" w:w="1560"/>
            <w:shd w:val="clear" w:color="auto" w:fill="EDF1F5"/>
          </w:tcPr>
          <w:p>
            <w:pPr>
              <w:spacing w:after="0"/>
            </w:pPr>
            <w:r/>
            <w:r>
              <w:rPr>
                <w:sz w:val="17"/>
              </w:rPr>
              <w:t>GeekWire/Reuters/Morningstar Nov 2025; conditional "up to" tranches excluded by convention</w:t>
            </w:r>
          </w:p>
        </w:tc>
      </w:tr>
      <w:tr>
        <w:tc>
          <w:tcPr>
            <w:tcW w:type="dxa" w:w="1560"/>
          </w:tcPr>
          <w:p>
            <w:pPr>
              <w:spacing w:after="0"/>
            </w:pPr>
            <w:r/>
            <w:r>
              <w:rPr>
                <w:sz w:val="17"/>
              </w:rPr>
              <w:t>X-FND</w:t>
            </w:r>
          </w:p>
        </w:tc>
        <w:tc>
          <w:tcPr>
            <w:tcW w:type="dxa" w:w="1560"/>
          </w:tcPr>
          <w:p>
            <w:pPr>
              <w:spacing w:after="0"/>
            </w:pPr>
            <w:r/>
            <w:r>
              <w:rPr>
                <w:sz w:val="17"/>
              </w:rPr>
              <w:t>Scope: excluded</w:t>
            </w:r>
          </w:p>
        </w:tc>
        <w:tc>
          <w:tcPr>
            <w:tcW w:type="dxa" w:w="1560"/>
          </w:tcPr>
          <w:p>
            <w:pPr>
              <w:spacing w:after="0"/>
            </w:pPr>
            <w:r/>
            <w:r>
              <w:rPr>
                <w:sz w:val="17"/>
              </w:rPr>
              <w:t>Foundry/equipment/memory suppliers (TSMC, ASML, HBM makers)</w:t>
            </w:r>
          </w:p>
        </w:tc>
        <w:tc>
          <w:tcPr>
            <w:tcW w:type="dxa" w:w="1560"/>
          </w:tcPr>
          <w:p>
            <w:pPr>
              <w:spacing w:after="0"/>
            </w:pPr>
            <w:r/>
            <w:r>
              <w:rPr>
                <w:sz w:val="17"/>
              </w:rPr>
            </w:r>
          </w:p>
        </w:tc>
        <w:tc>
          <w:tcPr>
            <w:tcW w:type="dxa" w:w="1560"/>
          </w:tcPr>
          <w:p>
            <w:pPr>
              <w:spacing w:after="0"/>
            </w:pPr>
            <w:r/>
            <w:r>
              <w:rPr>
                <w:sz w:val="17"/>
              </w:rPr>
            </w:r>
          </w:p>
        </w:tc>
        <w:tc>
          <w:tcPr>
            <w:tcW w:type="dxa" w:w="1560"/>
          </w:tcPr>
          <w:p>
            <w:pPr>
              <w:spacing w:after="0"/>
            </w:pPr>
            <w:r/>
            <w:r>
              <w:rPr>
                <w:sz w:val="17"/>
              </w:rPr>
              <w:t>Arms-length transactions outside the financing round-trip under study</w:t>
            </w:r>
          </w:p>
        </w:tc>
      </w:tr>
      <w:tr>
        <w:tc>
          <w:tcPr>
            <w:tcW w:type="dxa" w:w="1560"/>
            <w:shd w:val="clear" w:color="auto" w:fill="EDF1F5"/>
          </w:tcPr>
          <w:p>
            <w:pPr>
              <w:spacing w:after="0"/>
            </w:pPr>
            <w:r/>
            <w:r>
              <w:rPr>
                <w:sz w:val="17"/>
              </w:rPr>
              <w:t>X-CON</w:t>
            </w:r>
          </w:p>
        </w:tc>
        <w:tc>
          <w:tcPr>
            <w:tcW w:type="dxa" w:w="1560"/>
            <w:shd w:val="clear" w:color="auto" w:fill="EDF1F5"/>
          </w:tcPr>
          <w:p>
            <w:pPr>
              <w:spacing w:after="0"/>
            </w:pPr>
            <w:r/>
            <w:r>
              <w:rPr>
                <w:sz w:val="17"/>
              </w:rPr>
              <w:t>Scope: excluded</w:t>
            </w:r>
          </w:p>
        </w:tc>
        <w:tc>
          <w:tcPr>
            <w:tcW w:type="dxa" w:w="1560"/>
            <w:shd w:val="clear" w:color="auto" w:fill="EDF1F5"/>
          </w:tcPr>
          <w:p>
            <w:pPr>
              <w:spacing w:after="0"/>
            </w:pPr>
            <w:r/>
            <w:r>
              <w:rPr>
                <w:sz w:val="17"/>
              </w:rPr>
              <w:t>Consumer-edge names (Apple, Tesla)</w:t>
            </w:r>
          </w:p>
        </w:tc>
        <w:tc>
          <w:tcPr>
            <w:tcW w:type="dxa" w:w="1560"/>
            <w:shd w:val="clear" w:color="auto" w:fill="EDF1F5"/>
          </w:tcPr>
          <w:p>
            <w:pPr>
              <w:spacing w:after="0"/>
            </w:pPr>
            <w:r/>
            <w:r>
              <w:rPr>
                <w:sz w:val="17"/>
              </w:rPr>
            </w:r>
          </w:p>
        </w:tc>
        <w:tc>
          <w:tcPr>
            <w:tcW w:type="dxa" w:w="1560"/>
            <w:shd w:val="clear" w:color="auto" w:fill="EDF1F5"/>
          </w:tcPr>
          <w:p>
            <w:pPr>
              <w:spacing w:after="0"/>
            </w:pPr>
            <w:r/>
            <w:r>
              <w:rPr>
                <w:sz w:val="17"/>
              </w:rPr>
            </w:r>
          </w:p>
        </w:tc>
        <w:tc>
          <w:tcPr>
            <w:tcW w:type="dxa" w:w="1560"/>
            <w:shd w:val="clear" w:color="auto" w:fill="EDF1F5"/>
          </w:tcPr>
          <w:p>
            <w:pPr>
              <w:spacing w:after="0"/>
            </w:pPr>
            <w:r/>
            <w:r>
              <w:rPr>
                <w:sz w:val="17"/>
              </w:rPr>
              <w:t>No circular financing participation; minimal AI-capex exposure</w:t>
            </w:r>
          </w:p>
        </w:tc>
      </w:tr>
      <w:tr>
        <w:tc>
          <w:tcPr>
            <w:tcW w:type="dxa" w:w="1560"/>
          </w:tcPr>
          <w:p>
            <w:pPr>
              <w:spacing w:after="0"/>
            </w:pPr>
            <w:r/>
            <w:r>
              <w:rPr>
                <w:sz w:val="17"/>
              </w:rPr>
              <w:t>X-CHN</w:t>
            </w:r>
          </w:p>
        </w:tc>
        <w:tc>
          <w:tcPr>
            <w:tcW w:type="dxa" w:w="1560"/>
          </w:tcPr>
          <w:p>
            <w:pPr>
              <w:spacing w:after="0"/>
            </w:pPr>
            <w:r/>
            <w:r>
              <w:rPr>
                <w:sz w:val="17"/>
              </w:rPr>
              <w:t>Scope: excluded</w:t>
            </w:r>
          </w:p>
        </w:tc>
        <w:tc>
          <w:tcPr>
            <w:tcW w:type="dxa" w:w="1560"/>
          </w:tcPr>
          <w:p>
            <w:pPr>
              <w:spacing w:after="0"/>
            </w:pPr>
            <w:r/>
            <w:r>
              <w:rPr>
                <w:sz w:val="17"/>
              </w:rPr>
              <w:t>China labs (DeepSeek et al.)</w:t>
            </w:r>
          </w:p>
        </w:tc>
        <w:tc>
          <w:tcPr>
            <w:tcW w:type="dxa" w:w="1560"/>
          </w:tcPr>
          <w:p>
            <w:pPr>
              <w:spacing w:after="0"/>
            </w:pPr>
            <w:r/>
            <w:r>
              <w:rPr>
                <w:sz w:val="17"/>
              </w:rPr>
            </w:r>
          </w:p>
        </w:tc>
        <w:tc>
          <w:tcPr>
            <w:tcW w:type="dxa" w:w="1560"/>
          </w:tcPr>
          <w:p>
            <w:pPr>
              <w:spacing w:after="0"/>
            </w:pPr>
            <w:r/>
            <w:r>
              <w:rPr>
                <w:sz w:val="17"/>
              </w:rPr>
            </w:r>
          </w:p>
        </w:tc>
        <w:tc>
          <w:tcPr>
            <w:tcW w:type="dxa" w:w="1560"/>
          </w:tcPr>
          <w:p>
            <w:pPr>
              <w:spacing w:after="0"/>
            </w:pPr>
            <w:r/>
            <w:r>
              <w:rPr>
                <w:sz w:val="17"/>
              </w:rPr>
              <w:t>Outside US-scope model; modeled as downside-risk channel, not firms: formation w_open term (S-LOGIT-w_open, S-OWM-*) + DebtRank open-weights shock</w:t>
            </w:r>
          </w:p>
        </w:tc>
      </w:tr>
      <w:tr>
        <w:tc>
          <w:tcPr>
            <w:tcW w:type="dxa" w:w="1560"/>
            <w:shd w:val="clear" w:color="auto" w:fill="EDF1F5"/>
          </w:tcPr>
          <w:p>
            <w:pPr>
              <w:spacing w:after="0"/>
            </w:pPr>
            <w:r/>
            <w:r>
              <w:rPr>
                <w:sz w:val="17"/>
              </w:rPr>
              <w:t>X-NEO</w:t>
            </w:r>
          </w:p>
        </w:tc>
        <w:tc>
          <w:tcPr>
            <w:tcW w:type="dxa" w:w="1560"/>
            <w:shd w:val="clear" w:color="auto" w:fill="EDF1F5"/>
          </w:tcPr>
          <w:p>
            <w:pPr>
              <w:spacing w:after="0"/>
            </w:pPr>
            <w:r/>
            <w:r>
              <w:rPr>
                <w:sz w:val="17"/>
              </w:rPr>
              <w:t>Scope: covered</w:t>
            </w:r>
          </w:p>
        </w:tc>
        <w:tc>
          <w:tcPr>
            <w:tcW w:type="dxa" w:w="1560"/>
            <w:shd w:val="clear" w:color="auto" w:fill="EDF1F5"/>
          </w:tcPr>
          <w:p>
            <w:pPr>
              <w:spacing w:after="0"/>
            </w:pPr>
            <w:r/>
            <w:r>
              <w:rPr>
                <w:sz w:val="17"/>
              </w:rPr>
              <w:t>Sub-scale neoclouds (Crusoe, IREN)</w:t>
            </w:r>
          </w:p>
        </w:tc>
        <w:tc>
          <w:tcPr>
            <w:tcW w:type="dxa" w:w="1560"/>
            <w:shd w:val="clear" w:color="auto" w:fill="EDF1F5"/>
          </w:tcPr>
          <w:p>
            <w:pPr>
              <w:spacing w:after="0"/>
            </w:pPr>
            <w:r/>
            <w:r>
              <w:rPr>
                <w:sz w:val="17"/>
              </w:rPr>
              <w:t>immaterial</w:t>
            </w:r>
          </w:p>
        </w:tc>
        <w:tc>
          <w:tcPr>
            <w:tcW w:type="dxa" w:w="1560"/>
            <w:shd w:val="clear" w:color="auto" w:fill="EDF1F5"/>
          </w:tcPr>
          <w:p>
            <w:pPr>
              <w:spacing w:after="0"/>
            </w:pPr>
            <w:r/>
            <w:r>
              <w:rPr>
                <w:sz w:val="17"/>
              </w:rPr>
              <w:t>share</w:t>
            </w:r>
          </w:p>
        </w:tc>
        <w:tc>
          <w:tcPr>
            <w:tcW w:type="dxa" w:w="1560"/>
            <w:shd w:val="clear" w:color="auto" w:fill="EDF1F5"/>
          </w:tcPr>
          <w:p>
            <w:pPr>
              <w:spacing w:after="0"/>
            </w:pPr>
            <w:r/>
            <w:r>
              <w:rPr>
                <w:sz w:val="17"/>
              </w:rPr>
              <w:t>Covered by CoreWeave/Nebius/Lambda archetype tails (&lt;1% of Cloud revenue)</w:t>
            </w:r>
          </w:p>
        </w:tc>
      </w:tr>
      <w:tr>
        <w:tc>
          <w:tcPr>
            <w:tcW w:type="dxa" w:w="1560"/>
          </w:tcPr>
          <w:p>
            <w:pPr>
              <w:spacing w:after="0"/>
            </w:pPr>
            <w:r/>
            <w:r>
              <w:rPr>
                <w:sz w:val="17"/>
              </w:rPr>
              <w:t>X-FACILITY</w:t>
            </w:r>
          </w:p>
        </w:tc>
        <w:tc>
          <w:tcPr>
            <w:tcW w:type="dxa" w:w="1560"/>
          </w:tcPr>
          <w:p>
            <w:pPr>
              <w:spacing w:after="0"/>
            </w:pPr>
            <w:r/>
            <w:r>
              <w:rPr>
                <w:sz w:val="17"/>
              </w:rPr>
              <w:t>Booking: prospective</w:t>
            </w:r>
          </w:p>
        </w:tc>
        <w:tc>
          <w:tcPr>
            <w:tcW w:type="dxa" w:w="1560"/>
          </w:tcPr>
          <w:p>
            <w:pPr>
              <w:spacing w:after="0"/>
            </w:pPr>
            <w:r/>
            <w:r>
              <w:rPr>
                <w:sz w:val="17"/>
              </w:rPr>
              <w:t>$500B six-platform MOU facility (NVIDIA + Apollo/BlackRock/Blackstone/Brookfield/Goldman/KKR)</w:t>
            </w:r>
          </w:p>
        </w:tc>
        <w:tc>
          <w:tcPr>
            <w:tcW w:type="dxa" w:w="1560"/>
          </w:tcPr>
          <w:p>
            <w:pPr>
              <w:spacing w:after="0"/>
            </w:pPr>
            <w:r/>
            <w:r>
              <w:rPr>
                <w:sz w:val="17"/>
              </w:rPr>
              <w:t>$500.00</w:t>
            </w:r>
          </w:p>
        </w:tc>
        <w:tc>
          <w:tcPr>
            <w:tcW w:type="dxa" w:w="1560"/>
          </w:tcPr>
          <w:p>
            <w:pPr>
              <w:spacing w:after="0"/>
            </w:pPr>
            <w:r/>
            <w:r>
              <w:rPr>
                <w:sz w:val="17"/>
              </w:rPr>
              <w:t>$B prospective (tracked, not in committed total)</w:t>
            </w:r>
          </w:p>
        </w:tc>
        <w:tc>
          <w:tcPr>
            <w:tcW w:type="dxa" w:w="1560"/>
          </w:tcPr>
          <w:p>
            <w:pPr>
              <w:spacing w:after="0"/>
            </w:pPr>
            <w:r/>
            <w:r>
              <w:rPr>
                <w:sz w:val="17"/>
              </w:rPr>
              <w:t>NVIDIA newsroom Aug 10 2026: MOUs to mobilize over $500B over time; no single committed facility, borrower, or drawdown -- reported as prospective financing-capacity scenario, excluded from committed total and DebtRank propagation by convention</w:t>
            </w:r>
          </w:p>
        </w:tc>
      </w:tr>
      <w:tr>
        <w:tc>
          <w:tcPr>
            <w:tcW w:type="dxa" w:w="1560"/>
            <w:shd w:val="clear" w:color="auto" w:fill="EDF1F5"/>
          </w:tcPr>
          <w:p>
            <w:pPr>
              <w:spacing w:after="0"/>
            </w:pPr>
            <w:r/>
            <w:r>
              <w:rPr>
                <w:sz w:val="17"/>
              </w:rPr>
              <w:t>X-HFVI</w:t>
            </w:r>
          </w:p>
        </w:tc>
        <w:tc>
          <w:tcPr>
            <w:tcW w:type="dxa" w:w="1560"/>
            <w:shd w:val="clear" w:color="auto" w:fill="EDF1F5"/>
          </w:tcPr>
          <w:p>
            <w:pPr>
              <w:spacing w:after="0"/>
            </w:pPr>
            <w:r/>
            <w:r>
              <w:rPr>
                <w:sz w:val="17"/>
              </w:rPr>
              <w:t>Booking: vertical-integration</w:t>
            </w:r>
          </w:p>
        </w:tc>
        <w:tc>
          <w:tcPr>
            <w:tcW w:type="dxa" w:w="1560"/>
            <w:shd w:val="clear" w:color="auto" w:fill="EDF1F5"/>
          </w:tcPr>
          <w:p>
            <w:pPr>
              <w:spacing w:after="0"/>
            </w:pPr>
            <w:r/>
            <w:r>
              <w:rPr>
                <w:sz w:val="17"/>
              </w:rPr>
              <w:t>NVIDIA-Hugging Face $12.93B acquisition</w:t>
            </w:r>
          </w:p>
        </w:tc>
        <w:tc>
          <w:tcPr>
            <w:tcW w:type="dxa" w:w="1560"/>
            <w:shd w:val="clear" w:color="auto" w:fill="EDF1F5"/>
          </w:tcPr>
          <w:p>
            <w:pPr>
              <w:spacing w:after="0"/>
            </w:pPr>
            <w:r/>
            <w:r>
              <w:rPr>
                <w:sz w:val="17"/>
              </w:rPr>
              <w:t>$12.93</w:t>
            </w:r>
          </w:p>
        </w:tc>
        <w:tc>
          <w:tcPr>
            <w:tcW w:type="dxa" w:w="1560"/>
            <w:shd w:val="clear" w:color="auto" w:fill="EDF1F5"/>
          </w:tcPr>
          <w:p>
            <w:pPr>
              <w:spacing w:after="0"/>
            </w:pPr>
            <w:r/>
            <w:r>
              <w:rPr>
                <w:sz w:val="17"/>
              </w:rPr>
              <w:t>$B vertical-integration (tracked, not in committed total)</w:t>
            </w:r>
          </w:p>
        </w:tc>
        <w:tc>
          <w:tcPr>
            <w:tcW w:type="dxa" w:w="1560"/>
            <w:shd w:val="clear" w:color="auto" w:fill="EDF1F5"/>
          </w:tcPr>
          <w:p>
            <w:pPr>
              <w:spacing w:after="0"/>
            </w:pPr>
            <w:r/>
            <w:r>
              <w:rPr>
                <w:sz w:val="17"/>
              </w:rPr>
              <w:t>TechCrunch/CNN/WSJ Sep 3 2026: acquisition, no contractual reverse-spend leg documented -- reclassified from circular financing to control/vertical-integration tracking; excluded from committed total and DebtRank propagation</w:t>
            </w:r>
          </w:p>
        </w:tc>
      </w:tr>
    </w:tbl>
    <w:p>
      <w:pPr>
        <w:spacing w:after="80"/>
      </w:pPr>
      <w:r>
        <w:rPr>
          <w:sz w:val="4"/>
        </w:rPr>
      </w:r>
    </w:p>
    <w:p>
      <w:r>
        <w:br w:type="page"/>
      </w:r>
    </w:p>
    <w:p>
      <w:pPr>
        <w:pStyle w:val="Heading1"/>
      </w:pPr>
      <w:r>
        <w:t>Appendix B.  Figure Register</w:t>
      </w:r>
    </w:p>
    <w:p>
      <w:pPr>
        <w:spacing w:after="120"/>
      </w:pPr>
      <w:r>
        <w:rPr>
          <w:b w:val="0"/>
          <w:i w:val="0"/>
          <w:sz w:val="22"/>
        </w:rPr>
        <w:t>Every figure is embedded in its topical section above; this register lists the complete set with file names, captions and the section where each appears.</w:t>
      </w:r>
    </w:p>
    <w:p>
      <w:pPr>
        <w:keepNext/>
        <w:spacing w:before="200" w:after="40"/>
      </w:pPr>
      <w:r>
        <w:rPr>
          <w:b/>
          <w:color w:val="2C3E50"/>
          <w:sz w:val="20"/>
        </w:rPr>
        <w:t>Exhibit B.1  Figure register (computed by build_technical_report.py)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blHeader w:val="true"/>
            <w:shd w:val="clear" w:color="auto" w:fill="2C3E50"/>
          </w:tcPr>
          <w:p>
            <w:pPr>
              <w:jc w:val="center"/>
            </w:pPr>
            <w:r/>
            <w:r>
              <w:rPr>
                <w:b/>
                <w:color w:val="FFFFFF"/>
                <w:sz w:val="18"/>
              </w:rPr>
              <w:t>Figure</w:t>
            </w:r>
          </w:p>
        </w:tc>
        <w:tc>
          <w:tcPr>
            <w:tcW w:type="dxa" w:w="1872"/>
            <w:tblHeader w:val="true"/>
            <w:shd w:val="clear" w:color="auto" w:fill="2C3E50"/>
          </w:tcPr>
          <w:p>
            <w:pPr>
              <w:jc w:val="center"/>
            </w:pPr>
            <w:r/>
            <w:r>
              <w:rPr>
                <w:b/>
                <w:color w:val="FFFFFF"/>
                <w:sz w:val="18"/>
              </w:rPr>
              <w:t>File</w:t>
            </w:r>
          </w:p>
        </w:tc>
        <w:tc>
          <w:tcPr>
            <w:tcW w:type="dxa" w:w="1872"/>
            <w:tblHeader w:val="true"/>
            <w:shd w:val="clear" w:color="auto" w:fill="2C3E50"/>
          </w:tcPr>
          <w:p>
            <w:pPr>
              <w:jc w:val="center"/>
            </w:pPr>
            <w:r/>
            <w:r>
              <w:rPr>
                <w:b/>
                <w:color w:val="FFFFFF"/>
                <w:sz w:val="18"/>
              </w:rPr>
              <w:t>Caption</w:t>
            </w:r>
          </w:p>
        </w:tc>
        <w:tc>
          <w:tcPr>
            <w:tcW w:type="dxa" w:w="1872"/>
            <w:tblHeader w:val="true"/>
            <w:shd w:val="clear" w:color="auto" w:fill="2C3E50"/>
          </w:tcPr>
          <w:p>
            <w:pPr>
              <w:jc w:val="center"/>
            </w:pPr>
            <w:r/>
            <w:r>
              <w:rPr>
                <w:b/>
                <w:color w:val="FFFFFF"/>
                <w:sz w:val="18"/>
              </w:rPr>
              <w:t>Panels</w:t>
            </w:r>
          </w:p>
        </w:tc>
        <w:tc>
          <w:tcPr>
            <w:tcW w:type="dxa" w:w="1872"/>
            <w:tblHeader w:val="true"/>
            <w:shd w:val="clear" w:color="auto" w:fill="2C3E50"/>
          </w:tcPr>
          <w:p>
            <w:pPr>
              <w:jc w:val="center"/>
            </w:pPr>
            <w:r/>
            <w:r>
              <w:rPr>
                <w:b/>
                <w:color w:val="FFFFFF"/>
                <w:sz w:val="18"/>
              </w:rPr>
              <w:t>Section</w:t>
            </w:r>
          </w:p>
        </w:tc>
      </w:tr>
      <w:tr>
        <w:tc>
          <w:tcPr>
            <w:tcW w:type="dxa" w:w="1872"/>
          </w:tcPr>
          <w:p>
            <w:pPr>
              <w:spacing w:after="0"/>
            </w:pPr>
            <w:r/>
            <w:r>
              <w:rPr>
                <w:sz w:val="17"/>
              </w:rPr>
            </w:r>
          </w:p>
        </w:tc>
        <w:tc>
          <w:tcPr>
            <w:tcW w:type="dxa" w:w="1872"/>
          </w:tcPr>
          <w:p>
            <w:pPr>
              <w:spacing w:after="0"/>
            </w:pPr>
            <w:r/>
            <w:r>
              <w:rPr>
                <w:sz w:val="17"/>
              </w:rPr>
              <w:t>backtest_2008.png</w:t>
            </w:r>
          </w:p>
        </w:tc>
        <w:tc>
          <w:tcPr>
            <w:tcW w:type="dxa" w:w="1872"/>
          </w:tcPr>
          <w:p>
            <w:pPr>
              <w:spacing w:after="0"/>
            </w:pPr>
            <w:r/>
            <w:r>
              <w:rPr>
                <w:sz w:val="17"/>
              </w:rPr>
              <w:t>backtest_2008.png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backtest_games.png</w:t>
            </w:r>
          </w:p>
        </w:tc>
        <w:tc>
          <w:tcPr>
            <w:tcW w:type="dxa" w:w="1872"/>
            <w:shd w:val="clear" w:color="auto" w:fill="EDF1F5"/>
          </w:tcPr>
          <w:p>
            <w:pPr>
              <w:spacing w:after="0"/>
            </w:pPr>
            <w:r/>
            <w:r>
              <w:rPr>
                <w:sz w:val="17"/>
              </w:rPr>
              <w:t>backtest_games.png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backtest_gdp_channels.png</w:t>
            </w:r>
          </w:p>
        </w:tc>
        <w:tc>
          <w:tcPr>
            <w:tcW w:type="dxa" w:w="1872"/>
          </w:tcPr>
          <w:p>
            <w:pPr>
              <w:spacing w:after="0"/>
            </w:pPr>
            <w:r/>
            <w:r>
              <w:rPr>
                <w:sz w:val="17"/>
              </w:rPr>
              <w:t>backtest_gdp_channels.png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backtest_hhi_compare.png</w:t>
            </w:r>
          </w:p>
        </w:tc>
        <w:tc>
          <w:tcPr>
            <w:tcW w:type="dxa" w:w="1872"/>
            <w:shd w:val="clear" w:color="auto" w:fill="EDF1F5"/>
          </w:tcPr>
          <w:p>
            <w:pPr>
              <w:spacing w:after="0"/>
            </w:pPr>
            <w:r/>
            <w:r>
              <w:rPr>
                <w:sz w:val="17"/>
              </w:rPr>
              <w:t>backtest_hhi_compare.png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backtest_rank_validation.png</w:t>
            </w:r>
          </w:p>
        </w:tc>
        <w:tc>
          <w:tcPr>
            <w:tcW w:type="dxa" w:w="1872"/>
          </w:tcPr>
          <w:p>
            <w:pPr>
              <w:spacing w:after="0"/>
            </w:pPr>
            <w:r/>
            <w:r>
              <w:rPr>
                <w:sz w:val="17"/>
              </w:rPr>
              <w:t>backtest_rank_validation.png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backtest_saltelli.png</w:t>
            </w:r>
          </w:p>
        </w:tc>
        <w:tc>
          <w:tcPr>
            <w:tcW w:type="dxa" w:w="1872"/>
            <w:shd w:val="clear" w:color="auto" w:fill="EDF1F5"/>
          </w:tcPr>
          <w:p>
            <w:pPr>
              <w:spacing w:after="0"/>
            </w:pPr>
            <w:r/>
            <w:r>
              <w:rPr>
                <w:sz w:val="17"/>
              </w:rPr>
              <w:t>backtest_saltelli.png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backtest_stability_compare.png</w:t>
            </w:r>
          </w:p>
        </w:tc>
        <w:tc>
          <w:tcPr>
            <w:tcW w:type="dxa" w:w="1872"/>
          </w:tcPr>
          <w:p>
            <w:pPr>
              <w:spacing w:after="0"/>
            </w:pPr>
            <w:r/>
            <w:r>
              <w:rPr>
                <w:sz w:val="17"/>
              </w:rPr>
              <w:t>backtest_stability_compare.png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backtest_timeline.png</w:t>
            </w:r>
          </w:p>
        </w:tc>
        <w:tc>
          <w:tcPr>
            <w:tcW w:type="dxa" w:w="1872"/>
            <w:shd w:val="clear" w:color="auto" w:fill="EDF1F5"/>
          </w:tcPr>
          <w:p>
            <w:pPr>
              <w:spacing w:after="0"/>
            </w:pPr>
            <w:r/>
            <w:r>
              <w:rPr>
                <w:sz w:val="17"/>
              </w:rPr>
              <w:t>backtest_timeline.png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compare_rank_shape.png</w:t>
            </w:r>
          </w:p>
        </w:tc>
        <w:tc>
          <w:tcPr>
            <w:tcW w:type="dxa" w:w="1872"/>
          </w:tcPr>
          <w:p>
            <w:pPr>
              <w:spacing w:after="0"/>
            </w:pPr>
            <w:r/>
            <w:r>
              <w:rPr>
                <w:sz w:val="17"/>
              </w:rPr>
              <w:t>compare_rank_shape.png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compare_remedies.png</w:t>
            </w:r>
          </w:p>
        </w:tc>
        <w:tc>
          <w:tcPr>
            <w:tcW w:type="dxa" w:w="1872"/>
            <w:shd w:val="clear" w:color="auto" w:fill="EDF1F5"/>
          </w:tcPr>
          <w:p>
            <w:pPr>
              <w:spacing w:after="0"/>
            </w:pPr>
            <w:r/>
            <w:r>
              <w:rPr>
                <w:sz w:val="17"/>
              </w:rPr>
              <w:t>compare_remedies.png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compare_tail_risk.png</w:t>
            </w:r>
          </w:p>
        </w:tc>
        <w:tc>
          <w:tcPr>
            <w:tcW w:type="dxa" w:w="1872"/>
          </w:tcPr>
          <w:p>
            <w:pPr>
              <w:spacing w:after="0"/>
            </w:pPr>
            <w:r/>
            <w:r>
              <w:rPr>
                <w:sz w:val="17"/>
              </w:rPr>
              <w:t>compare_tail_risk.png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t>1</w:t>
            </w:r>
          </w:p>
        </w:tc>
        <w:tc>
          <w:tcPr>
            <w:tcW w:type="dxa" w:w="1872"/>
            <w:shd w:val="clear" w:color="auto" w:fill="EDF1F5"/>
          </w:tcPr>
          <w:p>
            <w:pPr>
              <w:spacing w:after="0"/>
            </w:pPr>
            <w:r/>
            <w:r>
              <w:rPr>
                <w:sz w:val="17"/>
              </w:rPr>
              <w:t>figure_1.png</w:t>
            </w:r>
          </w:p>
        </w:tc>
        <w:tc>
          <w:tcPr>
            <w:tcW w:type="dxa" w:w="1872"/>
            <w:shd w:val="clear" w:color="auto" w:fill="EDF1F5"/>
          </w:tcPr>
          <w:p>
            <w:pPr>
              <w:spacing w:after="0"/>
            </w:pPr>
            <w:r/>
            <w:r>
              <w:rPr>
                <w:sz w:val="17"/>
              </w:rPr>
              <w:t>Framework &amp; Literature Map</w:t>
            </w:r>
          </w:p>
        </w:tc>
        <w:tc>
          <w:tcPr>
            <w:tcW w:type="dxa" w:w="1872"/>
            <w:shd w:val="clear" w:color="auto" w:fill="EDF1F5"/>
          </w:tcPr>
          <w:p>
            <w:pPr>
              <w:spacing w:after="0"/>
            </w:pPr>
            <w:r/>
            <w:r>
              <w:rPr>
                <w:sz w:val="17"/>
              </w:rPr>
              <w:t>schematic (no panel tags)</w:t>
            </w:r>
          </w:p>
        </w:tc>
        <w:tc>
          <w:tcPr>
            <w:tcW w:type="dxa" w:w="1872"/>
            <w:shd w:val="clear" w:color="auto" w:fill="EDF1F5"/>
          </w:tcPr>
          <w:p>
            <w:pPr>
              <w:spacing w:after="0"/>
            </w:pPr>
            <w:r/>
            <w:r>
              <w:rPr>
                <w:sz w:val="17"/>
              </w:rPr>
              <w:t>Section 2</w:t>
            </w:r>
          </w:p>
        </w:tc>
      </w:tr>
      <w:tr>
        <w:tc>
          <w:tcPr>
            <w:tcW w:type="dxa" w:w="1872"/>
          </w:tcPr>
          <w:p>
            <w:pPr>
              <w:spacing w:after="0"/>
            </w:pPr>
            <w:r/>
            <w:r>
              <w:rPr>
                <w:sz w:val="17"/>
              </w:rPr>
              <w:t>10</w:t>
            </w:r>
          </w:p>
        </w:tc>
        <w:tc>
          <w:tcPr>
            <w:tcW w:type="dxa" w:w="1872"/>
          </w:tcPr>
          <w:p>
            <w:pPr>
              <w:spacing w:after="0"/>
            </w:pPr>
            <w:r/>
            <w:r>
              <w:rPr>
                <w:sz w:val="17"/>
              </w:rPr>
              <w:t>figure_10.png</w:t>
            </w:r>
          </w:p>
        </w:tc>
        <w:tc>
          <w:tcPr>
            <w:tcW w:type="dxa" w:w="1872"/>
          </w:tcPr>
          <w:p>
            <w:pPr>
              <w:spacing w:after="0"/>
            </w:pPr>
            <w:r/>
            <w:r>
              <w:rPr>
                <w:sz w:val="17"/>
              </w:rPr>
              <w:t>Sobol Indices</w:t>
            </w:r>
          </w:p>
        </w:tc>
        <w:tc>
          <w:tcPr>
            <w:tcW w:type="dxa" w:w="1872"/>
          </w:tcPr>
          <w:p>
            <w:pPr>
              <w:spacing w:after="0"/>
            </w:pPr>
            <w:r/>
            <w:r>
              <w:rPr>
                <w:sz w:val="17"/>
              </w:rPr>
              <w:t>schematic (no panel tags)</w:t>
            </w:r>
          </w:p>
        </w:tc>
        <w:tc>
          <w:tcPr>
            <w:tcW w:type="dxa" w:w="1872"/>
          </w:tcPr>
          <w:p>
            <w:pPr>
              <w:spacing w:after="0"/>
            </w:pPr>
            <w:r/>
            <w:r>
              <w:rPr>
                <w:sz w:val="17"/>
              </w:rPr>
              <w:t>Section 6</w:t>
            </w:r>
          </w:p>
        </w:tc>
      </w:tr>
      <w:tr>
        <w:tc>
          <w:tcPr>
            <w:tcW w:type="dxa" w:w="1872"/>
            <w:shd w:val="clear" w:color="auto" w:fill="EDF1F5"/>
          </w:tcPr>
          <w:p>
            <w:pPr>
              <w:spacing w:after="0"/>
            </w:pPr>
            <w:r/>
            <w:r>
              <w:rPr>
                <w:sz w:val="17"/>
              </w:rPr>
              <w:t>11</w:t>
            </w:r>
          </w:p>
        </w:tc>
        <w:tc>
          <w:tcPr>
            <w:tcW w:type="dxa" w:w="1872"/>
            <w:shd w:val="clear" w:color="auto" w:fill="EDF1F5"/>
          </w:tcPr>
          <w:p>
            <w:pPr>
              <w:spacing w:after="0"/>
            </w:pPr>
            <w:r/>
            <w:r>
              <w:rPr>
                <w:sz w:val="17"/>
              </w:rPr>
              <w:t>figure_11.png</w:t>
            </w:r>
          </w:p>
        </w:tc>
        <w:tc>
          <w:tcPr>
            <w:tcW w:type="dxa" w:w="1872"/>
            <w:shd w:val="clear" w:color="auto" w:fill="EDF1F5"/>
          </w:tcPr>
          <w:p>
            <w:pPr>
              <w:spacing w:after="0"/>
            </w:pPr>
            <w:r/>
            <w:r>
              <w:rPr>
                <w:sz w:val="17"/>
              </w:rPr>
              <w:t>Dynamics &amp; Stability</w:t>
            </w:r>
          </w:p>
        </w:tc>
        <w:tc>
          <w:tcPr>
            <w:tcW w:type="dxa" w:w="1872"/>
            <w:shd w:val="clear" w:color="auto" w:fill="EDF1F5"/>
          </w:tcPr>
          <w:p>
            <w:pPr>
              <w:spacing w:after="0"/>
            </w:pPr>
            <w:r/>
            <w:r>
              <w:rPr>
                <w:sz w:val="17"/>
              </w:rPr>
              <w:t>(a), (b)</w:t>
            </w:r>
          </w:p>
        </w:tc>
        <w:tc>
          <w:tcPr>
            <w:tcW w:type="dxa" w:w="1872"/>
            <w:shd w:val="clear" w:color="auto" w:fill="EDF1F5"/>
          </w:tcPr>
          <w:p>
            <w:pPr>
              <w:spacing w:after="0"/>
            </w:pPr>
            <w:r/>
            <w:r>
              <w:rPr>
                <w:sz w:val="17"/>
              </w:rPr>
              <w:t>Section 4</w:t>
            </w:r>
          </w:p>
        </w:tc>
      </w:tr>
      <w:tr>
        <w:tc>
          <w:tcPr>
            <w:tcW w:type="dxa" w:w="1872"/>
          </w:tcPr>
          <w:p>
            <w:pPr>
              <w:spacing w:after="0"/>
            </w:pPr>
            <w:r/>
            <w:r>
              <w:rPr>
                <w:sz w:val="17"/>
              </w:rPr>
              <w:t>12</w:t>
            </w:r>
          </w:p>
        </w:tc>
        <w:tc>
          <w:tcPr>
            <w:tcW w:type="dxa" w:w="1872"/>
          </w:tcPr>
          <w:p>
            <w:pPr>
              <w:spacing w:after="0"/>
            </w:pPr>
            <w:r/>
            <w:r>
              <w:rPr>
                <w:sz w:val="17"/>
              </w:rPr>
              <w:t>figure_12.png</w:t>
            </w:r>
          </w:p>
        </w:tc>
        <w:tc>
          <w:tcPr>
            <w:tcW w:type="dxa" w:w="1872"/>
          </w:tcPr>
          <w:p>
            <w:pPr>
              <w:spacing w:after="0"/>
            </w:pPr>
            <w:r/>
            <w:r>
              <w:rPr>
                <w:sz w:val="17"/>
              </w:rPr>
              <w:t>Policy Simulation</w:t>
            </w:r>
          </w:p>
        </w:tc>
        <w:tc>
          <w:tcPr>
            <w:tcW w:type="dxa" w:w="1872"/>
          </w:tcPr>
          <w:p>
            <w:pPr>
              <w:spacing w:after="0"/>
            </w:pPr>
            <w:r/>
            <w:r>
              <w:rPr>
                <w:sz w:val="17"/>
              </w:rPr>
              <w:t>schematic (no panel tags)</w:t>
            </w:r>
          </w:p>
        </w:tc>
        <w:tc>
          <w:tcPr>
            <w:tcW w:type="dxa" w:w="1872"/>
          </w:tcPr>
          <w:p>
            <w:pPr>
              <w:spacing w:after="0"/>
            </w:pPr>
            <w:r/>
            <w:r>
              <w:rPr>
                <w:sz w:val="17"/>
              </w:rPr>
              <w:t>Section 5</w:t>
            </w:r>
          </w:p>
        </w:tc>
      </w:tr>
      <w:tr>
        <w:tc>
          <w:tcPr>
            <w:tcW w:type="dxa" w:w="1872"/>
            <w:shd w:val="clear" w:color="auto" w:fill="EDF1F5"/>
          </w:tcPr>
          <w:p>
            <w:pPr>
              <w:spacing w:after="0"/>
            </w:pPr>
            <w:r/>
            <w:r>
              <w:rPr>
                <w:sz w:val="17"/>
              </w:rPr>
              <w:t>13</w:t>
            </w:r>
          </w:p>
        </w:tc>
        <w:tc>
          <w:tcPr>
            <w:tcW w:type="dxa" w:w="1872"/>
            <w:shd w:val="clear" w:color="auto" w:fill="EDF1F5"/>
          </w:tcPr>
          <w:p>
            <w:pPr>
              <w:spacing w:after="0"/>
            </w:pPr>
            <w:r/>
            <w:r>
              <w:rPr>
                <w:sz w:val="17"/>
              </w:rPr>
              <w:t>figure_13.png</w:t>
            </w:r>
          </w:p>
        </w:tc>
        <w:tc>
          <w:tcPr>
            <w:tcW w:type="dxa" w:w="1872"/>
            <w:shd w:val="clear" w:color="auto" w:fill="EDF1F5"/>
          </w:tcPr>
          <w:p>
            <w:pPr>
              <w:spacing w:after="0"/>
            </w:pPr>
            <w:r/>
            <w:r>
              <w:rPr>
                <w:sz w:val="17"/>
              </w:rPr>
              <w:t>Revenue Projections</w:t>
            </w:r>
          </w:p>
        </w:tc>
        <w:tc>
          <w:tcPr>
            <w:tcW w:type="dxa" w:w="1872"/>
            <w:shd w:val="clear" w:color="auto" w:fill="EDF1F5"/>
          </w:tcPr>
          <w:p>
            <w:pPr>
              <w:spacing w:after="0"/>
            </w:pPr>
            <w:r/>
            <w:r>
              <w:rPr>
                <w:sz w:val="17"/>
              </w:rPr>
              <w:t>schematic (no panel tags)</w:t>
            </w:r>
          </w:p>
        </w:tc>
        <w:tc>
          <w:tcPr>
            <w:tcW w:type="dxa" w:w="1872"/>
            <w:shd w:val="clear" w:color="auto" w:fill="EDF1F5"/>
          </w:tcPr>
          <w:p>
            <w:pPr>
              <w:spacing w:after="0"/>
            </w:pPr>
            <w:r/>
            <w:r>
              <w:rPr>
                <w:sz w:val="17"/>
              </w:rPr>
              <w:t>Section 3</w:t>
            </w:r>
          </w:p>
        </w:tc>
      </w:tr>
      <w:tr>
        <w:tc>
          <w:tcPr>
            <w:tcW w:type="dxa" w:w="1872"/>
          </w:tcPr>
          <w:p>
            <w:pPr>
              <w:spacing w:after="0"/>
            </w:pPr>
            <w:r/>
            <w:r>
              <w:rPr>
                <w:sz w:val="17"/>
              </w:rPr>
              <w:t>14</w:t>
            </w:r>
          </w:p>
        </w:tc>
        <w:tc>
          <w:tcPr>
            <w:tcW w:type="dxa" w:w="1872"/>
          </w:tcPr>
          <w:p>
            <w:pPr>
              <w:spacing w:after="0"/>
            </w:pPr>
            <w:r/>
            <w:r>
              <w:rPr>
                <w:sz w:val="17"/>
              </w:rPr>
              <w:t>figure_14.png</w:t>
            </w:r>
          </w:p>
        </w:tc>
        <w:tc>
          <w:tcPr>
            <w:tcW w:type="dxa" w:w="1872"/>
          </w:tcPr>
          <w:p>
            <w:pPr>
              <w:spacing w:after="0"/>
            </w:pPr>
            <w:r/>
            <w:r>
              <w:rPr>
                <w:sz w:val="17"/>
              </w:rPr>
              <w:t>Network Risk</w:t>
            </w:r>
          </w:p>
        </w:tc>
        <w:tc>
          <w:tcPr>
            <w:tcW w:type="dxa" w:w="1872"/>
          </w:tcPr>
          <w:p>
            <w:pPr>
              <w:spacing w:after="0"/>
            </w:pPr>
            <w:r/>
            <w:r>
              <w:rPr>
                <w:sz w:val="17"/>
              </w:rPr>
              <w:t>schematic (no panel tags)</w:t>
            </w:r>
          </w:p>
        </w:tc>
        <w:tc>
          <w:tcPr>
            <w:tcW w:type="dxa" w:w="1872"/>
          </w:tcPr>
          <w:p>
            <w:pPr>
              <w:spacing w:after="0"/>
            </w:pPr>
            <w:r/>
            <w:r>
              <w:rPr>
                <w:sz w:val="17"/>
              </w:rPr>
              <w:t>Section 7</w:t>
            </w:r>
          </w:p>
        </w:tc>
      </w:tr>
      <w:tr>
        <w:tc>
          <w:tcPr>
            <w:tcW w:type="dxa" w:w="1872"/>
            <w:shd w:val="clear" w:color="auto" w:fill="EDF1F5"/>
          </w:tcPr>
          <w:p>
            <w:pPr>
              <w:spacing w:after="0"/>
            </w:pPr>
            <w:r/>
            <w:r>
              <w:rPr>
                <w:sz w:val="17"/>
              </w:rPr>
              <w:t>15</w:t>
            </w:r>
          </w:p>
        </w:tc>
        <w:tc>
          <w:tcPr>
            <w:tcW w:type="dxa" w:w="1872"/>
            <w:shd w:val="clear" w:color="auto" w:fill="EDF1F5"/>
          </w:tcPr>
          <w:p>
            <w:pPr>
              <w:spacing w:after="0"/>
            </w:pPr>
            <w:r/>
            <w:r>
              <w:rPr>
                <w:sz w:val="17"/>
              </w:rPr>
              <w:t>figure_15.png</w:t>
            </w:r>
          </w:p>
        </w:tc>
        <w:tc>
          <w:tcPr>
            <w:tcW w:type="dxa" w:w="1872"/>
            <w:shd w:val="clear" w:color="auto" w:fill="EDF1F5"/>
          </w:tcPr>
          <w:p>
            <w:pPr>
              <w:spacing w:after="0"/>
            </w:pPr>
            <w:r/>
            <w:r>
              <w:rPr>
                <w:sz w:val="17"/>
              </w:rPr>
              <w:t>Portfolio Risk</w:t>
            </w:r>
          </w:p>
        </w:tc>
        <w:tc>
          <w:tcPr>
            <w:tcW w:type="dxa" w:w="1872"/>
            <w:shd w:val="clear" w:color="auto" w:fill="EDF1F5"/>
          </w:tcPr>
          <w:p>
            <w:pPr>
              <w:spacing w:after="0"/>
            </w:pPr>
            <w:r/>
            <w:r>
              <w:rPr>
                <w:sz w:val="17"/>
              </w:rPr>
              <w:t>schematic (no panel tags)</w:t>
            </w:r>
          </w:p>
        </w:tc>
        <w:tc>
          <w:tcPr>
            <w:tcW w:type="dxa" w:w="1872"/>
            <w:shd w:val="clear" w:color="auto" w:fill="EDF1F5"/>
          </w:tcPr>
          <w:p>
            <w:pPr>
              <w:spacing w:after="0"/>
            </w:pPr>
            <w:r/>
            <w:r>
              <w:rPr>
                <w:sz w:val="17"/>
              </w:rPr>
              <w:t>Section 7</w:t>
            </w:r>
          </w:p>
        </w:tc>
      </w:tr>
      <w:tr>
        <w:tc>
          <w:tcPr>
            <w:tcW w:type="dxa" w:w="1872"/>
          </w:tcPr>
          <w:p>
            <w:pPr>
              <w:spacing w:after="0"/>
            </w:pPr>
            <w:r/>
            <w:r>
              <w:rPr>
                <w:sz w:val="17"/>
              </w:rPr>
              <w:t>16</w:t>
            </w:r>
          </w:p>
        </w:tc>
        <w:tc>
          <w:tcPr>
            <w:tcW w:type="dxa" w:w="1872"/>
          </w:tcPr>
          <w:p>
            <w:pPr>
              <w:spacing w:after="0"/>
            </w:pPr>
            <w:r/>
            <w:r>
              <w:rPr>
                <w:sz w:val="17"/>
              </w:rPr>
              <w:t>figure_16.png</w:t>
            </w:r>
          </w:p>
        </w:tc>
        <w:tc>
          <w:tcPr>
            <w:tcW w:type="dxa" w:w="1872"/>
          </w:tcPr>
          <w:p>
            <w:pPr>
              <w:spacing w:after="0"/>
            </w:pPr>
            <w:r/>
            <w:r>
              <w:rPr>
                <w:sz w:val="17"/>
              </w:rPr>
              <w:t>Shapley Values</w:t>
            </w:r>
          </w:p>
        </w:tc>
        <w:tc>
          <w:tcPr>
            <w:tcW w:type="dxa" w:w="1872"/>
          </w:tcPr>
          <w:p>
            <w:pPr>
              <w:spacing w:after="0"/>
            </w:pPr>
            <w:r/>
            <w:r>
              <w:rPr>
                <w:sz w:val="17"/>
              </w:rPr>
              <w:t>schematic (no panel tags)</w:t>
            </w:r>
          </w:p>
        </w:tc>
        <w:tc>
          <w:tcPr>
            <w:tcW w:type="dxa" w:w="1872"/>
          </w:tcPr>
          <w:p>
            <w:pPr>
              <w:spacing w:after="0"/>
            </w:pPr>
            <w:r/>
            <w:r>
              <w:rPr>
                <w:sz w:val="17"/>
              </w:rPr>
              <w:t>Section 7</w:t>
            </w:r>
          </w:p>
        </w:tc>
      </w:tr>
      <w:tr>
        <w:tc>
          <w:tcPr>
            <w:tcW w:type="dxa" w:w="1872"/>
            <w:shd w:val="clear" w:color="auto" w:fill="EDF1F5"/>
          </w:tcPr>
          <w:p>
            <w:pPr>
              <w:spacing w:after="0"/>
            </w:pPr>
            <w:r/>
            <w:r>
              <w:rPr>
                <w:sz w:val="17"/>
              </w:rPr>
              <w:t>17</w:t>
            </w:r>
          </w:p>
        </w:tc>
        <w:tc>
          <w:tcPr>
            <w:tcW w:type="dxa" w:w="1872"/>
            <w:shd w:val="clear" w:color="auto" w:fill="EDF1F5"/>
          </w:tcPr>
          <w:p>
            <w:pPr>
              <w:spacing w:after="0"/>
            </w:pPr>
            <w:r/>
            <w:r>
              <w:rPr>
                <w:sz w:val="17"/>
              </w:rPr>
              <w:t>figure_17.png</w:t>
            </w:r>
          </w:p>
        </w:tc>
        <w:tc>
          <w:tcPr>
            <w:tcW w:type="dxa" w:w="1872"/>
            <w:shd w:val="clear" w:color="auto" w:fill="EDF1F5"/>
          </w:tcPr>
          <w:p>
            <w:pPr>
              <w:spacing w:after="0"/>
            </w:pPr>
            <w:r/>
            <w:r>
              <w:rPr>
                <w:sz w:val="17"/>
              </w:rPr>
              <w:t>Company Valuation Dashboard</w:t>
            </w:r>
          </w:p>
        </w:tc>
        <w:tc>
          <w:tcPr>
            <w:tcW w:type="dxa" w:w="1872"/>
            <w:shd w:val="clear" w:color="auto" w:fill="EDF1F5"/>
          </w:tcPr>
          <w:p>
            <w:pPr>
              <w:spacing w:after="0"/>
            </w:pPr>
            <w:r/>
            <w:r>
              <w:rPr>
                <w:sz w:val="17"/>
              </w:rPr>
              <w:t>schematic (no panel tags)</w:t>
            </w:r>
          </w:p>
        </w:tc>
        <w:tc>
          <w:tcPr>
            <w:tcW w:type="dxa" w:w="1872"/>
            <w:shd w:val="clear" w:color="auto" w:fill="EDF1F5"/>
          </w:tcPr>
          <w:p>
            <w:pPr>
              <w:spacing w:after="0"/>
            </w:pPr>
            <w:r/>
            <w:r>
              <w:rPr>
                <w:sz w:val="17"/>
              </w:rPr>
              <w:t>Section 8</w:t>
            </w:r>
          </w:p>
        </w:tc>
      </w:tr>
      <w:tr>
        <w:tc>
          <w:tcPr>
            <w:tcW w:type="dxa" w:w="1872"/>
          </w:tcPr>
          <w:p>
            <w:pPr>
              <w:spacing w:after="0"/>
            </w:pPr>
            <w:r/>
            <w:r>
              <w:rPr>
                <w:sz w:val="17"/>
              </w:rPr>
              <w:t>18</w:t>
            </w:r>
          </w:p>
        </w:tc>
        <w:tc>
          <w:tcPr>
            <w:tcW w:type="dxa" w:w="1872"/>
          </w:tcPr>
          <w:p>
            <w:pPr>
              <w:spacing w:after="0"/>
            </w:pPr>
            <w:r/>
            <w:r>
              <w:rPr>
                <w:sz w:val="17"/>
              </w:rPr>
              <w:t>figure_18.png</w:t>
            </w:r>
          </w:p>
        </w:tc>
        <w:tc>
          <w:tcPr>
            <w:tcW w:type="dxa" w:w="1872"/>
          </w:tcPr>
          <w:p>
            <w:pPr>
              <w:spacing w:after="0"/>
            </w:pPr>
            <w:r/>
            <w:r>
              <w:rPr>
                <w:sz w:val="17"/>
              </w:rPr>
              <w:t>Company Valuation Metrics Table</w:t>
            </w:r>
          </w:p>
        </w:tc>
        <w:tc>
          <w:tcPr>
            <w:tcW w:type="dxa" w:w="1872"/>
          </w:tcPr>
          <w:p>
            <w:pPr>
              <w:spacing w:after="0"/>
            </w:pPr>
            <w:r/>
            <w:r>
              <w:rPr>
                <w:sz w:val="17"/>
              </w:rPr>
              <w:t>schematic (no panel tags)</w:t>
            </w:r>
          </w:p>
        </w:tc>
        <w:tc>
          <w:tcPr>
            <w:tcW w:type="dxa" w:w="1872"/>
          </w:tcPr>
          <w:p>
            <w:pPr>
              <w:spacing w:after="0"/>
            </w:pPr>
            <w:r/>
            <w:r>
              <w:rPr>
                <w:sz w:val="17"/>
              </w:rPr>
              <w:t>Section 8</w:t>
            </w:r>
          </w:p>
        </w:tc>
      </w:tr>
      <w:tr>
        <w:tc>
          <w:tcPr>
            <w:tcW w:type="dxa" w:w="1872"/>
            <w:shd w:val="clear" w:color="auto" w:fill="EDF1F5"/>
          </w:tcPr>
          <w:p>
            <w:pPr>
              <w:spacing w:after="0"/>
            </w:pPr>
            <w:r/>
            <w:r>
              <w:rPr>
                <w:sz w:val="17"/>
              </w:rPr>
              <w:t>2</w:t>
            </w:r>
          </w:p>
        </w:tc>
        <w:tc>
          <w:tcPr>
            <w:tcW w:type="dxa" w:w="1872"/>
            <w:shd w:val="clear" w:color="auto" w:fill="EDF1F5"/>
          </w:tcPr>
          <w:p>
            <w:pPr>
              <w:spacing w:after="0"/>
            </w:pPr>
            <w:r/>
            <w:r>
              <w:rPr>
                <w:sz w:val="17"/>
              </w:rPr>
              <w:t>figure_2.png</w:t>
            </w:r>
          </w:p>
        </w:tc>
        <w:tc>
          <w:tcPr>
            <w:tcW w:type="dxa" w:w="1872"/>
            <w:shd w:val="clear" w:color="auto" w:fill="EDF1F5"/>
          </w:tcPr>
          <w:p>
            <w:pPr>
              <w:spacing w:after="0"/>
            </w:pPr>
            <w:r/>
            <w:r>
              <w:rPr>
                <w:sz w:val="17"/>
              </w:rPr>
              <w:t>Research Design &amp; Stages</w:t>
            </w:r>
          </w:p>
        </w:tc>
        <w:tc>
          <w:tcPr>
            <w:tcW w:type="dxa" w:w="1872"/>
            <w:shd w:val="clear" w:color="auto" w:fill="EDF1F5"/>
          </w:tcPr>
          <w:p>
            <w:pPr>
              <w:spacing w:after="0"/>
            </w:pPr>
            <w:r/>
            <w:r>
              <w:rPr>
                <w:sz w:val="17"/>
              </w:rPr>
              <w:t>schematic (no panel tags)</w:t>
            </w:r>
          </w:p>
        </w:tc>
        <w:tc>
          <w:tcPr>
            <w:tcW w:type="dxa" w:w="1872"/>
            <w:shd w:val="clear" w:color="auto" w:fill="EDF1F5"/>
          </w:tcPr>
          <w:p>
            <w:pPr>
              <w:spacing w:after="0"/>
            </w:pPr>
            <w:r/>
            <w:r>
              <w:rPr>
                <w:sz w:val="17"/>
              </w:rPr>
              <w:t>Section 2</w:t>
            </w:r>
          </w:p>
        </w:tc>
      </w:tr>
      <w:tr>
        <w:tc>
          <w:tcPr>
            <w:tcW w:type="dxa" w:w="1872"/>
          </w:tcPr>
          <w:p>
            <w:pPr>
              <w:spacing w:after="0"/>
            </w:pPr>
            <w:r/>
            <w:r>
              <w:rPr>
                <w:sz w:val="17"/>
              </w:rPr>
              <w:t>3</w:t>
            </w:r>
          </w:p>
        </w:tc>
        <w:tc>
          <w:tcPr>
            <w:tcW w:type="dxa" w:w="1872"/>
          </w:tcPr>
          <w:p>
            <w:pPr>
              <w:spacing w:after="0"/>
            </w:pPr>
            <w:r/>
            <w:r>
              <w:rPr>
                <w:sz w:val="17"/>
              </w:rPr>
              <w:t>figure_3.png</w:t>
            </w:r>
          </w:p>
        </w:tc>
        <w:tc>
          <w:tcPr>
            <w:tcW w:type="dxa" w:w="1872"/>
          </w:tcPr>
          <w:p>
            <w:pPr>
              <w:spacing w:after="0"/>
            </w:pPr>
            <w:r/>
            <w:r>
              <w:rPr>
                <w:sz w:val="17"/>
              </w:rPr>
              <w:t>Market Size, Concentration &amp; Shares</w:t>
            </w:r>
          </w:p>
        </w:tc>
        <w:tc>
          <w:tcPr>
            <w:tcW w:type="dxa" w:w="1872"/>
          </w:tcPr>
          <w:p>
            <w:pPr>
              <w:spacing w:after="0"/>
            </w:pPr>
            <w:r/>
            <w:r>
              <w:rPr>
                <w:sz w:val="17"/>
              </w:rPr>
              <w:t>(a), (b), (c)</w:t>
            </w:r>
          </w:p>
        </w:tc>
        <w:tc>
          <w:tcPr>
            <w:tcW w:type="dxa" w:w="1872"/>
          </w:tcPr>
          <w:p>
            <w:pPr>
              <w:spacing w:after="0"/>
            </w:pPr>
            <w:r/>
            <w:r>
              <w:rPr>
                <w:sz w:val="17"/>
              </w:rPr>
              <w:t>Section 3</w:t>
            </w:r>
          </w:p>
        </w:tc>
      </w:tr>
      <w:tr>
        <w:tc>
          <w:tcPr>
            <w:tcW w:type="dxa" w:w="1872"/>
            <w:shd w:val="clear" w:color="auto" w:fill="EDF1F5"/>
          </w:tcPr>
          <w:p>
            <w:pPr>
              <w:spacing w:after="0"/>
            </w:pPr>
            <w:r/>
            <w:r>
              <w:rPr>
                <w:sz w:val="17"/>
              </w:rPr>
              <w:t>4</w:t>
            </w:r>
          </w:p>
        </w:tc>
        <w:tc>
          <w:tcPr>
            <w:tcW w:type="dxa" w:w="1872"/>
            <w:shd w:val="clear" w:color="auto" w:fill="EDF1F5"/>
          </w:tcPr>
          <w:p>
            <w:pPr>
              <w:spacing w:after="0"/>
            </w:pPr>
            <w:r/>
            <w:r>
              <w:rPr>
                <w:sz w:val="17"/>
              </w:rPr>
              <w:t>figure_4.png</w:t>
            </w:r>
          </w:p>
        </w:tc>
        <w:tc>
          <w:tcPr>
            <w:tcW w:type="dxa" w:w="1872"/>
            <w:shd w:val="clear" w:color="auto" w:fill="EDF1F5"/>
          </w:tcPr>
          <w:p>
            <w:pPr>
              <w:spacing w:after="0"/>
            </w:pPr>
            <w:r/>
            <w:r>
              <w:rPr>
                <w:sz w:val="17"/>
              </w:rPr>
              <w:t>Value Chain</w:t>
            </w:r>
          </w:p>
        </w:tc>
        <w:tc>
          <w:tcPr>
            <w:tcW w:type="dxa" w:w="1872"/>
            <w:shd w:val="clear" w:color="auto" w:fill="EDF1F5"/>
          </w:tcPr>
          <w:p>
            <w:pPr>
              <w:spacing w:after="0"/>
            </w:pPr>
            <w:r/>
            <w:r>
              <w:rPr>
                <w:sz w:val="17"/>
              </w:rPr>
              <w:t>schematic (no panel tags)</w:t>
            </w:r>
          </w:p>
        </w:tc>
        <w:tc>
          <w:tcPr>
            <w:tcW w:type="dxa" w:w="1872"/>
            <w:shd w:val="clear" w:color="auto" w:fill="EDF1F5"/>
          </w:tcPr>
          <w:p>
            <w:pPr>
              <w:spacing w:after="0"/>
            </w:pPr>
            <w:r/>
            <w:r>
              <w:rPr>
                <w:sz w:val="17"/>
              </w:rPr>
              <w:t>Section 2</w:t>
            </w:r>
          </w:p>
        </w:tc>
      </w:tr>
      <w:tr>
        <w:tc>
          <w:tcPr>
            <w:tcW w:type="dxa" w:w="1872"/>
          </w:tcPr>
          <w:p>
            <w:pPr>
              <w:spacing w:after="0"/>
            </w:pPr>
            <w:r/>
            <w:r>
              <w:rPr>
                <w:sz w:val="17"/>
              </w:rPr>
              <w:t>5</w:t>
            </w:r>
          </w:p>
        </w:tc>
        <w:tc>
          <w:tcPr>
            <w:tcW w:type="dxa" w:w="1872"/>
          </w:tcPr>
          <w:p>
            <w:pPr>
              <w:spacing w:after="0"/>
            </w:pPr>
            <w:r/>
            <w:r>
              <w:rPr>
                <w:sz w:val="17"/>
              </w:rPr>
              <w:t>figure_5.png</w:t>
            </w:r>
          </w:p>
        </w:tc>
        <w:tc>
          <w:tcPr>
            <w:tcW w:type="dxa" w:w="1872"/>
          </w:tcPr>
          <w:p>
            <w:pPr>
              <w:spacing w:after="0"/>
            </w:pPr>
            <w:r/>
            <w:r>
              <w:rPr>
                <w:sz w:val="17"/>
              </w:rPr>
              <w:t>Complete Matrices</w:t>
            </w:r>
          </w:p>
        </w:tc>
        <w:tc>
          <w:tcPr>
            <w:tcW w:type="dxa" w:w="1872"/>
          </w:tcPr>
          <w:p>
            <w:pPr>
              <w:spacing w:after="0"/>
            </w:pPr>
            <w:r/>
            <w:r>
              <w:rPr>
                <w:sz w:val="17"/>
              </w:rPr>
              <w:t>schematic (no panel tags)</w:t>
            </w:r>
          </w:p>
        </w:tc>
        <w:tc>
          <w:tcPr>
            <w:tcW w:type="dxa" w:w="1872"/>
          </w:tcPr>
          <w:p>
            <w:pPr>
              <w:spacing w:after="0"/>
            </w:pPr>
            <w:r/>
            <w:r>
              <w:rPr>
                <w:sz w:val="17"/>
              </w:rPr>
              <w:t>Section 4</w:t>
            </w:r>
          </w:p>
        </w:tc>
      </w:tr>
      <w:tr>
        <w:tc>
          <w:tcPr>
            <w:tcW w:type="dxa" w:w="1872"/>
            <w:shd w:val="clear" w:color="auto" w:fill="EDF1F5"/>
          </w:tcPr>
          <w:p>
            <w:pPr>
              <w:spacing w:after="0"/>
            </w:pPr>
            <w:r/>
            <w:r>
              <w:rPr>
                <w:sz w:val="17"/>
              </w:rPr>
              <w:t>6</w:t>
            </w:r>
          </w:p>
        </w:tc>
        <w:tc>
          <w:tcPr>
            <w:tcW w:type="dxa" w:w="1872"/>
            <w:shd w:val="clear" w:color="auto" w:fill="EDF1F5"/>
          </w:tcPr>
          <w:p>
            <w:pPr>
              <w:spacing w:after="0"/>
            </w:pPr>
            <w:r/>
            <w:r>
              <w:rPr>
                <w:sz w:val="17"/>
              </w:rPr>
              <w:t>figure_6.png</w:t>
            </w:r>
          </w:p>
        </w:tc>
        <w:tc>
          <w:tcPr>
            <w:tcW w:type="dxa" w:w="1872"/>
            <w:shd w:val="clear" w:color="auto" w:fill="EDF1F5"/>
          </w:tcPr>
          <w:p>
            <w:pPr>
              <w:spacing w:after="0"/>
            </w:pPr>
            <w:r/>
            <w:r>
              <w:rPr>
                <w:sz w:val="17"/>
              </w:rPr>
              <w:t>Core Game: Equilibrium &amp; Payoffs</w:t>
            </w:r>
          </w:p>
        </w:tc>
        <w:tc>
          <w:tcPr>
            <w:tcW w:type="dxa" w:w="1872"/>
            <w:shd w:val="clear" w:color="auto" w:fill="EDF1F5"/>
          </w:tcPr>
          <w:p>
            <w:pPr>
              <w:spacing w:after="0"/>
            </w:pPr>
            <w:r/>
            <w:r>
              <w:rPr>
                <w:sz w:val="17"/>
              </w:rPr>
              <w:t>schematic (no panel tags)</w:t>
            </w:r>
          </w:p>
        </w:tc>
        <w:tc>
          <w:tcPr>
            <w:tcW w:type="dxa" w:w="1872"/>
            <w:shd w:val="clear" w:color="auto" w:fill="EDF1F5"/>
          </w:tcPr>
          <w:p>
            <w:pPr>
              <w:spacing w:after="0"/>
            </w:pPr>
            <w:r/>
            <w:r>
              <w:rPr>
                <w:sz w:val="17"/>
              </w:rPr>
              <w:t>Section 4</w:t>
            </w:r>
          </w:p>
        </w:tc>
      </w:tr>
      <w:tr>
        <w:tc>
          <w:tcPr>
            <w:tcW w:type="dxa" w:w="1872"/>
          </w:tcPr>
          <w:p>
            <w:pPr>
              <w:spacing w:after="0"/>
            </w:pPr>
            <w:r/>
            <w:r>
              <w:rPr>
                <w:sz w:val="17"/>
              </w:rPr>
              <w:t>7</w:t>
            </w:r>
          </w:p>
        </w:tc>
        <w:tc>
          <w:tcPr>
            <w:tcW w:type="dxa" w:w="1872"/>
          </w:tcPr>
          <w:p>
            <w:pPr>
              <w:spacing w:after="0"/>
            </w:pPr>
            <w:r/>
            <w:r>
              <w:rPr>
                <w:sz w:val="17"/>
              </w:rPr>
              <w:t>figure_7.png</w:t>
            </w:r>
          </w:p>
        </w:tc>
        <w:tc>
          <w:tcPr>
            <w:tcW w:type="dxa" w:w="1872"/>
          </w:tcPr>
          <w:p>
            <w:pPr>
              <w:spacing w:after="0"/>
            </w:pPr>
            <w:r/>
            <w:r>
              <w:rPr>
                <w:sz w:val="17"/>
              </w:rPr>
              <w:t>Welfare Composite</w:t>
            </w:r>
          </w:p>
        </w:tc>
        <w:tc>
          <w:tcPr>
            <w:tcW w:type="dxa" w:w="1872"/>
          </w:tcPr>
          <w:p>
            <w:pPr>
              <w:spacing w:after="0"/>
            </w:pPr>
            <w:r/>
            <w:r>
              <w:rPr>
                <w:sz w:val="17"/>
              </w:rPr>
              <w:t>(a), (b), (c), (d)</w:t>
            </w:r>
          </w:p>
        </w:tc>
        <w:tc>
          <w:tcPr>
            <w:tcW w:type="dxa" w:w="1872"/>
          </w:tcPr>
          <w:p>
            <w:pPr>
              <w:spacing w:after="0"/>
            </w:pPr>
            <w:r/>
            <w:r>
              <w:rPr>
                <w:sz w:val="17"/>
              </w:rPr>
              <w:t>Section 5</w:t>
            </w:r>
          </w:p>
        </w:tc>
      </w:tr>
      <w:tr>
        <w:tc>
          <w:tcPr>
            <w:tcW w:type="dxa" w:w="1872"/>
            <w:shd w:val="clear" w:color="auto" w:fill="EDF1F5"/>
          </w:tcPr>
          <w:p>
            <w:pPr>
              <w:spacing w:after="0"/>
            </w:pPr>
            <w:r/>
            <w:r>
              <w:rPr>
                <w:sz w:val="17"/>
              </w:rPr>
              <w:t>8</w:t>
            </w:r>
          </w:p>
        </w:tc>
        <w:tc>
          <w:tcPr>
            <w:tcW w:type="dxa" w:w="1872"/>
            <w:shd w:val="clear" w:color="auto" w:fill="EDF1F5"/>
          </w:tcPr>
          <w:p>
            <w:pPr>
              <w:spacing w:after="0"/>
            </w:pPr>
            <w:r/>
            <w:r>
              <w:rPr>
                <w:sz w:val="17"/>
              </w:rPr>
              <w:t>figure_8.png</w:t>
            </w:r>
          </w:p>
        </w:tc>
        <w:tc>
          <w:tcPr>
            <w:tcW w:type="dxa" w:w="1872"/>
            <w:shd w:val="clear" w:color="auto" w:fill="EDF1F5"/>
          </w:tcPr>
          <w:p>
            <w:pPr>
              <w:spacing w:after="0"/>
            </w:pPr>
            <w:r/>
            <w:r>
              <w:rPr>
                <w:sz w:val="17"/>
              </w:rPr>
              <w:t>Monte Carlo Convergence</w:t>
            </w:r>
          </w:p>
        </w:tc>
        <w:tc>
          <w:tcPr>
            <w:tcW w:type="dxa" w:w="1872"/>
            <w:shd w:val="clear" w:color="auto" w:fill="EDF1F5"/>
          </w:tcPr>
          <w:p>
            <w:pPr>
              <w:spacing w:after="0"/>
            </w:pPr>
            <w:r/>
            <w:r>
              <w:rPr>
                <w:sz w:val="17"/>
              </w:rPr>
              <w:t>(a), (b)</w:t>
            </w:r>
          </w:p>
        </w:tc>
        <w:tc>
          <w:tcPr>
            <w:tcW w:type="dxa" w:w="1872"/>
            <w:shd w:val="clear" w:color="auto" w:fill="EDF1F5"/>
          </w:tcPr>
          <w:p>
            <w:pPr>
              <w:spacing w:after="0"/>
            </w:pPr>
            <w:r/>
            <w:r>
              <w:rPr>
                <w:sz w:val="17"/>
              </w:rPr>
              <w:t>Section 6</w:t>
            </w:r>
          </w:p>
        </w:tc>
      </w:tr>
      <w:tr>
        <w:tc>
          <w:tcPr>
            <w:tcW w:type="dxa" w:w="1872"/>
          </w:tcPr>
          <w:p>
            <w:pPr>
              <w:spacing w:after="0"/>
            </w:pPr>
            <w:r/>
            <w:r>
              <w:rPr>
                <w:sz w:val="17"/>
              </w:rPr>
              <w:t>9</w:t>
            </w:r>
          </w:p>
        </w:tc>
        <w:tc>
          <w:tcPr>
            <w:tcW w:type="dxa" w:w="1872"/>
          </w:tcPr>
          <w:p>
            <w:pPr>
              <w:spacing w:after="0"/>
            </w:pPr>
            <w:r/>
            <w:r>
              <w:rPr>
                <w:sz w:val="17"/>
              </w:rPr>
              <w:t>figure_9.png</w:t>
            </w:r>
          </w:p>
        </w:tc>
        <w:tc>
          <w:tcPr>
            <w:tcW w:type="dxa" w:w="1872"/>
          </w:tcPr>
          <w:p>
            <w:pPr>
              <w:spacing w:after="0"/>
            </w:pPr>
            <w:r/>
            <w:r>
              <w:rPr>
                <w:sz w:val="17"/>
              </w:rPr>
              <w:t>Sensitivity Response</w:t>
            </w:r>
          </w:p>
        </w:tc>
        <w:tc>
          <w:tcPr>
            <w:tcW w:type="dxa" w:w="1872"/>
          </w:tcPr>
          <w:p>
            <w:pPr>
              <w:spacing w:after="0"/>
            </w:pPr>
            <w:r/>
            <w:r>
              <w:rPr>
                <w:sz w:val="17"/>
              </w:rPr>
              <w:t>schematic (no panel tags)</w:t>
            </w:r>
          </w:p>
        </w:tc>
        <w:tc>
          <w:tcPr>
            <w:tcW w:type="dxa" w:w="1872"/>
          </w:tcPr>
          <w:p>
            <w:pPr>
              <w:spacing w:after="0"/>
            </w:pPr>
            <w:r/>
            <w:r>
              <w:rPr>
                <w:sz w:val="17"/>
              </w:rPr>
              <w:t>Section 6</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payoff_matrices_2008.png</w:t>
            </w:r>
          </w:p>
        </w:tc>
        <w:tc>
          <w:tcPr>
            <w:tcW w:type="dxa" w:w="1872"/>
            <w:shd w:val="clear" w:color="auto" w:fill="EDF1F5"/>
          </w:tcPr>
          <w:p>
            <w:pPr>
              <w:spacing w:after="0"/>
            </w:pPr>
            <w:r/>
            <w:r>
              <w:rPr>
                <w:sz w:val="17"/>
              </w:rPr>
              <w:t>payoff_matrices_2008.png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payoff_matrices_telecom.png</w:t>
            </w:r>
          </w:p>
        </w:tc>
        <w:tc>
          <w:tcPr>
            <w:tcW w:type="dxa" w:w="1872"/>
          </w:tcPr>
          <w:p>
            <w:pPr>
              <w:spacing w:after="0"/>
            </w:pPr>
            <w:r/>
            <w:r>
              <w:rPr>
                <w:sz w:val="17"/>
              </w:rPr>
              <w:t>payoff_matrices_telecom.png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pred_bubble_policy_bcr.png</w:t>
            </w:r>
          </w:p>
        </w:tc>
        <w:tc>
          <w:tcPr>
            <w:tcW w:type="dxa" w:w="1872"/>
            <w:shd w:val="clear" w:color="auto" w:fill="EDF1F5"/>
          </w:tcPr>
          <w:p>
            <w:pPr>
              <w:spacing w:after="0"/>
            </w:pPr>
            <w:r/>
            <w:r>
              <w:rPr>
                <w:sz w:val="17"/>
              </w:rPr>
              <w:t>pred_bubble_policy_bcr.png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pred_burst_waterfall.png</w:t>
            </w:r>
          </w:p>
        </w:tc>
        <w:tc>
          <w:tcPr>
            <w:tcW w:type="dxa" w:w="1872"/>
          </w:tcPr>
          <w:p>
            <w:pPr>
              <w:spacing w:after="0"/>
            </w:pPr>
            <w:r/>
            <w:r>
              <w:rPr>
                <w:sz w:val="17"/>
              </w:rPr>
              <w:t>pred_burst_waterfall.png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pred_cascade_stack.png</w:t>
            </w:r>
          </w:p>
        </w:tc>
        <w:tc>
          <w:tcPr>
            <w:tcW w:type="dxa" w:w="1872"/>
            <w:shd w:val="clear" w:color="auto" w:fill="EDF1F5"/>
          </w:tcPr>
          <w:p>
            <w:pPr>
              <w:spacing w:after="0"/>
            </w:pPr>
            <w:r/>
            <w:r>
              <w:rPr>
                <w:sz w:val="17"/>
              </w:rPr>
              <w:t>pred_cascade_stack.png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pred_company_losses.png</w:t>
            </w:r>
          </w:p>
        </w:tc>
        <w:tc>
          <w:tcPr>
            <w:tcW w:type="dxa" w:w="1872"/>
          </w:tcPr>
          <w:p>
            <w:pPr>
              <w:spacing w:after="0"/>
            </w:pPr>
            <w:r/>
            <w:r>
              <w:rPr>
                <w:sz w:val="17"/>
              </w:rPr>
              <w:t>pred_company_losses.png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pred_concentration.png</w:t>
            </w:r>
          </w:p>
        </w:tc>
        <w:tc>
          <w:tcPr>
            <w:tcW w:type="dxa" w:w="1872"/>
            <w:shd w:val="clear" w:color="auto" w:fill="EDF1F5"/>
          </w:tcPr>
          <w:p>
            <w:pPr>
              <w:spacing w:after="0"/>
            </w:pPr>
            <w:r/>
            <w:r>
              <w:rPr>
                <w:sz w:val="17"/>
              </w:rPr>
              <w:t>pred_concentration.png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pred_equity_revenue_impact.png</w:t>
            </w:r>
          </w:p>
        </w:tc>
        <w:tc>
          <w:tcPr>
            <w:tcW w:type="dxa" w:w="1872"/>
          </w:tcPr>
          <w:p>
            <w:pPr>
              <w:spacing w:after="0"/>
            </w:pPr>
            <w:r/>
            <w:r>
              <w:rPr>
                <w:sz w:val="17"/>
              </w:rPr>
              <w:t>pred_equity_revenue_impact.png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pred_expected_losses.png</w:t>
            </w:r>
          </w:p>
        </w:tc>
        <w:tc>
          <w:tcPr>
            <w:tcW w:type="dxa" w:w="1872"/>
            <w:shd w:val="clear" w:color="auto" w:fill="EDF1F5"/>
          </w:tcPr>
          <w:p>
            <w:pPr>
              <w:spacing w:after="0"/>
            </w:pPr>
            <w:r/>
            <w:r>
              <w:rPr>
                <w:sz w:val="17"/>
              </w:rPr>
              <w:t>pred_expected_losses.png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pred_five_pillar.png</w:t>
            </w:r>
          </w:p>
        </w:tc>
        <w:tc>
          <w:tcPr>
            <w:tcW w:type="dxa" w:w="1872"/>
          </w:tcPr>
          <w:p>
            <w:pPr>
              <w:spacing w:after="0"/>
            </w:pPr>
            <w:r/>
            <w:r>
              <w:rPr>
                <w:sz w:val="17"/>
              </w:rPr>
              <w:t>pred_five_pillar.png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pred_formation_bands.png</w:t>
            </w:r>
          </w:p>
        </w:tc>
        <w:tc>
          <w:tcPr>
            <w:tcW w:type="dxa" w:w="1872"/>
            <w:shd w:val="clear" w:color="auto" w:fill="EDF1F5"/>
          </w:tcPr>
          <w:p>
            <w:pPr>
              <w:spacing w:after="0"/>
            </w:pPr>
            <w:r/>
            <w:r>
              <w:rPr>
                <w:sz w:val="17"/>
              </w:rPr>
              <w:t>pred_formation_bands.png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pred_fragility.png</w:t>
            </w:r>
          </w:p>
        </w:tc>
        <w:tc>
          <w:tcPr>
            <w:tcW w:type="dxa" w:w="1872"/>
          </w:tcPr>
          <w:p>
            <w:pPr>
              <w:spacing w:after="0"/>
            </w:pPr>
            <w:r/>
            <w:r>
              <w:rPr>
                <w:sz w:val="17"/>
              </w:rPr>
              <w:t>pred_fragility.png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pred_gatekeeper.png</w:t>
            </w:r>
          </w:p>
        </w:tc>
        <w:tc>
          <w:tcPr>
            <w:tcW w:type="dxa" w:w="1872"/>
            <w:shd w:val="clear" w:color="auto" w:fill="EDF1F5"/>
          </w:tcPr>
          <w:p>
            <w:pPr>
              <w:spacing w:after="0"/>
            </w:pPr>
            <w:r/>
            <w:r>
              <w:rPr>
                <w:sz w:val="17"/>
              </w:rPr>
              <w:t>pred_gatekeeper.png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pred_gauge_backtest.png</w:t>
            </w:r>
          </w:p>
        </w:tc>
        <w:tc>
          <w:tcPr>
            <w:tcW w:type="dxa" w:w="1872"/>
          </w:tcPr>
          <w:p>
            <w:pPr>
              <w:spacing w:after="0"/>
            </w:pPr>
            <w:r/>
            <w:r>
              <w:rPr>
                <w:sz w:val="17"/>
              </w:rPr>
              <w:t>pred_gauge_backtest.png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pred_gdp_waterfall.png</w:t>
            </w:r>
          </w:p>
        </w:tc>
        <w:tc>
          <w:tcPr>
            <w:tcW w:type="dxa" w:w="1872"/>
            <w:shd w:val="clear" w:color="auto" w:fill="EDF1F5"/>
          </w:tcPr>
          <w:p>
            <w:pPr>
              <w:spacing w:after="0"/>
            </w:pPr>
            <w:r/>
            <w:r>
              <w:rPr>
                <w:sz w:val="17"/>
              </w:rPr>
              <w:t>pred_gdp_waterfall.png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pred_geography_bars.png</w:t>
            </w:r>
          </w:p>
        </w:tc>
        <w:tc>
          <w:tcPr>
            <w:tcW w:type="dxa" w:w="1872"/>
          </w:tcPr>
          <w:p>
            <w:pPr>
              <w:spacing w:after="0"/>
            </w:pPr>
            <w:r/>
            <w:r>
              <w:rPr>
                <w:sz w:val="17"/>
              </w:rPr>
              <w:t>pred_geography_bars.png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pred_layer_composition.png</w:t>
            </w:r>
          </w:p>
        </w:tc>
        <w:tc>
          <w:tcPr>
            <w:tcW w:type="dxa" w:w="1872"/>
            <w:shd w:val="clear" w:color="auto" w:fill="EDF1F5"/>
          </w:tcPr>
          <w:p>
            <w:pPr>
              <w:spacing w:after="0"/>
            </w:pPr>
            <w:r/>
            <w:r>
              <w:rPr>
                <w:sz w:val="17"/>
              </w:rPr>
              <w:t>pred_layer_composition.png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pred_ml_horserace.png</w:t>
            </w:r>
          </w:p>
        </w:tc>
        <w:tc>
          <w:tcPr>
            <w:tcW w:type="dxa" w:w="1872"/>
          </w:tcPr>
          <w:p>
            <w:pPr>
              <w:spacing w:after="0"/>
            </w:pPr>
            <w:r/>
            <w:r>
              <w:rPr>
                <w:sz w:val="17"/>
              </w:rPr>
              <w:t>pred_ml_horserace.png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pred_open_weights.png</w:t>
            </w:r>
          </w:p>
        </w:tc>
        <w:tc>
          <w:tcPr>
            <w:tcW w:type="dxa" w:w="1872"/>
            <w:shd w:val="clear" w:color="auto" w:fill="EDF1F5"/>
          </w:tcPr>
          <w:p>
            <w:pPr>
              <w:spacing w:after="0"/>
            </w:pPr>
            <w:r/>
            <w:r>
              <w:rPr>
                <w:sz w:val="17"/>
              </w:rPr>
              <w:t>pred_open_weights.png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pred_robustness_survival.png</w:t>
            </w:r>
          </w:p>
        </w:tc>
        <w:tc>
          <w:tcPr>
            <w:tcW w:type="dxa" w:w="1872"/>
          </w:tcPr>
          <w:p>
            <w:pPr>
              <w:spacing w:after="0"/>
            </w:pPr>
            <w:r/>
            <w:r>
              <w:rPr>
                <w:sz w:val="17"/>
              </w:rPr>
              <w:t>pred_robustness_survival.png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pred_scenario_ladder.png</w:t>
            </w:r>
          </w:p>
        </w:tc>
        <w:tc>
          <w:tcPr>
            <w:tcW w:type="dxa" w:w="1872"/>
            <w:shd w:val="clear" w:color="auto" w:fill="EDF1F5"/>
          </w:tcPr>
          <w:p>
            <w:pPr>
              <w:spacing w:after="0"/>
            </w:pPr>
            <w:r/>
            <w:r>
              <w:rPr>
                <w:sz w:val="17"/>
              </w:rPr>
              <w:t>pred_scenario_ladder.png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pred_screen_flags.png</w:t>
            </w:r>
          </w:p>
        </w:tc>
        <w:tc>
          <w:tcPr>
            <w:tcW w:type="dxa" w:w="1872"/>
          </w:tcPr>
          <w:p>
            <w:pPr>
              <w:spacing w:after="0"/>
            </w:pPr>
            <w:r/>
            <w:r>
              <w:rPr>
                <w:sz w:val="17"/>
              </w:rPr>
              <w:t>pred_screen_flags.png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pred_stability_pockets.png</w:t>
            </w:r>
          </w:p>
        </w:tc>
        <w:tc>
          <w:tcPr>
            <w:tcW w:type="dxa" w:w="1872"/>
            <w:shd w:val="clear" w:color="auto" w:fill="EDF1F5"/>
          </w:tcPr>
          <w:p>
            <w:pPr>
              <w:spacing w:after="0"/>
            </w:pPr>
            <w:r/>
            <w:r>
              <w:rPr>
                <w:sz w:val="17"/>
              </w:rPr>
              <w:t>pred_stability_pockets.png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pred_timing_call.png</w:t>
            </w:r>
          </w:p>
        </w:tc>
        <w:tc>
          <w:tcPr>
            <w:tcW w:type="dxa" w:w="1872"/>
          </w:tcPr>
          <w:p>
            <w:pPr>
              <w:spacing w:after="0"/>
            </w:pPr>
            <w:r/>
            <w:r>
              <w:rPr>
                <w:sz w:val="17"/>
              </w:rPr>
              <w:t>pred_timing_call.png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pred_timing_window.png</w:t>
            </w:r>
          </w:p>
        </w:tc>
        <w:tc>
          <w:tcPr>
            <w:tcW w:type="dxa" w:w="1872"/>
            <w:shd w:val="clear" w:color="auto" w:fill="EDF1F5"/>
          </w:tcPr>
          <w:p>
            <w:pPr>
              <w:spacing w:after="0"/>
            </w:pPr>
            <w:r/>
            <w:r>
              <w:rPr>
                <w:sz w:val="17"/>
              </w:rPr>
              <w:t>pred_timing_window.png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pred_trapped_vs_efficiency.png</w:t>
            </w:r>
          </w:p>
        </w:tc>
        <w:tc>
          <w:tcPr>
            <w:tcW w:type="dxa" w:w="1872"/>
          </w:tcPr>
          <w:p>
            <w:pPr>
              <w:spacing w:after="0"/>
            </w:pPr>
            <w:r/>
            <w:r>
              <w:rPr>
                <w:sz w:val="17"/>
              </w:rPr>
              <w:t>pred_trapped_vs_efficiency.png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pred_valuation_scatter.png</w:t>
            </w:r>
          </w:p>
        </w:tc>
        <w:tc>
          <w:tcPr>
            <w:tcW w:type="dxa" w:w="1872"/>
            <w:shd w:val="clear" w:color="auto" w:fill="EDF1F5"/>
          </w:tcPr>
          <w:p>
            <w:pPr>
              <w:spacing w:after="0"/>
            </w:pPr>
            <w:r/>
            <w:r>
              <w:rPr>
                <w:sz w:val="17"/>
              </w:rPr>
              <w:t>pred_valuation_scatter.png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retirement_exposure.png</w:t>
            </w:r>
          </w:p>
        </w:tc>
        <w:tc>
          <w:tcPr>
            <w:tcW w:type="dxa" w:w="1872"/>
          </w:tcPr>
          <w:p>
            <w:pPr>
              <w:spacing w:after="0"/>
            </w:pPr>
            <w:r/>
            <w:r>
              <w:rPr>
                <w:sz w:val="17"/>
              </w:rPr>
              <w:t>retirement_exposure.png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telecom_games.png</w:t>
            </w:r>
          </w:p>
        </w:tc>
        <w:tc>
          <w:tcPr>
            <w:tcW w:type="dxa" w:w="1872"/>
            <w:shd w:val="clear" w:color="auto" w:fill="EDF1F5"/>
          </w:tcPr>
          <w:p>
            <w:pPr>
              <w:spacing w:after="0"/>
            </w:pPr>
            <w:r/>
            <w:r>
              <w:rPr>
                <w:sz w:val="17"/>
              </w:rPr>
              <w:t>telecom_games.png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telecom_overview.png</w:t>
            </w:r>
          </w:p>
        </w:tc>
        <w:tc>
          <w:tcPr>
            <w:tcW w:type="dxa" w:w="1872"/>
          </w:tcPr>
          <w:p>
            <w:pPr>
              <w:spacing w:after="0"/>
            </w:pPr>
            <w:r/>
            <w:r>
              <w:rPr>
                <w:sz w:val="17"/>
              </w:rPr>
              <w:t>telecom_overview.png</w:t>
            </w:r>
          </w:p>
        </w:tc>
        <w:tc>
          <w:tcPr>
            <w:tcW w:type="dxa" w:w="1872"/>
          </w:tcPr>
          <w:p>
            <w:pPr>
              <w:spacing w:after="0"/>
            </w:pPr>
            <w:r/>
            <w:r>
              <w:rPr>
                <w:sz w:val="17"/>
              </w:rPr>
              <w:t>—</w:t>
            </w:r>
          </w:p>
        </w:tc>
        <w:tc>
          <w:tcPr>
            <w:tcW w:type="dxa" w:w="1872"/>
          </w:tcPr>
          <w:p>
            <w:pPr>
              <w:spacing w:after="0"/>
            </w:pPr>
            <w:r/>
            <w:r>
              <w:rPr>
                <w:sz w:val="17"/>
              </w:rPr>
              <w:t>—</w:t>
            </w:r>
          </w:p>
        </w:tc>
      </w:tr>
      <w:tr>
        <w:tc>
          <w:tcPr>
            <w:tcW w:type="dxa" w:w="1872"/>
            <w:shd w:val="clear" w:color="auto" w:fill="EDF1F5"/>
          </w:tcPr>
          <w:p>
            <w:pPr>
              <w:spacing w:after="0"/>
            </w:pPr>
            <w:r/>
            <w:r>
              <w:rPr>
                <w:sz w:val="17"/>
              </w:rPr>
            </w:r>
          </w:p>
        </w:tc>
        <w:tc>
          <w:tcPr>
            <w:tcW w:type="dxa" w:w="1872"/>
            <w:shd w:val="clear" w:color="auto" w:fill="EDF1F5"/>
          </w:tcPr>
          <w:p>
            <w:pPr>
              <w:spacing w:after="0"/>
            </w:pPr>
            <w:r/>
            <w:r>
              <w:rPr>
                <w:sz w:val="17"/>
              </w:rPr>
              <w:t>telecom_rank.png</w:t>
            </w:r>
          </w:p>
        </w:tc>
        <w:tc>
          <w:tcPr>
            <w:tcW w:type="dxa" w:w="1872"/>
            <w:shd w:val="clear" w:color="auto" w:fill="EDF1F5"/>
          </w:tcPr>
          <w:p>
            <w:pPr>
              <w:spacing w:after="0"/>
            </w:pPr>
            <w:r/>
            <w:r>
              <w:rPr>
                <w:sz w:val="17"/>
              </w:rPr>
              <w:t>telecom_rank.png</w:t>
            </w:r>
          </w:p>
        </w:tc>
        <w:tc>
          <w:tcPr>
            <w:tcW w:type="dxa" w:w="1872"/>
            <w:shd w:val="clear" w:color="auto" w:fill="EDF1F5"/>
          </w:tcPr>
          <w:p>
            <w:pPr>
              <w:spacing w:after="0"/>
            </w:pPr>
            <w:r/>
            <w:r>
              <w:rPr>
                <w:sz w:val="17"/>
              </w:rPr>
              <w:t>—</w:t>
            </w:r>
          </w:p>
        </w:tc>
        <w:tc>
          <w:tcPr>
            <w:tcW w:type="dxa" w:w="1872"/>
            <w:shd w:val="clear" w:color="auto" w:fill="EDF1F5"/>
          </w:tcPr>
          <w:p>
            <w:pPr>
              <w:spacing w:after="0"/>
            </w:pPr>
            <w:r/>
            <w:r>
              <w:rPr>
                <w:sz w:val="17"/>
              </w:rPr>
              <w:t>—</w:t>
            </w:r>
          </w:p>
        </w:tc>
      </w:tr>
      <w:tr>
        <w:tc>
          <w:tcPr>
            <w:tcW w:type="dxa" w:w="1872"/>
          </w:tcPr>
          <w:p>
            <w:pPr>
              <w:spacing w:after="0"/>
            </w:pPr>
            <w:r/>
            <w:r>
              <w:rPr>
                <w:sz w:val="17"/>
              </w:rPr>
            </w:r>
          </w:p>
        </w:tc>
        <w:tc>
          <w:tcPr>
            <w:tcW w:type="dxa" w:w="1872"/>
          </w:tcPr>
          <w:p>
            <w:pPr>
              <w:spacing w:after="0"/>
            </w:pPr>
            <w:r/>
            <w:r>
              <w:rPr>
                <w:sz w:val="17"/>
              </w:rPr>
              <w:t>telecom_saltelli.png</w:t>
            </w:r>
          </w:p>
        </w:tc>
        <w:tc>
          <w:tcPr>
            <w:tcW w:type="dxa" w:w="1872"/>
          </w:tcPr>
          <w:p>
            <w:pPr>
              <w:spacing w:after="0"/>
            </w:pPr>
            <w:r/>
            <w:r>
              <w:rPr>
                <w:sz w:val="17"/>
              </w:rPr>
              <w:t>telecom_saltelli.png</w:t>
            </w:r>
          </w:p>
        </w:tc>
        <w:tc>
          <w:tcPr>
            <w:tcW w:type="dxa" w:w="1872"/>
          </w:tcPr>
          <w:p>
            <w:pPr>
              <w:spacing w:after="0"/>
            </w:pPr>
            <w:r/>
            <w:r>
              <w:rPr>
                <w:sz w:val="17"/>
              </w:rPr>
              <w:t>—</w:t>
            </w:r>
          </w:p>
        </w:tc>
        <w:tc>
          <w:tcPr>
            <w:tcW w:type="dxa" w:w="1872"/>
          </w:tcPr>
          <w:p>
            <w:pPr>
              <w:spacing w:after="0"/>
            </w:pPr>
            <w:r/>
            <w:r>
              <w:rPr>
                <w:sz w:val="17"/>
              </w:rPr>
              <w:t>—</w:t>
            </w:r>
          </w:p>
        </w:tc>
      </w:tr>
    </w:tbl>
    <w:p>
      <w:pPr>
        <w:spacing w:after="80"/>
      </w:pPr>
      <w:r>
        <w:rPr>
          <w:sz w:val="4"/>
        </w:rPr>
      </w:r>
    </w:p>
    <w:p>
      <w:pPr>
        <w:spacing w:after="120"/>
        <w:jc w:val="center"/>
      </w:pPr>
      <w:r>
        <w:rPr>
          <w:b w:val="0"/>
          <w:i/>
          <w:color w:val="606060"/>
          <w:sz w:val="18"/>
        </w:rPr>
        <w:t>Word count: ~21,891 words (body text and tables; embedded figures excluded).</w:t>
      </w:r>
    </w:p>
    <w:p>
      <w:pPr>
        <w:spacing w:after="40"/>
      </w:pPr>
    </w:p>
    <w:p>
      <w:pPr>
        <w:spacing w:after="120"/>
        <w:jc w:val="center"/>
      </w:pPr>
      <w:r>
        <w:rPr>
          <w:b w:val="0"/>
          <w:i/>
          <w:sz w:val="20"/>
        </w:rPr>
        <w:t>— End of report —</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jc w:val="left"/>
    </w:pPr>
    <w:r>
      <w:rPr>
        <w:i/>
        <w:color w:val="808080"/>
        <w:sz w:val="17"/>
      </w:rPr>
      <w:t>AI Ecosystem Game Theory — Technical Report</w:t>
      <w:tab/>
    </w:r>
    <w:r>
      <w:rPr>
        <w:sz w:val="18"/>
      </w:rPr>
      <w:t xml:space="preserve">Page </w:t>
    </w:r>
    <w:fldSimple w:instr="PAGE">
      <w:r>
        <w:t>1</w:t>
      </w:r>
    </w:fldSimple>
    <w:r>
      <w:rPr>
        <w:sz w:val="18"/>
      </w:rPr>
      <w:t xml:space="preserve"> of </w:t>
    </w:r>
    <w:fldSimple w:instr="NUMPAGES">
      <w:r>
        <w:t>1</w:t>
      </w:r>
    </w:fldSimple>
    <w:r>
      <w:rPr>
        <w:i/>
        <w:color w:val="808080"/>
        <w:sz w:val="17"/>
      </w:rPr>
      <w:tab/>
      <w:t>Q3 2026 (Aug-Sep earnings cycle)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08080"/>
        <w:sz w:val="17"/>
      </w:rPr>
      <w:t>AI Ecosystem Game Theory Analysis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i w:val="0"/>
      <w:color w:val="2C3E5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i w:val="0"/>
      <w:color w:val="2C3E5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val="0"/>
      <w:color w:val="2E86C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