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16324F"/>
          <w:sz w:val="44"/>
        </w:rPr>
        <w:t>DECISION RECORD</w:t>
      </w:r>
    </w:p>
    <w:p>
      <w:pPr>
        <w:spacing w:after="280"/>
      </w:pPr>
      <w:r>
        <w:rPr>
          <w:rFonts w:ascii="Calibri" w:hAnsi="Calibri"/>
          <w:b/>
          <w:color w:val="2E74B5"/>
          <w:sz w:val="28"/>
        </w:rPr>
        <w:t>Sprint 023C - Privacy, Storage and Lifecycle Decisions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90" w:type="dxa"/>
              <w:start w:w="120" w:type="dxa"/>
              <w:bottom w:w="90" w:type="dxa"/>
              <w:end w:w="120" w:type="dxa"/>
            </w:tcMar>
            <w:vAlign w:val="center"/>
            <w:shd w:fill="16324F"/>
          </w:tcPr>
          <w:p>
            <w:r>
              <w:rPr>
                <w:b/>
                <w:color w:val="FFFFFF"/>
              </w:rPr>
              <w:t>Record field</w:t>
            </w:r>
          </w:p>
        </w:tc>
        <w:tc>
          <w:tcPr>
            <w:tcW w:type="dxa" w:w="7560"/>
            <w:tcMar>
              <w:top w:w="90" w:type="dxa"/>
              <w:start w:w="120" w:type="dxa"/>
              <w:bottom w:w="90" w:type="dxa"/>
              <w:end w:w="120" w:type="dxa"/>
            </w:tcMar>
            <w:vAlign w:val="center"/>
            <w:shd w:fill="16324F"/>
          </w:tcPr>
          <w:p>
            <w:r>
              <w:rPr>
                <w:b/>
                <w:color w:val="FFFFFF"/>
              </w:rPr>
              <w:t>Recorded value</w:t>
            </w:r>
          </w:p>
        </w:tc>
      </w:tr>
      <w:tr>
        <w:tc>
          <w:tcPr>
            <w:tcW w:type="dxa" w:w="1800"/>
            <w:shd w:fill="F2F4F7"/>
          </w:tcPr>
          <w:p>
            <w:r>
              <w:rPr>
                <w:b/>
              </w:rPr>
              <w:t>Organisation</w:t>
            </w:r>
          </w:p>
        </w:tc>
        <w:tc>
          <w:tcPr>
            <w:tcW w:type="dxa" w:w="7560"/>
          </w:tcPr>
          <w:p>
            <w:r>
              <w:t>Aprec8 Pty Ltd</w:t>
            </w:r>
          </w:p>
        </w:tc>
      </w:tr>
      <w:tr>
        <w:tc>
          <w:tcPr>
            <w:tcW w:type="dxa" w:w="1800"/>
            <w:shd w:fill="F2F4F7"/>
          </w:tcPr>
          <w:p>
            <w:r>
              <w:rPr>
                <w:b/>
              </w:rPr>
              <w:t>Project</w:t>
            </w:r>
          </w:p>
        </w:tc>
        <w:tc>
          <w:tcPr>
            <w:tcW w:type="dxa" w:w="7560"/>
          </w:tcPr>
          <w:p>
            <w:r>
              <w:t>Precision Performance</w:t>
            </w:r>
          </w:p>
        </w:tc>
      </w:tr>
      <w:tr>
        <w:tc>
          <w:tcPr>
            <w:tcW w:type="dxa" w:w="1800"/>
            <w:shd w:fill="F2F4F7"/>
          </w:tcPr>
          <w:p>
            <w:r>
              <w:rPr>
                <w:b/>
              </w:rPr>
              <w:t>Decision date</w:t>
            </w:r>
          </w:p>
        </w:tc>
        <w:tc>
          <w:tcPr>
            <w:tcW w:type="dxa" w:w="7560"/>
          </w:tcPr>
          <w:p>
            <w:r>
              <w:t>28 July 2026</w:t>
            </w:r>
          </w:p>
        </w:tc>
      </w:tr>
      <w:tr>
        <w:tc>
          <w:tcPr>
            <w:tcW w:type="dxa" w:w="1800"/>
            <w:shd w:fill="F2F4F7"/>
          </w:tcPr>
          <w:p>
            <w:r>
              <w:rPr>
                <w:b/>
              </w:rPr>
              <w:t>Status</w:t>
            </w:r>
          </w:p>
        </w:tc>
        <w:tc>
          <w:tcPr>
            <w:tcW w:type="dxa" w:w="7560"/>
          </w:tcPr>
          <w:p>
            <w:r>
              <w:t>Approved governing contract; effective 28 July 2026</w:t>
            </w:r>
          </w:p>
        </w:tc>
      </w:tr>
      <w:tr>
        <w:tc>
          <w:tcPr>
            <w:tcW w:type="dxa" w:w="1800"/>
            <w:shd w:fill="F2F4F7"/>
          </w:tcPr>
          <w:p>
            <w:r>
              <w:rPr>
                <w:b/>
              </w:rPr>
              <w:t>Purpose</w:t>
            </w:r>
          </w:p>
        </w:tc>
        <w:tc>
          <w:tcPr>
            <w:tcW w:type="dxa" w:w="7560"/>
          </w:tcPr>
          <w:p>
            <w:r>
              <w:t>Authoritative input for Sprint 023D storage and security design</w:t>
            </w:r>
          </w:p>
        </w:tc>
      </w:tr>
    </w:tbl>
    <w:p/>
    <w:p>
      <w:pPr>
        <w:spacing w:after="200"/>
      </w:pPr>
      <w:r>
        <w:rPr>
          <w:rFonts w:ascii="Calibri" w:hAnsi="Calibri"/>
          <w:b/>
          <w:color w:val="16324F"/>
          <w:sz w:val="24"/>
        </w:rPr>
        <w:t>Decision summary</w:t>
      </w:r>
      <w:r>
        <w:rPr>
          <w:rFonts w:ascii="Calibri" w:hAnsi="Calibri"/>
        </w:rPr>
        <w:t xml:space="preserve">  This record consolidates the twenty questions, Aprec8's answers, accepted recommendations, explanations and implementation controls. It is not legal advice. Privacy and contractual wording should be reviewed before production publication.</w:t>
      </w:r>
    </w:p>
    <w:p>
      <w:pPr>
        <w:pStyle w:val="Heading1"/>
        <w:keepNext/>
      </w:pPr>
      <w:r>
        <w:rPr>
          <w:rFonts w:ascii="Calibri" w:hAnsi="Calibri"/>
        </w:rPr>
        <w:t>A. File and content policy</w:t>
      </w:r>
    </w:p>
    <w:p>
      <w:pPr>
        <w:pStyle w:val="Heading2"/>
        <w:keepNext/>
      </w:pPr>
      <w:r>
        <w:rPr>
          <w:rFonts w:ascii="Calibri" w:hAnsi="Calibri"/>
        </w:rPr>
        <w:t>1. Permitted file types</w:t>
      </w:r>
    </w:p>
    <w:p>
      <w:pPr>
        <w:keepLines/>
      </w:pPr>
      <w:r>
        <w:rPr>
          <w:rFonts w:ascii="Calibri" w:hAnsi="Calibri"/>
          <w:b/>
          <w:color w:val="16324F"/>
        </w:rPr>
        <w:t xml:space="preserve">Question: </w:t>
      </w:r>
      <w:r>
        <w:rPr>
          <w:rFonts w:ascii="Calibri" w:hAnsi="Calibri"/>
        </w:rPr>
        <w:t>Which file categories, MIME types and extensions are permitted?</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JPEG (.jpg and .jpeg; image/jpeg), PNG (.png; image/png), PDF (.pdf; application/pdf), and controlled CSV files meeting Question 3 are permitted.</w:t>
      </w:r>
    </w:p>
    <w:p>
      <w:pPr>
        <w:spacing w:after="40"/>
      </w:pPr>
      <w:r>
        <w:rPr>
          <w:rFonts w:ascii="Calibri" w:hAnsi="Calibri"/>
          <w:b/>
          <w:color w:val="16324F"/>
        </w:rPr>
        <w:t>Implementation controls</w:t>
      </w:r>
    </w:p>
    <w:p>
      <w:pPr>
        <w:pStyle w:val="ListBullet"/>
      </w:pPr>
      <w:r>
        <w:rPr>
          <w:rFonts w:ascii="Calibri" w:hAnsi="Calibri"/>
        </w:rPr>
        <w:t>The extension, declared MIME type and detected file signature must agree.</w:t>
      </w:r>
    </w:p>
    <w:p>
      <w:pPr>
        <w:pStyle w:val="ListBullet"/>
      </w:pPr>
      <w:r>
        <w:rPr>
          <w:rFonts w:ascii="Calibri" w:hAnsi="Calibri"/>
        </w:rPr>
        <w:t>Executables, scripts, archives, Office files, video, audio, SVG and unknown types are rejected.</w:t>
      </w:r>
    </w:p>
    <w:p>
      <w:pPr>
        <w:pStyle w:val="ListBullet"/>
      </w:pPr>
      <w:r>
        <w:rPr>
          <w:rFonts w:ascii="Calibri" w:hAnsi="Calibri"/>
        </w:rPr>
        <w:t>PDF and CSV files remain subject to the additional controls below.</w:t>
      </w:r>
    </w:p>
    <w:p>
      <w:pPr>
        <w:pStyle w:val="Heading2"/>
        <w:keepNext/>
      </w:pPr>
      <w:r>
        <w:rPr>
          <w:rFonts w:ascii="Calibri" w:hAnsi="Calibri"/>
        </w:rPr>
        <w:t>2. File size and count limits</w:t>
      </w:r>
    </w:p>
    <w:p>
      <w:pPr>
        <w:keepLines/>
      </w:pPr>
      <w:r>
        <w:rPr>
          <w:rFonts w:ascii="Calibri" w:hAnsi="Calibri"/>
          <w:b/>
          <w:color w:val="16324F"/>
        </w:rPr>
        <w:t xml:space="preserve">Question: </w:t>
      </w:r>
      <w:r>
        <w:rPr>
          <w:rFonts w:ascii="Calibri" w:hAnsi="Calibri"/>
        </w:rPr>
        <w:t>What is the maximum size per file and maximum number of files per test?</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Maximum 5 MiB per file, 10 files per test and 30 MiB aggregate evidence per test.</w:t>
      </w:r>
    </w:p>
    <w:p>
      <w:pPr>
        <w:keepLines/>
      </w:pPr>
      <w:r>
        <w:rPr>
          <w:rFonts w:ascii="Calibri" w:hAnsi="Calibri"/>
          <w:b/>
          <w:color w:val="16324F"/>
        </w:rPr>
        <w:t xml:space="preserve">Explanation: </w:t>
      </w:r>
      <w:r>
        <w:rPr>
          <w:rFonts w:ascii="Calibri" w:hAnsi="Calibri"/>
        </w:rPr>
        <w:t>The 5 MiB limit supports normal phone photographs and PDFs while remaining within the range recommended for standard Supabase uploads.</w:t>
      </w:r>
    </w:p>
    <w:p>
      <w:pPr>
        <w:spacing w:after="40"/>
      </w:pPr>
      <w:r>
        <w:rPr>
          <w:rFonts w:ascii="Calibri" w:hAnsi="Calibri"/>
          <w:b/>
          <w:color w:val="16324F"/>
        </w:rPr>
        <w:t>Implementation controls</w:t>
      </w:r>
    </w:p>
    <w:p>
      <w:pPr>
        <w:pStyle w:val="ListBullet"/>
      </w:pPr>
      <w:r>
        <w:rPr>
          <w:rFonts w:ascii="Calibri" w:hAnsi="Calibri"/>
        </w:rPr>
        <w:t>Enforce both per-file and aggregate limits server-side.</w:t>
      </w:r>
    </w:p>
    <w:p>
      <w:pPr>
        <w:pStyle w:val="ListBullet"/>
      </w:pPr>
      <w:r>
        <w:rPr>
          <w:rFonts w:ascii="Calibri" w:hAnsi="Calibri"/>
        </w:rPr>
        <w:t>Do not trust browser-reported size alone.</w:t>
      </w:r>
    </w:p>
    <w:p>
      <w:pPr>
        <w:pStyle w:val="Heading2"/>
        <w:keepNext/>
      </w:pPr>
      <w:r>
        <w:rPr>
          <w:rFonts w:ascii="Calibri" w:hAnsi="Calibri"/>
        </w:rPr>
        <w:t>3. Controlled CSV evidence</w:t>
      </w:r>
    </w:p>
    <w:p>
      <w:pPr>
        <w:keepLines/>
      </w:pPr>
      <w:r>
        <w:rPr>
          <w:rFonts w:ascii="Calibri" w:hAnsi="Calibri"/>
          <w:b/>
          <w:color w:val="16324F"/>
        </w:rPr>
        <w:t xml:space="preserve">Question: </w:t>
      </w:r>
      <w:r>
        <w:rPr>
          <w:rFonts w:ascii="Calibri" w:hAnsi="Calibri"/>
        </w:rPr>
        <w:t>Should CSV files be permitted?</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CSV evidence is permitted only when produced by an Aprec8-approved source using an approved, version-controlled CSV format. Random, general-purpose or structurally unrecognised CSV uploads are not permitted.</w:t>
      </w:r>
    </w:p>
    <w:p>
      <w:pPr>
        <w:spacing w:after="40"/>
      </w:pPr>
      <w:r>
        <w:rPr>
          <w:rFonts w:ascii="Calibri" w:hAnsi="Calibri"/>
          <w:b/>
          <w:color w:val="16324F"/>
        </w:rPr>
        <w:t>Implementation controls</w:t>
      </w:r>
    </w:p>
    <w:p>
      <w:pPr>
        <w:pStyle w:val="ListBullet"/>
      </w:pPr>
      <w:r>
        <w:rPr>
          <w:rFonts w:ascii="Calibri" w:hAnsi="Calibri"/>
        </w:rPr>
        <w:t>Maintain an allowlist of approved sources and template versions.</w:t>
      </w:r>
    </w:p>
    <w:p>
      <w:pPr>
        <w:pStyle w:val="ListBullet"/>
      </w:pPr>
      <w:r>
        <w:rPr>
          <w:rFonts w:ascii="Calibri" w:hAnsi="Calibri"/>
        </w:rPr>
        <w:t>Validate required columns, column order, data types and value formats.</w:t>
      </w:r>
    </w:p>
    <w:p>
      <w:pPr>
        <w:pStyle w:val="ListBullet"/>
      </w:pPr>
      <w:r>
        <w:rPr>
          <w:rFonts w:ascii="Calibri" w:hAnsi="Calibri"/>
        </w:rPr>
        <w:t>Reject unexpected, missing or renamed columns unless a new version is approved.</w:t>
      </w:r>
    </w:p>
    <w:p>
      <w:pPr>
        <w:pStyle w:val="ListBullet"/>
      </w:pPr>
      <w:r>
        <w:rPr>
          <w:rFonts w:ascii="Calibri" w:hAnsi="Calibri"/>
        </w:rPr>
        <w:t>Neutralise or reject formula-like values that could execute when opened in spreadsheet software.</w:t>
      </w:r>
    </w:p>
    <w:p>
      <w:pPr>
        <w:pStyle w:val="ListBullet"/>
      </w:pPr>
      <w:r>
        <w:rPr>
          <w:rFonts w:ascii="Calibri" w:hAnsi="Calibri"/>
        </w:rPr>
        <w:t>Treat CSV as supporting evidence; it must not automatically alter readings or scores without later express authority.</w:t>
      </w:r>
    </w:p>
    <w:p>
      <w:pPr>
        <w:pStyle w:val="Heading2"/>
        <w:keepNext/>
      </w:pPr>
      <w:r>
        <w:rPr>
          <w:rFonts w:ascii="Calibri" w:hAnsi="Calibri"/>
        </w:rPr>
        <w:t>4. Identifiable and confidential content</w:t>
      </w:r>
    </w:p>
    <w:p>
      <w:pPr>
        <w:keepLines/>
      </w:pPr>
      <w:r>
        <w:rPr>
          <w:rFonts w:ascii="Calibri" w:hAnsi="Calibri"/>
          <w:b/>
          <w:color w:val="16324F"/>
        </w:rPr>
        <w:t xml:space="preserve">Question: </w:t>
      </w:r>
      <w:r>
        <w:rPr>
          <w:rFonts w:ascii="Calibri" w:hAnsi="Calibri"/>
        </w:rPr>
        <w:t>May evidence contain identifiable horses, people, locations, documents, labels or stable details?</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Evidence may show horses, test equipment, test strips, feed or treatment labels, stable environments and related operational documents where relevant to evaluating the horse's state of being. Users should avoid including identifiable people, personal contact information, identity documents, financial information or unrelated confidential information. Where a person is identifiable, the uploader must have authority to provide the material.</w:t>
      </w:r>
    </w:p>
    <w:p>
      <w:pPr>
        <w:keepLines/>
      </w:pPr>
      <w:r>
        <w:rPr>
          <w:rFonts w:ascii="Calibri" w:hAnsi="Calibri"/>
          <w:b/>
          <w:color w:val="16324F"/>
        </w:rPr>
        <w:t xml:space="preserve">Explanation: </w:t>
      </w:r>
      <w:r>
        <w:rPr>
          <w:rFonts w:ascii="Calibri" w:hAnsi="Calibri"/>
        </w:rPr>
        <w:t>A horse file may incidentally reveal a trainer, employee, veterinarian, owner, address, GPS location, vehicle registration, signature or contact details. Those incidental details can create privacy obligations even when the primary subject is a horse.</w:t>
      </w:r>
    </w:p>
    <w:p>
      <w:pPr>
        <w:spacing w:after="40"/>
      </w:pPr>
      <w:r>
        <w:rPr>
          <w:rFonts w:ascii="Calibri" w:hAnsi="Calibri"/>
          <w:b/>
          <w:color w:val="16324F"/>
        </w:rPr>
        <w:t>Implementation controls</w:t>
      </w:r>
    </w:p>
    <w:p>
      <w:pPr>
        <w:pStyle w:val="ListBullet"/>
      </w:pPr>
      <w:r>
        <w:rPr>
          <w:rFonts w:ascii="Calibri" w:hAnsi="Calibri"/>
        </w:rPr>
        <w:t>Keep all evidence private.</w:t>
      </w:r>
    </w:p>
    <w:p>
      <w:pPr>
        <w:pStyle w:val="ListBullet"/>
      </w:pPr>
      <w:r>
        <w:rPr>
          <w:rFonts w:ascii="Calibri" w:hAnsi="Calibri"/>
        </w:rPr>
        <w:t>Do not reuse evidence for marketing or public publication without separate written authority.</w:t>
      </w:r>
    </w:p>
    <w:p>
      <w:pPr>
        <w:pStyle w:val="ListBullet"/>
      </w:pPr>
      <w:r>
        <w:rPr>
          <w:rFonts w:ascii="Calibri" w:hAnsi="Calibri"/>
        </w:rPr>
        <w:t>Strip non-essential metadata under Question 15.</w:t>
      </w:r>
    </w:p>
    <w:p>
      <w:pPr>
        <w:pStyle w:val="Heading2"/>
        <w:keepNext/>
      </w:pPr>
      <w:r>
        <w:rPr>
          <w:rFonts w:ascii="Calibri" w:hAnsi="Calibri"/>
        </w:rPr>
        <w:t>5. Collection purpose and uploader authority</w:t>
      </w:r>
    </w:p>
    <w:p>
      <w:pPr>
        <w:keepLines/>
      </w:pPr>
      <w:r>
        <w:rPr>
          <w:rFonts w:ascii="Calibri" w:hAnsi="Calibri"/>
          <w:b/>
          <w:color w:val="16324F"/>
        </w:rPr>
        <w:t xml:space="preserve">Question: </w:t>
      </w:r>
      <w:r>
        <w:rPr>
          <w:rFonts w:ascii="Calibri" w:hAnsi="Calibri"/>
        </w:rPr>
        <w:t>Why is evidence collected, and what authority must the uploader have?</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Aprec8 collects evidence to evaluate, record, review and monitor a horse's state of being, training condition and associated biochemistry-test context. Evidence may support comparison over time, authorised consultation and service quality. The uploader must confirm that they are authorised to provide the evidence and that it is relevant to the horse and test.</w:t>
      </w:r>
    </w:p>
    <w:p>
      <w:pPr>
        <w:keepLines/>
      </w:pPr>
      <w:r>
        <w:rPr>
          <w:rFonts w:ascii="Calibri" w:hAnsi="Calibri"/>
          <w:b/>
          <w:color w:val="16324F"/>
        </w:rPr>
        <w:t xml:space="preserve">Explanation: </w:t>
      </w:r>
      <w:r>
        <w:rPr>
          <w:rFonts w:ascii="Calibri" w:hAnsi="Calibri"/>
        </w:rPr>
        <w:t>A defined purpose controls what may be uploaded, who may access it, how it may be used and when it should be removed.</w:t>
      </w:r>
    </w:p>
    <w:p>
      <w:pPr>
        <w:spacing w:after="40"/>
      </w:pPr>
      <w:r>
        <w:rPr>
          <w:rFonts w:ascii="Calibri" w:hAnsi="Calibri"/>
          <w:b/>
          <w:color w:val="16324F"/>
        </w:rPr>
        <w:t>Implementation controls</w:t>
      </w:r>
    </w:p>
    <w:p>
      <w:pPr>
        <w:pStyle w:val="ListBullet"/>
      </w:pPr>
      <w:r>
        <w:rPr>
          <w:rFonts w:ascii="Calibri" w:hAnsi="Calibri"/>
        </w:rPr>
        <w:t>No unrelated marketing or public publication.</w:t>
      </w:r>
    </w:p>
    <w:p>
      <w:pPr>
        <w:pStyle w:val="ListBullet"/>
      </w:pPr>
      <w:r>
        <w:rPr>
          <w:rFonts w:ascii="Calibri" w:hAnsi="Calibri"/>
        </w:rPr>
        <w:t>No facial recognition, automated diagnosis or external AI training without separate authority.</w:t>
      </w:r>
    </w:p>
    <w:p>
      <w:pPr>
        <w:pStyle w:val="Heading2"/>
        <w:keepNext/>
      </w:pPr>
      <w:r>
        <w:rPr>
          <w:rFonts w:ascii="Calibri" w:hAnsi="Calibri"/>
        </w:rPr>
        <w:t>6. Ownership, service rights and confidentiality</w:t>
      </w:r>
    </w:p>
    <w:p>
      <w:pPr>
        <w:keepLines/>
      </w:pPr>
      <w:r>
        <w:rPr>
          <w:rFonts w:ascii="Calibri" w:hAnsi="Calibri"/>
          <w:b/>
          <w:color w:val="16324F"/>
        </w:rPr>
        <w:t xml:space="preserve">Question: </w:t>
      </w:r>
      <w:r>
        <w:rPr>
          <w:rFonts w:ascii="Calibri" w:hAnsi="Calibri"/>
        </w:rPr>
        <w:t>Who owns uploaded evidence, and what rights does Aprec8 receive?</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Aprec8 owns the application records, structured metadata, database entries and stored service copy created through the web application. The uploader confirms that they own the uploaded material or have sufficient authority to provide it. Aprec8 may store, process, display, secure, back up, retain and delete the evidence to provide and protect the service.</w:t>
      </w:r>
    </w:p>
    <w:p>
      <w:pPr>
        <w:keepLines/>
      </w:pPr>
      <w:r>
        <w:rPr>
          <w:rFonts w:ascii="Calibri" w:hAnsi="Calibri"/>
          <w:b/>
          <w:color w:val="16324F"/>
        </w:rPr>
        <w:t xml:space="preserve">Explanation: </w:t>
      </w:r>
      <w:r>
        <w:rPr>
          <w:rFonts w:ascii="Calibri" w:hAnsi="Calibri"/>
        </w:rPr>
        <w:t>This distinguishes Aprec8's ownership and control of its service records from copyright or other rights that may remain with a veterinarian, laboratory, photographer or uploader.</w:t>
      </w:r>
    </w:p>
    <w:p>
      <w:pPr>
        <w:spacing w:after="40"/>
      </w:pPr>
      <w:r>
        <w:rPr>
          <w:rFonts w:ascii="Calibri" w:hAnsi="Calibri"/>
          <w:b/>
          <w:color w:val="16324F"/>
        </w:rPr>
        <w:t>Implementation controls</w:t>
      </w:r>
    </w:p>
    <w:p>
      <w:pPr>
        <w:pStyle w:val="ListBullet"/>
      </w:pPr>
      <w:r>
        <w:rPr>
          <w:rFonts w:ascii="Calibri" w:hAnsi="Calibri"/>
        </w:rPr>
        <w:t>Treat evidence as confidential and private.</w:t>
      </w:r>
    </w:p>
    <w:p>
      <w:pPr>
        <w:pStyle w:val="ListBullet"/>
      </w:pPr>
      <w:r>
        <w:rPr>
          <w:rFonts w:ascii="Calibri" w:hAnsi="Calibri"/>
        </w:rPr>
        <w:t>Do not sell, publicly disclose, use for unrelated marketing or use for external AI training without separate authority.</w:t>
      </w:r>
    </w:p>
    <w:p>
      <w:pPr>
        <w:pStyle w:val="Heading1"/>
        <w:keepNext/>
      </w:pPr>
      <w:r>
        <w:rPr>
          <w:rFonts w:ascii="Calibri" w:hAnsi="Calibri"/>
        </w:rPr>
        <w:t>B. Access and authority</w:t>
      </w:r>
    </w:p>
    <w:p>
      <w:pPr>
        <w:pStyle w:val="Heading2"/>
        <w:keepNext/>
      </w:pPr>
      <w:r>
        <w:rPr>
          <w:rFonts w:ascii="Calibri" w:hAnsi="Calibri"/>
        </w:rPr>
        <w:t>7. Role permissions</w:t>
      </w:r>
    </w:p>
    <w:p>
      <w:pPr>
        <w:keepLines/>
      </w:pPr>
      <w:r>
        <w:rPr>
          <w:rFonts w:ascii="Calibri" w:hAnsi="Calibri"/>
          <w:b/>
          <w:color w:val="16324F"/>
        </w:rPr>
        <w:t xml:space="preserve">Question: </w:t>
      </w:r>
      <w:r>
        <w:rPr>
          <w:rFonts w:ascii="Calibri" w:hAnsi="Calibri"/>
        </w:rPr>
        <w:t>Who may upload, view, download, replace, soft-delete, restore and purge evidence?</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The following role matrix is approved. Every permission remains subject to current access to the relevant stable, horse and test.</w:t>
      </w:r>
    </w:p>
    <w:tbl>
      <w:tblPr>
        <w:tblStyle w:val="TableGrid"/>
        <w:tblW w:type="dxa" w:w="9360"/>
        <w:jc w:val="left"/>
        <w:tblLayout w:type="fixed"/>
        <w:tblLook w:firstColumn="1" w:firstRow="1" w:lastColumn="0" w:lastRow="0" w:noHBand="0" w:noVBand="1" w:val="04A0"/>
        <w:tblInd w:w="120" w:type="dxa"/>
      </w:tblPr>
      <w:tblGrid>
        <w:gridCol w:w="1800"/>
        <w:gridCol w:w="900"/>
        <w:gridCol w:w="900"/>
        <w:gridCol w:w="1050"/>
        <w:gridCol w:w="1050"/>
        <w:gridCol w:w="1050"/>
        <w:gridCol w:w="1050"/>
        <w:gridCol w:w="1560"/>
      </w:tblGrid>
      <w:tr>
        <w:trPr>
          <w:tblHeader w:val="true"/>
        </w:trPr>
        <w:tc>
          <w:tcPr>
            <w:tcW w:type="dxa" w:w="1800"/>
            <w:tcMar>
              <w:top w:w="90" w:type="dxa"/>
              <w:start w:w="120" w:type="dxa"/>
              <w:bottom w:w="90" w:type="dxa"/>
              <w:end w:w="120" w:type="dxa"/>
            </w:tcMar>
            <w:vAlign w:val="center"/>
            <w:shd w:fill="16324F"/>
          </w:tcPr>
          <w:p>
            <w:r>
              <w:rPr>
                <w:b/>
                <w:color w:val="FFFFFF"/>
                <w:sz w:val="17"/>
              </w:rPr>
              <w:t>Role</w:t>
            </w:r>
          </w:p>
        </w:tc>
        <w:tc>
          <w:tcPr>
            <w:tcW w:type="dxa" w:w="900"/>
            <w:tcMar>
              <w:top w:w="90" w:type="dxa"/>
              <w:start w:w="120" w:type="dxa"/>
              <w:bottom w:w="90" w:type="dxa"/>
              <w:end w:w="120" w:type="dxa"/>
            </w:tcMar>
            <w:vAlign w:val="center"/>
            <w:shd w:fill="16324F"/>
          </w:tcPr>
          <w:p>
            <w:r>
              <w:rPr>
                <w:b/>
                <w:color w:val="FFFFFF"/>
                <w:sz w:val="17"/>
              </w:rPr>
              <w:t>Upload</w:t>
            </w:r>
          </w:p>
        </w:tc>
        <w:tc>
          <w:tcPr>
            <w:tcW w:type="dxa" w:w="900"/>
            <w:tcMar>
              <w:top w:w="90" w:type="dxa"/>
              <w:start w:w="120" w:type="dxa"/>
              <w:bottom w:w="90" w:type="dxa"/>
              <w:end w:w="120" w:type="dxa"/>
            </w:tcMar>
            <w:vAlign w:val="center"/>
            <w:shd w:fill="16324F"/>
          </w:tcPr>
          <w:p>
            <w:r>
              <w:rPr>
                <w:b/>
                <w:color w:val="FFFFFF"/>
                <w:sz w:val="17"/>
              </w:rPr>
              <w:t>View</w:t>
            </w:r>
          </w:p>
        </w:tc>
        <w:tc>
          <w:tcPr>
            <w:tcW w:type="dxa" w:w="1050"/>
            <w:tcMar>
              <w:top w:w="90" w:type="dxa"/>
              <w:start w:w="120" w:type="dxa"/>
              <w:bottom w:w="90" w:type="dxa"/>
              <w:end w:w="120" w:type="dxa"/>
            </w:tcMar>
            <w:vAlign w:val="center"/>
            <w:shd w:fill="16324F"/>
          </w:tcPr>
          <w:p>
            <w:r>
              <w:rPr>
                <w:b/>
                <w:color w:val="FFFFFF"/>
                <w:sz w:val="17"/>
              </w:rPr>
              <w:t>Download</w:t>
            </w:r>
          </w:p>
        </w:tc>
        <w:tc>
          <w:tcPr>
            <w:tcW w:type="dxa" w:w="1050"/>
            <w:tcMar>
              <w:top w:w="90" w:type="dxa"/>
              <w:start w:w="120" w:type="dxa"/>
              <w:bottom w:w="90" w:type="dxa"/>
              <w:end w:w="120" w:type="dxa"/>
            </w:tcMar>
            <w:vAlign w:val="center"/>
            <w:shd w:fill="16324F"/>
          </w:tcPr>
          <w:p>
            <w:r>
              <w:rPr>
                <w:b/>
                <w:color w:val="FFFFFF"/>
                <w:sz w:val="17"/>
              </w:rPr>
              <w:t>Replace</w:t>
            </w:r>
          </w:p>
        </w:tc>
        <w:tc>
          <w:tcPr>
            <w:tcW w:type="dxa" w:w="1050"/>
            <w:tcMar>
              <w:top w:w="90" w:type="dxa"/>
              <w:start w:w="120" w:type="dxa"/>
              <w:bottom w:w="90" w:type="dxa"/>
              <w:end w:w="120" w:type="dxa"/>
            </w:tcMar>
            <w:vAlign w:val="center"/>
            <w:shd w:fill="16324F"/>
          </w:tcPr>
          <w:p>
            <w:r>
              <w:rPr>
                <w:b/>
                <w:color w:val="FFFFFF"/>
                <w:sz w:val="17"/>
              </w:rPr>
              <w:t>Delete</w:t>
            </w:r>
          </w:p>
        </w:tc>
        <w:tc>
          <w:tcPr>
            <w:tcW w:type="dxa" w:w="1050"/>
            <w:tcMar>
              <w:top w:w="90" w:type="dxa"/>
              <w:start w:w="120" w:type="dxa"/>
              <w:bottom w:w="90" w:type="dxa"/>
              <w:end w:w="120" w:type="dxa"/>
            </w:tcMar>
            <w:vAlign w:val="center"/>
            <w:shd w:fill="16324F"/>
          </w:tcPr>
          <w:p>
            <w:r>
              <w:rPr>
                <w:b/>
                <w:color w:val="FFFFFF"/>
                <w:sz w:val="17"/>
              </w:rPr>
              <w:t>Restore</w:t>
            </w:r>
          </w:p>
        </w:tc>
        <w:tc>
          <w:tcPr>
            <w:tcW w:type="dxa" w:w="1560"/>
            <w:tcMar>
              <w:top w:w="90" w:type="dxa"/>
              <w:start w:w="120" w:type="dxa"/>
              <w:bottom w:w="90" w:type="dxa"/>
              <w:end w:w="120" w:type="dxa"/>
            </w:tcMar>
            <w:vAlign w:val="center"/>
            <w:shd w:fill="16324F"/>
          </w:tcPr>
          <w:p>
            <w:r>
              <w:rPr>
                <w:b/>
                <w:color w:val="FFFFFF"/>
                <w:sz w:val="17"/>
              </w:rPr>
              <w:t>Purge</w:t>
            </w:r>
          </w:p>
        </w:tc>
      </w:tr>
      <w:tr>
        <w:tc>
          <w:tcPr>
            <w:tcW w:type="dxa" w:w="1800"/>
          </w:tcPr>
          <w:p>
            <w:pPr>
              <w:jc w:val="left"/>
            </w:pPr>
            <w:r>
              <w:rPr>
                <w:sz w:val="16"/>
              </w:rPr>
              <w:t>Administrator</w:t>
            </w:r>
          </w:p>
        </w:tc>
        <w:tc>
          <w:tcPr>
            <w:tcW w:type="dxa" w:w="900"/>
          </w:tcPr>
          <w:p>
            <w:pPr>
              <w:jc w:val="center"/>
            </w:pPr>
            <w:r>
              <w:rPr>
                <w:sz w:val="16"/>
              </w:rPr>
              <w:t>Yes</w:t>
            </w:r>
          </w:p>
        </w:tc>
        <w:tc>
          <w:tcPr>
            <w:tcW w:type="dxa" w:w="900"/>
          </w:tcPr>
          <w:p>
            <w:pPr>
              <w:jc w:val="center"/>
            </w:pPr>
            <w:r>
              <w:rPr>
                <w:sz w:val="16"/>
              </w:rPr>
              <w:t>Yes</w:t>
            </w:r>
          </w:p>
        </w:tc>
        <w:tc>
          <w:tcPr>
            <w:tcW w:type="dxa" w:w="1050"/>
          </w:tcPr>
          <w:p>
            <w:pPr>
              <w:jc w:val="center"/>
            </w:pPr>
            <w:r>
              <w:rPr>
                <w:sz w:val="16"/>
              </w:rPr>
              <w:t>Yes</w:t>
            </w:r>
          </w:p>
        </w:tc>
        <w:tc>
          <w:tcPr>
            <w:tcW w:type="dxa" w:w="1050"/>
          </w:tcPr>
          <w:p>
            <w:pPr>
              <w:jc w:val="center"/>
            </w:pPr>
            <w:r>
              <w:rPr>
                <w:sz w:val="16"/>
              </w:rPr>
              <w:t>Yes</w:t>
            </w:r>
          </w:p>
        </w:tc>
        <w:tc>
          <w:tcPr>
            <w:tcW w:type="dxa" w:w="1050"/>
          </w:tcPr>
          <w:p>
            <w:pPr>
              <w:jc w:val="center"/>
            </w:pPr>
            <w:r>
              <w:rPr>
                <w:sz w:val="16"/>
              </w:rPr>
              <w:t>Yes</w:t>
            </w:r>
          </w:p>
        </w:tc>
        <w:tc>
          <w:tcPr>
            <w:tcW w:type="dxa" w:w="1050"/>
          </w:tcPr>
          <w:p>
            <w:pPr>
              <w:jc w:val="center"/>
            </w:pPr>
            <w:r>
              <w:rPr>
                <w:sz w:val="16"/>
              </w:rPr>
              <w:t>Yes</w:t>
            </w:r>
          </w:p>
        </w:tc>
        <w:tc>
          <w:tcPr>
            <w:tcW w:type="dxa" w:w="1560"/>
          </w:tcPr>
          <w:p>
            <w:pPr>
              <w:jc w:val="center"/>
            </w:pPr>
            <w:r>
              <w:rPr>
                <w:sz w:val="16"/>
              </w:rPr>
              <w:t>Operator only</w:t>
            </w:r>
          </w:p>
        </w:tc>
      </w:tr>
      <w:tr>
        <w:tc>
          <w:tcPr>
            <w:tcW w:type="dxa" w:w="1800"/>
            <w:shd w:fill="F2F4F7"/>
          </w:tcPr>
          <w:p>
            <w:pPr>
              <w:jc w:val="left"/>
            </w:pPr>
            <w:r>
              <w:rPr>
                <w:sz w:val="16"/>
              </w:rPr>
              <w:t>Assigned Trainer</w:t>
            </w:r>
          </w:p>
        </w:tc>
        <w:tc>
          <w:tcPr>
            <w:tcW w:type="dxa" w:w="900"/>
            <w:shd w:fill="F2F4F7"/>
          </w:tcPr>
          <w:p>
            <w:pPr>
              <w:jc w:val="center"/>
            </w:pPr>
            <w:r>
              <w:rPr>
                <w:sz w:val="16"/>
              </w:rPr>
              <w:t>Yes</w:t>
            </w:r>
          </w:p>
        </w:tc>
        <w:tc>
          <w:tcPr>
            <w:tcW w:type="dxa" w:w="900"/>
            <w:shd w:fill="F2F4F7"/>
          </w:tcPr>
          <w:p>
            <w:pPr>
              <w:jc w:val="center"/>
            </w:pPr>
            <w:r>
              <w:rPr>
                <w:sz w:val="16"/>
              </w:rPr>
              <w:t>Yes</w:t>
            </w:r>
          </w:p>
        </w:tc>
        <w:tc>
          <w:tcPr>
            <w:tcW w:type="dxa" w:w="1050"/>
            <w:shd w:fill="F2F4F7"/>
          </w:tcPr>
          <w:p>
            <w:pPr>
              <w:jc w:val="center"/>
            </w:pPr>
            <w:r>
              <w:rPr>
                <w:sz w:val="16"/>
              </w:rPr>
              <w:t>Yes</w:t>
            </w:r>
          </w:p>
        </w:tc>
        <w:tc>
          <w:tcPr>
            <w:tcW w:type="dxa" w:w="1050"/>
            <w:shd w:fill="F2F4F7"/>
          </w:tcPr>
          <w:p>
            <w:pPr>
              <w:jc w:val="center"/>
            </w:pPr>
            <w:r>
              <w:rPr>
                <w:sz w:val="16"/>
              </w:rPr>
              <w:t>Yes</w:t>
            </w:r>
          </w:p>
        </w:tc>
        <w:tc>
          <w:tcPr>
            <w:tcW w:type="dxa" w:w="1050"/>
            <w:shd w:fill="F2F4F7"/>
          </w:tcPr>
          <w:p>
            <w:pPr>
              <w:jc w:val="center"/>
            </w:pPr>
            <w:r>
              <w:rPr>
                <w:sz w:val="16"/>
              </w:rPr>
              <w:t>Yes</w:t>
            </w:r>
          </w:p>
        </w:tc>
        <w:tc>
          <w:tcPr>
            <w:tcW w:type="dxa" w:w="1050"/>
            <w:shd w:fill="F2F4F7"/>
          </w:tcPr>
          <w:p>
            <w:pPr>
              <w:jc w:val="center"/>
            </w:pPr>
            <w:r>
              <w:rPr>
                <w:sz w:val="16"/>
              </w:rPr>
              <w:t>Request/Admin</w:t>
            </w:r>
          </w:p>
        </w:tc>
        <w:tc>
          <w:tcPr>
            <w:tcW w:type="dxa" w:w="1560"/>
            <w:shd w:fill="F2F4F7"/>
          </w:tcPr>
          <w:p>
            <w:pPr>
              <w:jc w:val="center"/>
            </w:pPr>
            <w:r>
              <w:rPr>
                <w:sz w:val="16"/>
              </w:rPr>
              <w:t>No</w:t>
            </w:r>
          </w:p>
        </w:tc>
      </w:tr>
      <w:tr>
        <w:tc>
          <w:tcPr>
            <w:tcW w:type="dxa" w:w="1800"/>
          </w:tcPr>
          <w:p>
            <w:pPr>
              <w:jc w:val="left"/>
            </w:pPr>
            <w:r>
              <w:rPr>
                <w:sz w:val="16"/>
              </w:rPr>
              <w:t>Assigned Stable Staff</w:t>
            </w:r>
          </w:p>
        </w:tc>
        <w:tc>
          <w:tcPr>
            <w:tcW w:type="dxa" w:w="900"/>
          </w:tcPr>
          <w:p>
            <w:pPr>
              <w:jc w:val="center"/>
            </w:pPr>
            <w:r>
              <w:rPr>
                <w:sz w:val="16"/>
              </w:rPr>
              <w:t>Yes</w:t>
            </w:r>
          </w:p>
        </w:tc>
        <w:tc>
          <w:tcPr>
            <w:tcW w:type="dxa" w:w="900"/>
          </w:tcPr>
          <w:p>
            <w:pPr>
              <w:jc w:val="center"/>
            </w:pPr>
            <w:r>
              <w:rPr>
                <w:sz w:val="16"/>
              </w:rPr>
              <w:t>Yes</w:t>
            </w:r>
          </w:p>
        </w:tc>
        <w:tc>
          <w:tcPr>
            <w:tcW w:type="dxa" w:w="1050"/>
          </w:tcPr>
          <w:p>
            <w:pPr>
              <w:jc w:val="center"/>
            </w:pPr>
            <w:r>
              <w:rPr>
                <w:sz w:val="16"/>
              </w:rPr>
              <w:t>Yes</w:t>
            </w:r>
          </w:p>
        </w:tc>
        <w:tc>
          <w:tcPr>
            <w:tcW w:type="dxa" w:w="1050"/>
          </w:tcPr>
          <w:p>
            <w:pPr>
              <w:jc w:val="center"/>
            </w:pPr>
            <w:r>
              <w:rPr>
                <w:sz w:val="16"/>
              </w:rPr>
              <w:t>Own pending only</w:t>
            </w:r>
          </w:p>
        </w:tc>
        <w:tc>
          <w:tcPr>
            <w:tcW w:type="dxa" w:w="1050"/>
          </w:tcPr>
          <w:p>
            <w:pPr>
              <w:jc w:val="center"/>
            </w:pPr>
            <w:r>
              <w:rPr>
                <w:sz w:val="16"/>
              </w:rPr>
              <w:t>No</w:t>
            </w:r>
          </w:p>
        </w:tc>
        <w:tc>
          <w:tcPr>
            <w:tcW w:type="dxa" w:w="1050"/>
          </w:tcPr>
          <w:p>
            <w:pPr>
              <w:jc w:val="center"/>
            </w:pPr>
            <w:r>
              <w:rPr>
                <w:sz w:val="16"/>
              </w:rPr>
              <w:t>No</w:t>
            </w:r>
          </w:p>
        </w:tc>
        <w:tc>
          <w:tcPr>
            <w:tcW w:type="dxa" w:w="1560"/>
          </w:tcPr>
          <w:p>
            <w:pPr>
              <w:jc w:val="center"/>
            </w:pPr>
            <w:r>
              <w:rPr>
                <w:sz w:val="16"/>
              </w:rPr>
              <w:t>No</w:t>
            </w:r>
          </w:p>
        </w:tc>
      </w:tr>
      <w:tr>
        <w:tc>
          <w:tcPr>
            <w:tcW w:type="dxa" w:w="1800"/>
            <w:shd w:fill="F2F4F7"/>
          </w:tcPr>
          <w:p>
            <w:pPr>
              <w:jc w:val="left"/>
            </w:pPr>
            <w:r>
              <w:rPr>
                <w:sz w:val="16"/>
              </w:rPr>
              <w:t>Assigned Veterinarian</w:t>
            </w:r>
          </w:p>
        </w:tc>
        <w:tc>
          <w:tcPr>
            <w:tcW w:type="dxa" w:w="900"/>
            <w:shd w:fill="F2F4F7"/>
          </w:tcPr>
          <w:p>
            <w:pPr>
              <w:jc w:val="center"/>
            </w:pPr>
            <w:r>
              <w:rPr>
                <w:sz w:val="16"/>
              </w:rPr>
              <w:t>No</w:t>
            </w:r>
          </w:p>
        </w:tc>
        <w:tc>
          <w:tcPr>
            <w:tcW w:type="dxa" w:w="900"/>
            <w:shd w:fill="F2F4F7"/>
          </w:tcPr>
          <w:p>
            <w:pPr>
              <w:jc w:val="center"/>
            </w:pPr>
            <w:r>
              <w:rPr>
                <w:sz w:val="16"/>
              </w:rPr>
              <w:t>Yes</w:t>
            </w:r>
          </w:p>
        </w:tc>
        <w:tc>
          <w:tcPr>
            <w:tcW w:type="dxa" w:w="1050"/>
            <w:shd w:fill="F2F4F7"/>
          </w:tcPr>
          <w:p>
            <w:pPr>
              <w:jc w:val="center"/>
            </w:pPr>
            <w:r>
              <w:rPr>
                <w:sz w:val="16"/>
              </w:rPr>
              <w:t>Yes</w:t>
            </w:r>
          </w:p>
        </w:tc>
        <w:tc>
          <w:tcPr>
            <w:tcW w:type="dxa" w:w="1050"/>
            <w:shd w:fill="F2F4F7"/>
          </w:tcPr>
          <w:p>
            <w:pPr>
              <w:jc w:val="center"/>
            </w:pPr>
            <w:r>
              <w:rPr>
                <w:sz w:val="16"/>
              </w:rPr>
              <w:t>No</w:t>
            </w:r>
          </w:p>
        </w:tc>
        <w:tc>
          <w:tcPr>
            <w:tcW w:type="dxa" w:w="1050"/>
            <w:shd w:fill="F2F4F7"/>
          </w:tcPr>
          <w:p>
            <w:pPr>
              <w:jc w:val="center"/>
            </w:pPr>
            <w:r>
              <w:rPr>
                <w:sz w:val="16"/>
              </w:rPr>
              <w:t>No</w:t>
            </w:r>
          </w:p>
        </w:tc>
        <w:tc>
          <w:tcPr>
            <w:tcW w:type="dxa" w:w="1050"/>
            <w:shd w:fill="F2F4F7"/>
          </w:tcPr>
          <w:p>
            <w:pPr>
              <w:jc w:val="center"/>
            </w:pPr>
            <w:r>
              <w:rPr>
                <w:sz w:val="16"/>
              </w:rPr>
              <w:t>No</w:t>
            </w:r>
          </w:p>
        </w:tc>
        <w:tc>
          <w:tcPr>
            <w:tcW w:type="dxa" w:w="1560"/>
            <w:shd w:fill="F2F4F7"/>
          </w:tcPr>
          <w:p>
            <w:pPr>
              <w:jc w:val="center"/>
            </w:pPr>
            <w:r>
              <w:rPr>
                <w:sz w:val="16"/>
              </w:rPr>
              <w:t>No</w:t>
            </w:r>
          </w:p>
        </w:tc>
      </w:tr>
      <w:tr>
        <w:tc>
          <w:tcPr>
            <w:tcW w:type="dxa" w:w="1800"/>
          </w:tcPr>
          <w:p>
            <w:pPr>
              <w:jc w:val="left"/>
            </w:pPr>
            <w:r>
              <w:rPr>
                <w:sz w:val="16"/>
              </w:rPr>
              <w:t>Assigned Owner</w:t>
            </w:r>
          </w:p>
        </w:tc>
        <w:tc>
          <w:tcPr>
            <w:tcW w:type="dxa" w:w="900"/>
          </w:tcPr>
          <w:p>
            <w:pPr>
              <w:jc w:val="center"/>
            </w:pPr>
            <w:r>
              <w:rPr>
                <w:sz w:val="16"/>
              </w:rPr>
              <w:t>No</w:t>
            </w:r>
          </w:p>
        </w:tc>
        <w:tc>
          <w:tcPr>
            <w:tcW w:type="dxa" w:w="900"/>
          </w:tcPr>
          <w:p>
            <w:pPr>
              <w:jc w:val="center"/>
            </w:pPr>
            <w:r>
              <w:rPr>
                <w:sz w:val="16"/>
              </w:rPr>
              <w:t>Yes</w:t>
            </w:r>
          </w:p>
        </w:tc>
        <w:tc>
          <w:tcPr>
            <w:tcW w:type="dxa" w:w="1050"/>
          </w:tcPr>
          <w:p>
            <w:pPr>
              <w:jc w:val="center"/>
            </w:pPr>
            <w:r>
              <w:rPr>
                <w:sz w:val="16"/>
              </w:rPr>
              <w:t>Yes</w:t>
            </w:r>
          </w:p>
        </w:tc>
        <w:tc>
          <w:tcPr>
            <w:tcW w:type="dxa" w:w="1050"/>
          </w:tcPr>
          <w:p>
            <w:pPr>
              <w:jc w:val="center"/>
            </w:pPr>
            <w:r>
              <w:rPr>
                <w:sz w:val="16"/>
              </w:rPr>
              <w:t>No</w:t>
            </w:r>
          </w:p>
        </w:tc>
        <w:tc>
          <w:tcPr>
            <w:tcW w:type="dxa" w:w="1050"/>
          </w:tcPr>
          <w:p>
            <w:pPr>
              <w:jc w:val="center"/>
            </w:pPr>
            <w:r>
              <w:rPr>
                <w:sz w:val="16"/>
              </w:rPr>
              <w:t>No</w:t>
            </w:r>
          </w:p>
        </w:tc>
        <w:tc>
          <w:tcPr>
            <w:tcW w:type="dxa" w:w="1050"/>
          </w:tcPr>
          <w:p>
            <w:pPr>
              <w:jc w:val="center"/>
            </w:pPr>
            <w:r>
              <w:rPr>
                <w:sz w:val="16"/>
              </w:rPr>
              <w:t>No</w:t>
            </w:r>
          </w:p>
        </w:tc>
        <w:tc>
          <w:tcPr>
            <w:tcW w:type="dxa" w:w="1560"/>
          </w:tcPr>
          <w:p>
            <w:pPr>
              <w:jc w:val="center"/>
            </w:pPr>
            <w:r>
              <w:rPr>
                <w:sz w:val="16"/>
              </w:rPr>
              <w:t>No</w:t>
            </w:r>
          </w:p>
        </w:tc>
      </w:tr>
      <w:tr>
        <w:tc>
          <w:tcPr>
            <w:tcW w:type="dxa" w:w="1800"/>
            <w:shd w:fill="F2F4F7"/>
          </w:tcPr>
          <w:p>
            <w:pPr>
              <w:jc w:val="left"/>
            </w:pPr>
            <w:r>
              <w:rPr>
                <w:sz w:val="16"/>
              </w:rPr>
              <w:t>Assigned read-only consultant</w:t>
            </w:r>
          </w:p>
        </w:tc>
        <w:tc>
          <w:tcPr>
            <w:tcW w:type="dxa" w:w="900"/>
            <w:shd w:fill="F2F4F7"/>
          </w:tcPr>
          <w:p>
            <w:pPr>
              <w:jc w:val="center"/>
            </w:pPr>
            <w:r>
              <w:rPr>
                <w:sz w:val="16"/>
              </w:rPr>
              <w:t>No</w:t>
            </w:r>
          </w:p>
        </w:tc>
        <w:tc>
          <w:tcPr>
            <w:tcW w:type="dxa" w:w="900"/>
            <w:shd w:fill="F2F4F7"/>
          </w:tcPr>
          <w:p>
            <w:pPr>
              <w:jc w:val="center"/>
            </w:pPr>
            <w:r>
              <w:rPr>
                <w:sz w:val="16"/>
              </w:rPr>
              <w:t>Yes</w:t>
            </w:r>
          </w:p>
        </w:tc>
        <w:tc>
          <w:tcPr>
            <w:tcW w:type="dxa" w:w="1050"/>
            <w:shd w:fill="F2F4F7"/>
          </w:tcPr>
          <w:p>
            <w:pPr>
              <w:jc w:val="center"/>
            </w:pPr>
            <w:r>
              <w:rPr>
                <w:sz w:val="16"/>
              </w:rPr>
              <w:t>If authorised</w:t>
            </w:r>
          </w:p>
        </w:tc>
        <w:tc>
          <w:tcPr>
            <w:tcW w:type="dxa" w:w="1050"/>
            <w:shd w:fill="F2F4F7"/>
          </w:tcPr>
          <w:p>
            <w:pPr>
              <w:jc w:val="center"/>
            </w:pPr>
            <w:r>
              <w:rPr>
                <w:sz w:val="16"/>
              </w:rPr>
              <w:t>No</w:t>
            </w:r>
          </w:p>
        </w:tc>
        <w:tc>
          <w:tcPr>
            <w:tcW w:type="dxa" w:w="1050"/>
            <w:shd w:fill="F2F4F7"/>
          </w:tcPr>
          <w:p>
            <w:pPr>
              <w:jc w:val="center"/>
            </w:pPr>
            <w:r>
              <w:rPr>
                <w:sz w:val="16"/>
              </w:rPr>
              <w:t>No</w:t>
            </w:r>
          </w:p>
        </w:tc>
        <w:tc>
          <w:tcPr>
            <w:tcW w:type="dxa" w:w="1050"/>
            <w:shd w:fill="F2F4F7"/>
          </w:tcPr>
          <w:p>
            <w:pPr>
              <w:jc w:val="center"/>
            </w:pPr>
            <w:r>
              <w:rPr>
                <w:sz w:val="16"/>
              </w:rPr>
              <w:t>No</w:t>
            </w:r>
          </w:p>
        </w:tc>
        <w:tc>
          <w:tcPr>
            <w:tcW w:type="dxa" w:w="1560"/>
            <w:shd w:fill="F2F4F7"/>
          </w:tcPr>
          <w:p>
            <w:pPr>
              <w:jc w:val="center"/>
            </w:pPr>
            <w:r>
              <w:rPr>
                <w:sz w:val="16"/>
              </w:rPr>
              <w:t>No</w:t>
            </w:r>
          </w:p>
        </w:tc>
      </w:tr>
      <w:tr>
        <w:tc>
          <w:tcPr>
            <w:tcW w:type="dxa" w:w="1800"/>
          </w:tcPr>
          <w:p>
            <w:pPr>
              <w:jc w:val="left"/>
            </w:pPr>
            <w:r>
              <w:rPr>
                <w:sz w:val="16"/>
              </w:rPr>
              <w:t>Anonymous/inactive/revoked</w:t>
            </w:r>
          </w:p>
        </w:tc>
        <w:tc>
          <w:tcPr>
            <w:tcW w:type="dxa" w:w="900"/>
          </w:tcPr>
          <w:p>
            <w:pPr>
              <w:jc w:val="center"/>
            </w:pPr>
            <w:r>
              <w:rPr>
                <w:sz w:val="16"/>
              </w:rPr>
              <w:t>No</w:t>
            </w:r>
          </w:p>
        </w:tc>
        <w:tc>
          <w:tcPr>
            <w:tcW w:type="dxa" w:w="900"/>
          </w:tcPr>
          <w:p>
            <w:pPr>
              <w:jc w:val="center"/>
            </w:pPr>
            <w:r>
              <w:rPr>
                <w:sz w:val="16"/>
              </w:rPr>
              <w:t>No</w:t>
            </w:r>
          </w:p>
        </w:tc>
        <w:tc>
          <w:tcPr>
            <w:tcW w:type="dxa" w:w="1050"/>
          </w:tcPr>
          <w:p>
            <w:pPr>
              <w:jc w:val="center"/>
            </w:pPr>
            <w:r>
              <w:rPr>
                <w:sz w:val="16"/>
              </w:rPr>
              <w:t>No</w:t>
            </w:r>
          </w:p>
        </w:tc>
        <w:tc>
          <w:tcPr>
            <w:tcW w:type="dxa" w:w="1050"/>
          </w:tcPr>
          <w:p>
            <w:pPr>
              <w:jc w:val="center"/>
            </w:pPr>
            <w:r>
              <w:rPr>
                <w:sz w:val="16"/>
              </w:rPr>
              <w:t>No</w:t>
            </w:r>
          </w:p>
        </w:tc>
        <w:tc>
          <w:tcPr>
            <w:tcW w:type="dxa" w:w="1050"/>
          </w:tcPr>
          <w:p>
            <w:pPr>
              <w:jc w:val="center"/>
            </w:pPr>
            <w:r>
              <w:rPr>
                <w:sz w:val="16"/>
              </w:rPr>
              <w:t>No</w:t>
            </w:r>
          </w:p>
        </w:tc>
        <w:tc>
          <w:tcPr>
            <w:tcW w:type="dxa" w:w="1050"/>
          </w:tcPr>
          <w:p>
            <w:pPr>
              <w:jc w:val="center"/>
            </w:pPr>
            <w:r>
              <w:rPr>
                <w:sz w:val="16"/>
              </w:rPr>
              <w:t>No</w:t>
            </w:r>
          </w:p>
        </w:tc>
        <w:tc>
          <w:tcPr>
            <w:tcW w:type="dxa" w:w="1560"/>
          </w:tcPr>
          <w:p>
            <w:pPr>
              <w:jc w:val="center"/>
            </w:pPr>
            <w:r>
              <w:rPr>
                <w:sz w:val="16"/>
              </w:rPr>
              <w:t>No</w:t>
            </w:r>
          </w:p>
        </w:tc>
      </w:tr>
    </w:tbl>
    <w:p>
      <w:pPr>
        <w:pStyle w:val="Heading2"/>
        <w:keepNext/>
      </w:pPr>
      <w:r>
        <w:rPr>
          <w:rFonts w:ascii="Calibri" w:hAnsi="Calibri"/>
        </w:rPr>
        <w:t>8. Assignment and access conditions</w:t>
      </w:r>
    </w:p>
    <w:p>
      <w:pPr>
        <w:keepLines/>
      </w:pPr>
      <w:r>
        <w:rPr>
          <w:rFonts w:ascii="Calibri" w:hAnsi="Calibri"/>
          <w:b/>
          <w:color w:val="16324F"/>
        </w:rPr>
        <w:t xml:space="preserve">Question: </w:t>
      </w:r>
      <w:r>
        <w:rPr>
          <w:rFonts w:ascii="Calibri" w:hAnsi="Calibri"/>
        </w:rPr>
        <w:t>Under what conditions may Stable Staff, Veterinarians, Owners and consultants access evidence?</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Access requires an active authenticated account, active stable membership, a current authorised relationship to the horse, permission to access the underlying test and a fresh server-side authorisation check. Stable Staff may upload but not delete. Veterinarians and Owners are read-only. Consultant access must be expressly assigned.</w:t>
      </w:r>
    </w:p>
    <w:p>
      <w:pPr>
        <w:spacing w:after="40"/>
      </w:pPr>
      <w:r>
        <w:rPr>
          <w:rFonts w:ascii="Calibri" w:hAnsi="Calibri"/>
          <w:b/>
          <w:color w:val="16324F"/>
        </w:rPr>
        <w:t>Implementation controls</w:t>
      </w:r>
    </w:p>
    <w:p>
      <w:pPr>
        <w:pStyle w:val="ListBullet"/>
      </w:pPr>
      <w:r>
        <w:rPr>
          <w:rFonts w:ascii="Calibri" w:hAnsi="Calibri"/>
        </w:rPr>
        <w:t>Access ends when account, membership or assignment authority is revoked.</w:t>
      </w:r>
    </w:p>
    <w:p>
      <w:pPr>
        <w:pStyle w:val="ListBullet"/>
      </w:pPr>
      <w:r>
        <w:rPr>
          <w:rFonts w:ascii="Calibri" w:hAnsi="Calibri"/>
        </w:rPr>
        <w:t>Anonymous, inactive, suspended and cross-stable access is denied.</w:t>
      </w:r>
    </w:p>
    <w:p>
      <w:pPr>
        <w:pStyle w:val="Heading1"/>
        <w:keepNext/>
      </w:pPr>
      <w:r>
        <w:rPr>
          <w:rFonts w:ascii="Calibri" w:hAnsi="Calibri"/>
        </w:rPr>
        <w:t>C. Retention, deletion and audit</w:t>
      </w:r>
    </w:p>
    <w:p>
      <w:pPr>
        <w:pStyle w:val="Heading2"/>
        <w:keepNext/>
      </w:pPr>
      <w:r>
        <w:rPr>
          <w:rFonts w:ascii="Calibri" w:hAnsi="Calibri"/>
        </w:rPr>
        <w:t>9. Retention</w:t>
      </w:r>
    </w:p>
    <w:p>
      <w:pPr>
        <w:keepLines/>
      </w:pPr>
      <w:r>
        <w:rPr>
          <w:rFonts w:ascii="Calibri" w:hAnsi="Calibri"/>
          <w:b/>
          <w:color w:val="16324F"/>
        </w:rPr>
        <w:t xml:space="preserve">Question: </w:t>
      </w:r>
      <w:r>
        <w:rPr>
          <w:rFonts w:ascii="Calibri" w:hAnsi="Calibri"/>
        </w:rPr>
        <w:t>How long should evidence be retained, and when should it be reviewed?</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Aprec8 will retain horse evidence for as long as it considers operationally necessary for evaluating and monitoring horses in training and providing the associated service. Aprec8 will periodically review retained evidence and may delete evidence that is obsolete, no longer operationally useful or no longer connected to an active service relationship.</w:t>
      </w:r>
    </w:p>
    <w:p>
      <w:pPr>
        <w:spacing w:after="40"/>
      </w:pPr>
      <w:r>
        <w:rPr>
          <w:rFonts w:ascii="Calibri" w:hAnsi="Calibri"/>
          <w:b/>
          <w:color w:val="16324F"/>
        </w:rPr>
        <w:t>Implementation controls</w:t>
      </w:r>
    </w:p>
    <w:p>
      <w:pPr>
        <w:pStyle w:val="ListBullet"/>
      </w:pPr>
      <w:r>
        <w:rPr>
          <w:rFonts w:ascii="Calibri" w:hAnsi="Calibri"/>
        </w:rPr>
        <w:t>Preserve evidence required for an investigation, dispute, legal obligation or documented operational hold.</w:t>
      </w:r>
    </w:p>
    <w:p>
      <w:pPr>
        <w:pStyle w:val="ListBullet"/>
      </w:pPr>
      <w:r>
        <w:rPr>
          <w:rFonts w:ascii="Calibri" w:hAnsi="Calibri"/>
        </w:rPr>
        <w:t>Review the retention position if files contain information about identifiable people.</w:t>
      </w:r>
    </w:p>
    <w:p>
      <w:pPr>
        <w:pStyle w:val="Heading2"/>
        <w:keepNext/>
      </w:pPr>
      <w:r>
        <w:rPr>
          <w:rFonts w:ascii="Calibri" w:hAnsi="Calibri"/>
        </w:rPr>
        <w:t>10. Deletion, recovery, purge and holds</w:t>
      </w:r>
    </w:p>
    <w:p>
      <w:pPr>
        <w:keepLines/>
      </w:pPr>
      <w:r>
        <w:rPr>
          <w:rFonts w:ascii="Calibri" w:hAnsi="Calibri"/>
          <w:b/>
          <w:color w:val="16324F"/>
        </w:rPr>
        <w:t xml:space="preserve">Question: </w:t>
      </w:r>
      <w:r>
        <w:rPr>
          <w:rFonts w:ascii="Calibri" w:hAnsi="Calibri"/>
        </w:rPr>
        <w:t>What deletion lifecycle applies?</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Soft-delete immediately; hide deleted evidence from ordinary users; permit administrator restoration for 30 days; then permanently purge object bytes and metadata. Preserve only a minimal non-content audit record after purge. A documented legal or operational hold suspends purge.</w:t>
      </w:r>
    </w:p>
    <w:p>
      <w:pPr>
        <w:spacing w:after="40"/>
      </w:pPr>
      <w:r>
        <w:rPr>
          <w:rFonts w:ascii="Calibri" w:hAnsi="Calibri"/>
          <w:b/>
          <w:color w:val="16324F"/>
        </w:rPr>
        <w:t>Implementation controls</w:t>
      </w:r>
    </w:p>
    <w:p>
      <w:pPr>
        <w:pStyle w:val="ListBullet"/>
      </w:pPr>
      <w:r>
        <w:rPr>
          <w:rFonts w:ascii="Calibri" w:hAnsi="Calibri"/>
        </w:rPr>
        <w:t>Only an authorised administrator may create or release a hold.</w:t>
      </w:r>
    </w:p>
    <w:p>
      <w:pPr>
        <w:pStyle w:val="ListBullet"/>
      </w:pPr>
      <w:r>
        <w:rPr>
          <w:rFonts w:ascii="Calibri" w:hAnsi="Calibri"/>
        </w:rPr>
        <w:t>Record hold reason, owner, start date and review date.</w:t>
      </w:r>
    </w:p>
    <w:p>
      <w:pPr>
        <w:pStyle w:val="Heading2"/>
        <w:keepNext/>
      </w:pPr>
      <w:r>
        <w:rPr>
          <w:rFonts w:ascii="Calibri" w:hAnsi="Calibri"/>
        </w:rPr>
        <w:t>11. Audit requirements</w:t>
      </w:r>
    </w:p>
    <w:p>
      <w:pPr>
        <w:keepLines/>
      </w:pPr>
      <w:r>
        <w:rPr>
          <w:rFonts w:ascii="Calibri" w:hAnsi="Calibri"/>
          <w:b/>
          <w:color w:val="16324F"/>
        </w:rPr>
        <w:t xml:space="preserve">Question: </w:t>
      </w:r>
      <w:r>
        <w:rPr>
          <w:rFonts w:ascii="Calibri" w:hAnsi="Calibri"/>
        </w:rPr>
        <w:t>Which events and fields must be audited, and who may review the audit?</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Audit upload requested/succeeded/failed/blocked, view, download, replacement, soft deletion, restoration, purge, hold creation/release, authorisation denial, and orphan detection/cleanup. Record event type, evidence/test identifier, acting user, authorised role, timestamp, outcome and safe reason code.</w:t>
      </w:r>
    </w:p>
    <w:p>
      <w:pPr>
        <w:spacing w:after="40"/>
      </w:pPr>
      <w:r>
        <w:rPr>
          <w:rFonts w:ascii="Calibri" w:hAnsi="Calibri"/>
          <w:b/>
          <w:color w:val="16324F"/>
        </w:rPr>
        <w:t>Implementation controls</w:t>
      </w:r>
    </w:p>
    <w:p>
      <w:pPr>
        <w:pStyle w:val="ListBullet"/>
      </w:pPr>
      <w:r>
        <w:rPr>
          <w:rFonts w:ascii="Calibri" w:hAnsi="Calibri"/>
        </w:rPr>
        <w:t>Do not record file contents, signed URLs, secrets, raw object paths or unnecessary personal information.</w:t>
      </w:r>
    </w:p>
    <w:p>
      <w:pPr>
        <w:pStyle w:val="ListBullet"/>
      </w:pPr>
      <w:r>
        <w:rPr>
          <w:rFonts w:ascii="Calibri" w:hAnsi="Calibri"/>
        </w:rPr>
        <w:t>Administrators may review full audit history; Trainers may see an appropriate activity history for authorised horses; other roles receive no raw audit access.</w:t>
      </w:r>
    </w:p>
    <w:p>
      <w:pPr>
        <w:pStyle w:val="Heading1"/>
        <w:keepNext/>
      </w:pPr>
      <w:r>
        <w:rPr>
          <w:rFonts w:ascii="Calibri" w:hAnsi="Calibri"/>
        </w:rPr>
        <w:t>D. Storage and secure delivery</w:t>
      </w:r>
    </w:p>
    <w:p>
      <w:pPr>
        <w:pStyle w:val="Heading2"/>
        <w:keepNext/>
      </w:pPr>
      <w:r>
        <w:rPr>
          <w:rFonts w:ascii="Calibri" w:hAnsi="Calibri"/>
        </w:rPr>
        <w:t>12. Storage region and international operation</w:t>
      </w:r>
    </w:p>
    <w:p>
      <w:pPr>
        <w:keepLines/>
      </w:pPr>
      <w:r>
        <w:rPr>
          <w:rFonts w:ascii="Calibri" w:hAnsi="Calibri"/>
          <w:b/>
          <w:color w:val="16324F"/>
        </w:rPr>
        <w:t xml:space="preserve">Question: </w:t>
      </w:r>
      <w:r>
        <w:rPr>
          <w:rFonts w:ascii="Calibri" w:hAnsi="Calibri"/>
        </w:rPr>
        <w:t>Where must evidence be stored?</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Primary evidence and metadata will initially be stored in Australia, using the existing Australian Supabase region if it satisfies Aprec8's contractual requirements. This decision must be reviewed if Aprec8 operates or stores evidence outside Australia.</w:t>
      </w:r>
    </w:p>
    <w:p>
      <w:pPr>
        <w:spacing w:after="40"/>
      </w:pPr>
      <w:r>
        <w:rPr>
          <w:rFonts w:ascii="Calibri" w:hAnsi="Calibri"/>
          <w:b/>
          <w:color w:val="16324F"/>
        </w:rPr>
        <w:t>Implementation controls</w:t>
      </w:r>
    </w:p>
    <w:p>
      <w:pPr>
        <w:pStyle w:val="ListBullet"/>
      </w:pPr>
      <w:r>
        <w:rPr>
          <w:rFonts w:ascii="Calibri" w:hAnsi="Calibri"/>
        </w:rPr>
        <w:t>Review destination country, provider region, subprocessors, backups, overseas personnel access and customer contracts before any change.</w:t>
      </w:r>
    </w:p>
    <w:p>
      <w:pPr>
        <w:pStyle w:val="ListBullet"/>
      </w:pPr>
      <w:r>
        <w:rPr>
          <w:rFonts w:ascii="Calibri" w:hAnsi="Calibri"/>
        </w:rPr>
        <w:t>Do not silently move existing evidence to another region.</w:t>
      </w:r>
    </w:p>
    <w:p>
      <w:pPr>
        <w:pStyle w:val="Heading2"/>
        <w:keepNext/>
      </w:pPr>
      <w:r>
        <w:rPr>
          <w:rFonts w:ascii="Calibri" w:hAnsi="Calibri"/>
        </w:rPr>
        <w:t>13. Private downloads and signed URLs</w:t>
      </w:r>
    </w:p>
    <w:p>
      <w:pPr>
        <w:keepLines/>
      </w:pPr>
      <w:r>
        <w:rPr>
          <w:rFonts w:ascii="Calibri" w:hAnsi="Calibri"/>
          <w:b/>
          <w:color w:val="16324F"/>
        </w:rPr>
        <w:t xml:space="preserve">Question: </w:t>
      </w:r>
      <w:r>
        <w:rPr>
          <w:rFonts w:ascii="Calibri" w:hAnsi="Calibri"/>
        </w:rPr>
        <w:t>How should authorised users receive files?</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Use a private Storage bucket and server-generated signed URLs valid for 60 seconds. Create a URL only after a fresh server-side check that the user may access the stable, horse and test.</w:t>
      </w:r>
    </w:p>
    <w:p>
      <w:pPr>
        <w:keepLines/>
      </w:pPr>
      <w:r>
        <w:rPr>
          <w:rFonts w:ascii="Calibri" w:hAnsi="Calibri"/>
          <w:b/>
          <w:color w:val="16324F"/>
        </w:rPr>
        <w:t xml:space="preserve">Explanation: </w:t>
      </w:r>
      <w:r>
        <w:rPr>
          <w:rFonts w:ascii="Calibri" w:hAnsi="Calibri"/>
        </w:rPr>
        <w:t>A signed URL is a temporary link containing a cryptographic signature. It allows the browser to retrieve one private object without making the bucket public. Anyone who obtains the link may use it until expiry, so the lifetime is deliberately short. Expiry controls new requests; it does not normally interrupt a download that has already started.</w:t>
      </w:r>
    </w:p>
    <w:p>
      <w:pPr>
        <w:spacing w:after="40"/>
      </w:pPr>
      <w:r>
        <w:rPr>
          <w:rFonts w:ascii="Calibri" w:hAnsi="Calibri"/>
          <w:b/>
          <w:color w:val="16324F"/>
        </w:rPr>
        <w:t>Implementation controls</w:t>
      </w:r>
    </w:p>
    <w:p>
      <w:pPr>
        <w:pStyle w:val="ListBullet"/>
      </w:pPr>
      <w:r>
        <w:rPr>
          <w:rFonts w:ascii="Calibri" w:hAnsi="Calibri"/>
        </w:rPr>
        <w:t>Never persist or log signed URLs.</w:t>
      </w:r>
    </w:p>
    <w:p>
      <w:pPr>
        <w:pStyle w:val="ListBullet"/>
      </w:pPr>
      <w:r>
        <w:rPr>
          <w:rFonts w:ascii="Calibri" w:hAnsi="Calibri"/>
        </w:rPr>
        <w:t>Do not email them or generate them speculatively.</w:t>
      </w:r>
    </w:p>
    <w:p>
      <w:pPr>
        <w:pStyle w:val="ListBullet"/>
      </w:pPr>
      <w:r>
        <w:rPr>
          <w:rFonts w:ascii="Calibri" w:hAnsi="Calibri"/>
        </w:rPr>
        <w:t>Do not expose the raw Storage path.</w:t>
      </w:r>
    </w:p>
    <w:p>
      <w:pPr>
        <w:pStyle w:val="ListBullet"/>
      </w:pPr>
      <w:r>
        <w:rPr>
          <w:rFonts w:ascii="Calibri" w:hAnsi="Calibri"/>
        </w:rPr>
        <w:t>Account revocation prevents new links but may not invalidate a link already issued before its 60-second expiry.</w:t>
      </w:r>
    </w:p>
    <w:p>
      <w:pPr>
        <w:pStyle w:val="Heading2"/>
        <w:keepNext/>
      </w:pPr>
      <w:r>
        <w:rPr>
          <w:rFonts w:ascii="Calibri" w:hAnsi="Calibri"/>
        </w:rPr>
        <w:t>14. Malware and unsafe content</w:t>
      </w:r>
    </w:p>
    <w:p>
      <w:pPr>
        <w:keepLines/>
      </w:pPr>
      <w:r>
        <w:rPr>
          <w:rFonts w:ascii="Calibri" w:hAnsi="Calibri"/>
          <w:b/>
          <w:color w:val="16324F"/>
        </w:rPr>
        <w:t xml:space="preserve">Question: </w:t>
      </w:r>
      <w:r>
        <w:rPr>
          <w:rFonts w:ascii="Calibri" w:hAnsi="Calibri"/>
        </w:rPr>
        <w:t>How should unsafe, malformed, password-protected or abusive uploads be handled?</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Validate size, extension, MIME type and file signature; reject executable or malformed content and password-protected PDFs; keep evidence unavailable until malware scanning succeeds; quarantine or block failures; purge rejected temporary objects within 24 hours; rate-limit uploads; and escalate repeated abuse.</w:t>
      </w:r>
    </w:p>
    <w:p>
      <w:pPr>
        <w:spacing w:after="40"/>
      </w:pPr>
      <w:r>
        <w:rPr>
          <w:rFonts w:ascii="Calibri" w:hAnsi="Calibri"/>
          <w:b/>
          <w:color w:val="16324F"/>
        </w:rPr>
        <w:t>Implementation controls</w:t>
      </w:r>
    </w:p>
    <w:p>
      <w:pPr>
        <w:pStyle w:val="ListBullet"/>
      </w:pPr>
      <w:r>
        <w:rPr>
          <w:rFonts w:ascii="Calibri" w:hAnsi="Calibri"/>
        </w:rPr>
        <w:t>Select and approve the scanner or service during Sprint 023D.</w:t>
      </w:r>
    </w:p>
    <w:p>
      <w:pPr>
        <w:pStyle w:val="ListBullet"/>
      </w:pPr>
      <w:r>
        <w:rPr>
          <w:rFonts w:ascii="Calibri" w:hAnsi="Calibri"/>
        </w:rPr>
        <w:t>Do not silently add an external processor or paid service.</w:t>
      </w:r>
    </w:p>
    <w:p>
      <w:pPr>
        <w:pStyle w:val="ListBullet"/>
      </w:pPr>
      <w:r>
        <w:rPr>
          <w:rFonts w:ascii="Calibri" w:hAnsi="Calibri"/>
        </w:rPr>
        <w:t>Administrator review must not execute unsafe content.</w:t>
      </w:r>
    </w:p>
    <w:p>
      <w:pPr>
        <w:pStyle w:val="Heading2"/>
        <w:keepNext/>
      </w:pPr>
      <w:r>
        <w:rPr>
          <w:rFonts w:ascii="Calibri" w:hAnsi="Calibri"/>
        </w:rPr>
        <w:t>15. EXIF and embedded metadata</w:t>
      </w:r>
    </w:p>
    <w:p>
      <w:pPr>
        <w:keepLines/>
      </w:pPr>
      <w:r>
        <w:rPr>
          <w:rFonts w:ascii="Calibri" w:hAnsi="Calibri"/>
          <w:b/>
          <w:color w:val="16324F"/>
        </w:rPr>
        <w:t xml:space="preserve">Question: </w:t>
      </w:r>
      <w:r>
        <w:rPr>
          <w:rFonts w:ascii="Calibri" w:hAnsi="Calibri"/>
        </w:rPr>
        <w:t>Should hidden image and document metadata be stripped or preserved?</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Strip non-essential image metadata, including GPS coordinates, device identifiers, hidden thumbnails, author fields and editing history. Preserve only information needed for correct display, such as orientation. Reject encrypted or password-protected PDFs and validate PDFs for unsupported active or embedded content.</w:t>
      </w:r>
    </w:p>
    <w:p>
      <w:pPr>
        <w:keepLines/>
      </w:pPr>
      <w:r>
        <w:rPr>
          <w:rFonts w:ascii="Calibri" w:hAnsi="Calibri"/>
          <w:b/>
          <w:color w:val="16324F"/>
        </w:rPr>
        <w:t xml:space="preserve">Explanation: </w:t>
      </w:r>
      <w:r>
        <w:rPr>
          <w:rFonts w:ascii="Calibri" w:hAnsi="Calibri"/>
        </w:rPr>
        <w:t>A photograph of a horse can reveal the stable's exact GPS location, the phone model, capture time or author even when those details are not visible. PDFs may contain author names, comments, embedded attachments, scripts or old document information.</w:t>
      </w:r>
    </w:p>
    <w:p>
      <w:pPr>
        <w:spacing w:after="40"/>
      </w:pPr>
      <w:r>
        <w:rPr>
          <w:rFonts w:ascii="Calibri" w:hAnsi="Calibri"/>
          <w:b/>
          <w:color w:val="16324F"/>
        </w:rPr>
        <w:t>Implementation controls</w:t>
      </w:r>
    </w:p>
    <w:p>
      <w:pPr>
        <w:pStyle w:val="ListBullet"/>
      </w:pPr>
      <w:r>
        <w:rPr>
          <w:rFonts w:ascii="Calibri" w:hAnsi="Calibri"/>
        </w:rPr>
        <w:t>Do not alter visible evidentiary pixels.</w:t>
      </w:r>
    </w:p>
    <w:p>
      <w:pPr>
        <w:pStyle w:val="ListBullet"/>
      </w:pPr>
      <w:r>
        <w:rPr>
          <w:rFonts w:ascii="Calibri" w:hAnsi="Calibri"/>
        </w:rPr>
        <w:t>Record that sanitisation occurred without storing removed metadata.</w:t>
      </w:r>
    </w:p>
    <w:p>
      <w:pPr>
        <w:pStyle w:val="ListBullet"/>
      </w:pPr>
      <w:r>
        <w:rPr>
          <w:rFonts w:ascii="Calibri" w:hAnsi="Calibri"/>
        </w:rPr>
        <w:t>Do not treat client-supplied metadata as authoritative evidence.</w:t>
      </w:r>
    </w:p>
    <w:p>
      <w:pPr>
        <w:pStyle w:val="Heading1"/>
        <w:keepNext/>
      </w:pPr>
      <w:r>
        <w:rPr>
          <w:rFonts w:ascii="Calibri" w:hAnsi="Calibri"/>
        </w:rPr>
        <w:t>E. Reliability, data rights and communications</w:t>
      </w:r>
    </w:p>
    <w:p>
      <w:pPr>
        <w:pStyle w:val="Heading2"/>
        <w:keepNext/>
      </w:pPr>
      <w:r>
        <w:rPr>
          <w:rFonts w:ascii="Calibri" w:hAnsi="Calibri"/>
        </w:rPr>
        <w:t>16. Duplicates, retries and replacement</w:t>
      </w:r>
    </w:p>
    <w:p>
      <w:pPr>
        <w:keepLines/>
      </w:pPr>
      <w:r>
        <w:rPr>
          <w:rFonts w:ascii="Calibri" w:hAnsi="Calibri"/>
          <w:b/>
          <w:color w:val="16324F"/>
        </w:rPr>
        <w:t xml:space="preserve">Question: </w:t>
      </w:r>
      <w:r>
        <w:rPr>
          <w:rFonts w:ascii="Calibri" w:hAnsi="Calibri"/>
        </w:rPr>
        <w:t>How should duplicate uploads and retries behave?</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Generate an upload-attempt identifier and use it as an idempotency key for 24 hours. Calculate a server-side content hash. Repeating the same attempt returns the existing result. A new intentional upload of the same content requires a warning and confirmation. Never overwrite an existing object path.</w:t>
      </w:r>
    </w:p>
    <w:p>
      <w:pPr>
        <w:spacing w:after="40"/>
      </w:pPr>
      <w:r>
        <w:rPr>
          <w:rFonts w:ascii="Calibri" w:hAnsi="Calibri"/>
          <w:b/>
          <w:color w:val="16324F"/>
        </w:rPr>
        <w:t>Implementation controls</w:t>
      </w:r>
    </w:p>
    <w:p>
      <w:pPr>
        <w:pStyle w:val="ListBullet"/>
      </w:pPr>
      <w:r>
        <w:rPr>
          <w:rFonts w:ascii="Calibri" w:hAnsi="Calibri"/>
        </w:rPr>
        <w:t>Replacement creates a new version.</w:t>
      </w:r>
    </w:p>
    <w:p>
      <w:pPr>
        <w:pStyle w:val="ListBullet"/>
      </w:pPr>
      <w:r>
        <w:rPr>
          <w:rFonts w:ascii="Calibri" w:hAnsi="Calibri"/>
        </w:rPr>
        <w:t>Soft-delete the previous version only after the new version succeeds.</w:t>
      </w:r>
    </w:p>
    <w:p>
      <w:pPr>
        <w:pStyle w:val="Heading2"/>
        <w:keepNext/>
      </w:pPr>
      <w:r>
        <w:rPr>
          <w:rFonts w:ascii="Calibri" w:hAnsi="Calibri"/>
        </w:rPr>
        <w:t>17. Orphan reconciliation</w:t>
      </w:r>
    </w:p>
    <w:p>
      <w:pPr>
        <w:keepLines/>
      </w:pPr>
      <w:r>
        <w:rPr>
          <w:rFonts w:ascii="Calibri" w:hAnsi="Calibri"/>
          <w:b/>
          <w:color w:val="16324F"/>
        </w:rPr>
        <w:t xml:space="preserve">Question: </w:t>
      </w:r>
      <w:r>
        <w:rPr>
          <w:rFonts w:ascii="Calibri" w:hAnsi="Calibri"/>
        </w:rPr>
        <w:t>How should objects without valid metadata, or metadata without objects, be handled?</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Keep uploads pending until the object and metadata relationship is verified. Retry transient compensation failures with bounded attempts. Run daily reconciliation. Quarantine objects without metadata, mark metadata with missing objects unavailable, and purge unresolved temporary orphans after 24 hours.</w:t>
      </w:r>
    </w:p>
    <w:p>
      <w:pPr>
        <w:spacing w:after="40"/>
      </w:pPr>
      <w:r>
        <w:rPr>
          <w:rFonts w:ascii="Calibri" w:hAnsi="Calibri"/>
          <w:b/>
          <w:color w:val="16324F"/>
        </w:rPr>
        <w:t>Implementation controls</w:t>
      </w:r>
    </w:p>
    <w:p>
      <w:pPr>
        <w:pStyle w:val="ListBullet"/>
      </w:pPr>
      <w:r>
        <w:rPr>
          <w:rFonts w:ascii="Calibri" w:hAnsi="Calibri"/>
        </w:rPr>
        <w:t>Never expose orphaned objects.</w:t>
      </w:r>
    </w:p>
    <w:p>
      <w:pPr>
        <w:pStyle w:val="ListBullet"/>
      </w:pPr>
      <w:r>
        <w:rPr>
          <w:rFonts w:ascii="Calibri" w:hAnsi="Calibri"/>
        </w:rPr>
        <w:t>Alert an administrator after repeated reconciliation failure.</w:t>
      </w:r>
    </w:p>
    <w:p>
      <w:pPr>
        <w:pStyle w:val="Heading2"/>
        <w:keepNext/>
      </w:pPr>
      <w:r>
        <w:rPr>
          <w:rFonts w:ascii="Calibri" w:hAnsi="Calibri"/>
        </w:rPr>
        <w:t>18. Backups, exports and requests</w:t>
      </w:r>
    </w:p>
    <w:p>
      <w:pPr>
        <w:keepLines/>
      </w:pPr>
      <w:r>
        <w:rPr>
          <w:rFonts w:ascii="Calibri" w:hAnsi="Calibri"/>
          <w:b/>
          <w:color w:val="16324F"/>
        </w:rPr>
        <w:t xml:space="preserve">Question: </w:t>
      </w:r>
      <w:r>
        <w:rPr>
          <w:rFonts w:ascii="Calibri" w:hAnsi="Calibri"/>
        </w:rPr>
        <w:t>How should backups, exports, data-access requests and correction requests be handled?</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Include evidence in encrypted provider backups only where required for service recovery. Apply provider backup expiration. Authorised administrators may export evidence and metadata for a verified request. Route access and correction requests through Aprec8's nominated privacy contact after verifying identity and authority.</w:t>
      </w:r>
    </w:p>
    <w:p>
      <w:pPr>
        <w:spacing w:after="40"/>
      </w:pPr>
      <w:r>
        <w:rPr>
          <w:rFonts w:ascii="Calibri" w:hAnsi="Calibri"/>
          <w:b/>
          <w:color w:val="16324F"/>
        </w:rPr>
        <w:t>Implementation controls</w:t>
      </w:r>
    </w:p>
    <w:p>
      <w:pPr>
        <w:pStyle w:val="ListBullet"/>
      </w:pPr>
      <w:r>
        <w:rPr>
          <w:rFonts w:ascii="Calibri" w:hAnsi="Calibri"/>
        </w:rPr>
        <w:t>Do not restore expired or deleted evidence into active use without reconciliation.</w:t>
      </w:r>
    </w:p>
    <w:p>
      <w:pPr>
        <w:pStyle w:val="ListBullet"/>
      </w:pPr>
      <w:r>
        <w:rPr>
          <w:rFonts w:ascii="Calibri" w:hAnsi="Calibri"/>
        </w:rPr>
        <w:t>Audit requests, decisions, exports and corrections without putting private contents in logs.</w:t>
      </w:r>
    </w:p>
    <w:p>
      <w:pPr>
        <w:pStyle w:val="Heading2"/>
        <w:keepNext/>
      </w:pPr>
      <w:r>
        <w:rPr>
          <w:rFonts w:ascii="Calibri" w:hAnsi="Calibri"/>
        </w:rPr>
        <w:t>19. Uploader notice and acknowledgement</w:t>
      </w:r>
    </w:p>
    <w:p>
      <w:pPr>
        <w:keepLines/>
      </w:pPr>
      <w:r>
        <w:rPr>
          <w:rFonts w:ascii="Calibri" w:hAnsi="Calibri"/>
          <w:b/>
          <w:color w:val="16324F"/>
        </w:rPr>
        <w:t xml:space="preserve">Question: </w:t>
      </w:r>
      <w:r>
        <w:rPr>
          <w:rFonts w:ascii="Calibri" w:hAnsi="Calibri"/>
        </w:rPr>
        <w:t>What must the user confirm before upload?</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The required acknowledgement is: 'I confirm that I am authorised to upload this evidence and that it is relevant to this test.'</w:t>
      </w:r>
    </w:p>
    <w:p>
      <w:pPr>
        <w:spacing w:after="40"/>
      </w:pPr>
      <w:r>
        <w:rPr>
          <w:rFonts w:ascii="Calibri" w:hAnsi="Calibri"/>
          <w:b/>
          <w:color w:val="16324F"/>
        </w:rPr>
        <w:t>Implementation controls</w:t>
      </w:r>
    </w:p>
    <w:p>
      <w:pPr>
        <w:pStyle w:val="ListBullet"/>
      </w:pPr>
      <w:r>
        <w:rPr>
          <w:rFonts w:ascii="Calibri" w:hAnsi="Calibri"/>
        </w:rPr>
        <w:t>Display concise privacy guidance immediately above the unchecked acknowledgement.</w:t>
      </w:r>
    </w:p>
    <w:p>
      <w:pPr>
        <w:pStyle w:val="ListBullet"/>
      </w:pPr>
      <w:r>
        <w:rPr>
          <w:rFonts w:ascii="Calibri" w:hAnsi="Calibri"/>
        </w:rPr>
        <w:t>The user must actively select it before upload.</w:t>
      </w:r>
    </w:p>
    <w:p>
      <w:pPr>
        <w:pStyle w:val="Heading2"/>
        <w:keepNext/>
      </w:pPr>
      <w:r>
        <w:rPr>
          <w:rFonts w:ascii="Calibri" w:hAnsi="Calibri"/>
        </w:rPr>
        <w:t>20. Incident reporting and response</w:t>
      </w:r>
    </w:p>
    <w:p>
      <w:pPr>
        <w:keepLines/>
      </w:pPr>
      <w:r>
        <w:rPr>
          <w:rFonts w:ascii="Calibri" w:hAnsi="Calibri"/>
          <w:b/>
          <w:color w:val="16324F"/>
        </w:rPr>
        <w:t xml:space="preserve">Question: </w:t>
      </w:r>
      <w:r>
        <w:rPr>
          <w:rFonts w:ascii="Calibri" w:hAnsi="Calibri"/>
        </w:rPr>
        <w:t>Who handles incidents, through which channel and within what timeframe?</w:t>
      </w:r>
    </w:p>
    <w:p>
      <w:pPr>
        <w:pStyle w:val="DecisionStatus"/>
      </w:pPr>
      <w:r>
        <w:rPr>
          <w:rFonts w:ascii="Calibri" w:hAnsi="Calibri"/>
        </w:rPr>
        <w:t>Decision status: APPROVED</w:t>
      </w:r>
    </w:p>
    <w:p>
      <w:pPr>
        <w:keepLines/>
      </w:pPr>
      <w:r>
        <w:rPr>
          <w:rFonts w:ascii="Calibri" w:hAnsi="Calibri"/>
          <w:b/>
          <w:color w:val="16324F"/>
        </w:rPr>
        <w:t xml:space="preserve">Recorded answer: </w:t>
      </w:r>
      <w:r>
        <w:rPr>
          <w:rFonts w:ascii="Calibri" w:hAnsi="Calibri"/>
        </w:rPr>
        <w:t>The Aprec8 Privacy Officer or nominated incident owner will handle incidents through equineprecisionperformance@hotmail.com. Acknowledge urgent internal reports within four business hours, begin containment immediately, conduct an initial privacy-owner assessment within 24 hours, and escalate to management, legal and security when information may be affected.</w:t>
      </w:r>
    </w:p>
    <w:p>
      <w:pPr>
        <w:spacing w:after="40"/>
      </w:pPr>
      <w:r>
        <w:rPr>
          <w:rFonts w:ascii="Calibri" w:hAnsi="Calibri"/>
          <w:b/>
          <w:color w:val="16324F"/>
        </w:rPr>
        <w:t>Implementation controls</w:t>
      </w:r>
    </w:p>
    <w:p>
      <w:pPr>
        <w:pStyle w:val="ListBullet"/>
      </w:pPr>
      <w:r>
        <w:rPr>
          <w:rFonts w:ascii="Calibri" w:hAnsi="Calibri"/>
        </w:rPr>
        <w:t>Follow applicable Australian Notifiable Data Breaches assessment and notification obligations.</w:t>
      </w:r>
    </w:p>
    <w:p>
      <w:pPr>
        <w:pStyle w:val="ListBullet"/>
      </w:pPr>
      <w:r>
        <w:rPr>
          <w:rFonts w:ascii="Calibri" w:hAnsi="Calibri"/>
        </w:rPr>
        <w:t>Record detection, containment, affected information/users, actions, decisions and closure.</w:t>
      </w:r>
    </w:p>
    <w:p>
      <w:pPr>
        <w:pStyle w:val="ListBullet"/>
      </w:pPr>
      <w:r>
        <w:rPr>
          <w:rFonts w:ascii="Calibri" w:hAnsi="Calibri"/>
        </w:rPr>
        <w:t>Do not publish placeholder contact wording as final production information.</w:t>
      </w:r>
    </w:p>
    <w:p>
      <w:pPr>
        <w:pStyle w:val="Heading1"/>
        <w:keepNext/>
      </w:pPr>
      <w:r>
        <w:rPr>
          <w:rFonts w:ascii="Calibri" w:hAnsi="Calibri"/>
        </w:rPr>
        <w:t>F. Approval record</w:t>
      </w:r>
    </w:p>
    <w:p>
      <w:r>
        <w:rPr>
          <w:rFonts w:ascii="Calibri" w:hAnsi="Calibri"/>
          <w:b/>
        </w:rPr>
        <w:t xml:space="preserve">Substantive outcome: </w:t>
      </w:r>
      <w:r>
        <w:rPr>
          <w:rFonts w:ascii="Calibri" w:hAnsi="Calibri"/>
        </w:rPr>
        <w:t>Phillip Norman Rankin approved all twenty answers as the governing Sprint 023 privacy, storage and lifecycle contract, effective 28 July 2026. This contract supersedes every earlier standalone Accept annotation.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vAlign w:val="center"/>
            <w:shd w:fill="16324F"/>
          </w:tcPr>
          <w:p>
            <w:r>
              <w:rPr>
                <w:b/>
                <w:color w:val="FFFFFF"/>
              </w:rPr>
              <w:t>Approval field</w:t>
            </w:r>
          </w:p>
        </w:tc>
        <w:tc>
          <w:tcPr>
            <w:tcW w:type="dxa" w:w="6760"/>
            <w:tcMar>
              <w:top w:w="90" w:type="dxa"/>
              <w:start w:w="120" w:type="dxa"/>
              <w:bottom w:w="90" w:type="dxa"/>
              <w:end w:w="120" w:type="dxa"/>
            </w:tcMar>
            <w:vAlign w:val="center"/>
            <w:shd w:fill="16324F"/>
          </w:tcPr>
          <w:p>
            <w:r>
              <w:rPr>
                <w:b/>
                <w:color w:val="FFFFFF"/>
              </w:rPr>
              <w:t>Entry</w:t>
            </w:r>
          </w:p>
        </w:tc>
      </w:tr>
      <w:tr>
        <w:tc>
          <w:tcPr>
            <w:tcW w:type="dxa" w:w="2600"/>
            <w:shd w:fill="F2F4F7"/>
          </w:tcPr>
          <w:p>
            <w:r>
              <w:rPr>
                <w:b/>
              </w:rPr>
              <w:t>Decision owner</w:t>
            </w:r>
          </w:p>
        </w:tc>
        <w:tc>
          <w:tcPr>
            <w:tcW w:type="dxa" w:w="6760"/>
          </w:tcPr>
          <w:p>
            <w:r>
              <w:t>Phillip Norman Rankin</w:t>
            </w:r>
          </w:p>
        </w:tc>
      </w:tr>
      <w:tr>
        <w:tc>
          <w:tcPr>
            <w:tcW w:type="dxa" w:w="2600"/>
            <w:shd w:fill="F2F4F7"/>
          </w:tcPr>
          <w:p>
            <w:r>
              <w:rPr>
                <w:b/>
              </w:rPr>
              <w:t>Role / authority</w:t>
            </w:r>
          </w:p>
        </w:tc>
        <w:tc>
          <w:tcPr>
            <w:tcW w:type="dxa" w:w="6760"/>
          </w:tcPr>
          <w:p>
            <w:r>
              <w:t>Director, Aprec8 Pty Ltd, authorised to approve privacy and data-handling decisions</w:t>
            </w:r>
          </w:p>
        </w:tc>
      </w:tr>
      <w:tr>
        <w:tc>
          <w:tcPr>
            <w:tcW w:type="dxa" w:w="2600"/>
            <w:shd w:fill="F2F4F7"/>
          </w:tcPr>
          <w:p>
            <w:r>
              <w:rPr>
                <w:b/>
              </w:rPr>
              <w:t>Effective date</w:t>
            </w:r>
          </w:p>
        </w:tc>
        <w:tc>
          <w:tcPr>
            <w:tcW w:type="dxa" w:w="6760"/>
          </w:tcPr>
          <w:p>
            <w:r>
              <w:t>28 July 2026</w:t>
            </w:r>
          </w:p>
        </w:tc>
      </w:tr>
      <w:tr>
        <w:tc>
          <w:tcPr>
            <w:tcW w:type="dxa" w:w="2600"/>
            <w:shd w:fill="F2F4F7"/>
          </w:tcPr>
          <w:p>
            <w:r>
              <w:rPr>
                <w:b/>
              </w:rPr>
              <w:t>Incident email</w:t>
            </w:r>
          </w:p>
        </w:tc>
        <w:tc>
          <w:tcPr>
            <w:tcW w:type="dxa" w:w="6760"/>
          </w:tcPr>
          <w:p>
            <w:r>
              <w:t>equineprecisionperformance@hotmail.com</w:t>
            </w:r>
          </w:p>
        </w:tc>
      </w:tr>
      <w:tr>
        <w:tc>
          <w:tcPr>
            <w:tcW w:type="dxa" w:w="2600"/>
            <w:shd w:fill="F2F4F7"/>
          </w:tcPr>
          <w:p>
            <w:r>
              <w:rPr>
                <w:b/>
              </w:rPr>
              <w:t>Privacy / legal review</w:t>
            </w:r>
          </w:p>
        </w:tc>
        <w:tc>
          <w:tcPr>
            <w:tcW w:type="dxa" w:w="6760"/>
          </w:tcPr>
          <w:p>
            <w:r>
              <w:t>Recommended before production publication</w:t>
            </w:r>
          </w:p>
        </w:tc>
      </w:tr>
      <w:tr>
        <w:tc>
          <w:tcPr>
            <w:tcW w:type="dxa" w:w="2600"/>
            <w:shd w:fill="F2F4F7"/>
          </w:tcPr>
          <w:p>
            <w:r>
              <w:rPr>
                <w:b/>
              </w:rPr>
              <w:t>Signature</w:t>
            </w:r>
          </w:p>
        </w:tc>
        <w:tc>
          <w:tcPr>
            <w:tcW w:type="dxa" w:w="6760"/>
          </w:tcPr>
          <w:p>
            <w:r/>
            <w:r>
              <w:t>Approval supplied electronically on 28 July 2026</w:t>
            </w:r>
          </w:p>
        </w:tc>
      </w:tr>
      <w:tr>
        <w:tc>
          <w:tcPr>
            <w:tcW w:type="dxa" w:w="2600"/>
            <w:shd w:fill="F2F4F7"/>
          </w:tcPr>
          <w:p>
            <w:r>
              <w:rPr>
                <w:b/>
              </w:rPr>
              <w:t>Review date</w:t>
            </w:r>
          </w:p>
        </w:tc>
        <w:tc>
          <w:tcPr>
            <w:tcW w:type="dxa" w:w="6760"/>
          </w:tcPr>
          <w:p>
            <w:r>
              <w:t>At least annually and before international operation or material provider change</w:t>
            </w:r>
          </w:p>
        </w:tc>
      </w:tr>
    </w:tbl>
    <w:p>
      <w:pPr>
        <w:pStyle w:val="Heading1"/>
        <w:keepNext/>
      </w:pPr>
      <w:r>
        <w:rPr>
          <w:rFonts w:ascii="Calibri" w:hAnsi="Calibri"/>
        </w:rPr>
        <w:t>G. Authoritative sources and implementation references</w:t>
      </w:r>
    </w:p>
    <w:p>
      <w:pPr>
        <w:pStyle w:val="ListBullet"/>
      </w:pPr>
      <w:r>
        <w:rPr>
          <w:rFonts w:ascii="Calibri" w:hAnsi="Calibri"/>
        </w:rPr>
        <w:t>Office of the Australian Information Commissioner, Australian Privacy Principle 11 - Security of personal information: https://www.oaic.gov.au/privacy/australian-privacy-principles/australian-privacy-principles-guidelines/chapter-11-app-11-security-of-personal-information</w:t>
      </w:r>
    </w:p>
    <w:p>
      <w:pPr>
        <w:pStyle w:val="ListBullet"/>
      </w:pPr>
      <w:r>
        <w:rPr>
          <w:rFonts w:ascii="Calibri" w:hAnsi="Calibri"/>
        </w:rPr>
        <w:t>Office of the Australian Information Commissioner, Data breach preparation and response: https://www.oaic.gov.au/privacy/notifiable-data-breaches/preventing-preparing-for-and-responding-to-data-breaches/data-breach-preparation-and-response/part-1-data-breaches-and-the-australian-privacy-act</w:t>
      </w:r>
    </w:p>
    <w:p>
      <w:pPr>
        <w:pStyle w:val="ListBullet"/>
      </w:pPr>
      <w:r>
        <w:rPr>
          <w:rFonts w:ascii="Calibri" w:hAnsi="Calibri"/>
        </w:rPr>
        <w:t>Supabase Storage standard uploads: https://supabase.com/docs/guides/storage/uploads/standard-uploads</w:t>
      </w:r>
    </w:p>
    <w:p>
      <w:pPr>
        <w:pStyle w:val="ListBullet"/>
      </w:pPr>
      <w:r>
        <w:rPr>
          <w:rFonts w:ascii="Calibri" w:hAnsi="Calibri"/>
        </w:rPr>
        <w:t>Supabase Storage private downloads and signed URLs: https://supabase.com/docs/guides/storage/serving/downloads</w:t>
      </w:r>
    </w:p>
    <w:p>
      <w:pPr>
        <w:pStyle w:val="ListBullet"/>
      </w:pPr>
      <w:r>
        <w:rPr>
          <w:rFonts w:ascii="Calibri" w:hAnsi="Calibri"/>
        </w:rPr>
        <w:t>Supabase Storage access control: https://supabase.com/docs/guides/storage/security/access-control</w:t>
      </w:r>
    </w:p>
    <w:sectPr>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7"/>
      </w:rPr>
      <w:t xml:space="preserve">Confidential decision record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APREC8 | PRECISION PERFORMANCE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Status">
    <w:name w:val="Decision Status"/>
    <w:pPr>
      <w:keepNext/>
      <w:spacing w:before="40" w:after="120"/>
    </w:pPr>
    <w:rPr>
      <w:rFonts w:ascii="Calibri" w:hAnsi="Calibri"/>
      <w:b/>
      <w:color w:val="176B4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023C Privacy, Storage and Lifecycle Decision Record</dc:title>
  <dc:subject>Precision Performance test evidence uploads and storage</dc:subject>
  <dc:creator/>
  <cp:keywords>Sprint 023C, privacy, storage, lifecycle, evidence uploads</cp:keywords>
  <dc:description>generated by python-docx</dc:description>
  <cp:lastModifiedBy/>
  <cp:revision>1</cp:revision>
  <dcterms:created xsi:type="dcterms:W3CDTF">2013-12-23T23:15:00Z</dcterms:created>
  <dcterms:modified xsi:type="dcterms:W3CDTF">2013-12-23T23:15:00Z</dcterms:modified>
  <cp:category/>
</cp:coreProperties>
</file>