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21 October 2026 · Code version: main after the struck-text change and the evidence-storage fix (K20)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R1 URL content (Excel, CSV)</w:t>
            </w:r>
          </w:p>
        </w:tc>
        <w:tc>
          <w:tcPr>
            <w:tcW w:type="dxa" w:w="4873"/>
          </w:tcPr>
          <w:p>
            <w:pPr>
              <w:spacing w:after="40"/>
            </w:pPr>
            <w:r>
              <w:rPr>
                <w:sz w:val="19"/>
              </w:rPr>
            </w:r>
            <w:r>
              <w:rPr>
                <w:sz w:val="19"/>
              </w:rPr>
              <w:t>One row per address: verdict, word count, gaps, and the whole extracted text. Long text is split across columns so Excel never cuts it off.</w:t>
            </w:r>
          </w:p>
        </w:tc>
      </w:tr>
      <w:tr>
        <w:tc>
          <w:tcPr>
            <w:tcW w:type="dxa" w:w="4873"/>
            <w:shd w:val="clear" w:color="auto" w:fill="EEF2F7"/>
          </w:tcPr>
          <w:p>
            <w:pPr>
              <w:spacing w:after="40"/>
            </w:pPr>
            <w:r>
              <w:rPr>
                <w:sz w:val="19"/>
              </w:rPr>
            </w:r>
            <w:r>
              <w:rPr>
                <w:sz w:val="19"/>
              </w:rPr>
              <w:t>Review queue (Excel, CSV)</w:t>
            </w:r>
          </w:p>
        </w:tc>
        <w:tc>
          <w:tcPr>
            <w:tcW w:type="dxa" w:w="4873"/>
            <w:shd w:val="clear" w:color="auto" w:fill="EEF2F7"/>
          </w:tcPr>
          <w:p>
            <w:pPr>
              <w:spacing w:after="40"/>
            </w:pPr>
            <w:r>
              <w:rPr>
                <w:sz w:val="19"/>
              </w:rPr>
            </w:r>
            <w:r>
              <w:rPr>
                <w:sz w:val="19"/>
              </w:rPr>
              <w:t>The pages that need a human decision, most serious first, with a blank column for the reviewer.</w:t>
            </w:r>
          </w:p>
        </w:tc>
      </w:tr>
      <w:tr>
        <w:tc>
          <w:tcPr>
            <w:tcW w:type="dxa" w:w="4873"/>
          </w:tcPr>
          <w:p>
            <w:pPr>
              <w:spacing w:after="40"/>
            </w:pPr>
            <w:r>
              <w:rPr>
                <w:sz w:val="19"/>
              </w:rPr>
            </w:r>
            <w:r>
              <w:rPr>
                <w:sz w:val="19"/>
              </w:rPr>
              <w:t>R2 overlap (Excel, CSV)</w:t>
            </w:r>
          </w:p>
        </w:tc>
        <w:tc>
          <w:tcPr>
            <w:tcW w:type="dxa" w:w="4873"/>
          </w:tcPr>
          <w:p>
            <w:pPr>
              <w:spacing w:after="40"/>
            </w:pPr>
            <w:r>
              <w:rPr>
                <w:sz w:val="19"/>
              </w:rPr>
            </w:r>
            <w:r>
              <w:rPr>
                <w:sz w:val="19"/>
              </w:rPr>
              <w:t>Groups of pages that share the same text (duplicate or near-duplicate content), with the shared passages quoted.</w:t>
            </w:r>
          </w:p>
        </w:tc>
      </w:tr>
      <w:tr>
        <w:tc>
          <w:tcPr>
            <w:tcW w:type="dxa" w:w="4873"/>
            <w:shd w:val="clear" w:color="auto" w:fill="EEF2F7"/>
          </w:tcPr>
          <w:p>
            <w:pPr>
              <w:spacing w:after="40"/>
            </w:pPr>
            <w:r>
              <w:rPr>
                <w:sz w:val="19"/>
              </w:rPr>
            </w:r>
            <w:r>
              <w:rPr>
                <w:sz w:val="19"/>
              </w:rPr>
              <w:t>R4 contradictions (Excel, CSV)</w:t>
            </w:r>
          </w:p>
        </w:tc>
        <w:tc>
          <w:tcPr>
            <w:tcW w:type="dxa" w:w="4873"/>
            <w:shd w:val="clear" w:color="auto" w:fill="EEF2F7"/>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tcPr>
          <w:p>
            <w:pPr>
              <w:spacing w:after="40"/>
            </w:pPr>
            <w:r>
              <w:rPr>
                <w:sz w:val="19"/>
              </w:rPr>
            </w:r>
            <w:r>
              <w:rPr>
                <w:sz w:val="19"/>
              </w:rPr>
              <w:t>URL Content Explorer (web page)</w:t>
            </w:r>
          </w:p>
        </w:tc>
        <w:tc>
          <w:tcPr>
            <w:tcW w:type="dxa" w:w="4873"/>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only reads results and cannot change anything).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ladder: the Bright Data connection, spending ledger and approval command are not built yet, so a site that blocks all free access ends BLOCKED and the engine asks for approval.</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