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27 October 2026 · Code version: main after page stamping (step 1) and the offering catalog (step 2) of the knowledge base, URL history (only new or changed pages are scraped again), the report's Last checked / Site last updated / Action columns, and cookie/chat widgets read at screenshot time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keeps a URL history: for every address it has ever captured, the latest capture, the day it was scraped, and the date the website itself gives for the page's last update. Every run checks it automatically, whatever list of addresses you give it and whichever earlier runs they came from.</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pPr>
        <w:pStyle w:val="ListBullet"/>
      </w:pPr>
      <w:r>
        <w:t>An address never seen before is scraped in full.</w:t>
      </w:r>
    </w:p>
    <w:p>
      <w:pPr>
        <w:pStyle w:val="ListBullet"/>
      </w:pPr>
      <w:r>
        <w:t>An address seen before gets one light "has this changed since our last visit?" request. If the site answers "not changed", or the page's text is word for word the same, the earlier content is kept and the slow browser step is skipped.</w:t>
      </w:r>
    </w:p>
    <w:p>
      <w:pPr>
        <w:pStyle w:val="ListBullet"/>
      </w:pPr>
      <w:r>
        <w:t>If the text changed, the page is scraped again, even when the site's update date did not move (sites often edit pages without changing the date). If only the date moved and the text is the same, the earlier content is kept.</w:t>
      </w:r>
    </w:p>
    <w:p>
      <w:r>
        <w:t>After each run the history is updated, so the next run starts from the newest captures. Before a run you can check a list of addresses: for each one, whether it was scraped before, when, and the site's last-update date. The history can be switched off for a run that should scrape everything afresh.</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what is missing, the day the page was last checked, the date the website gives for its last update, and what the run did ("New: scraped in full", "Reused: unchanged since 26 October" or "Re-scraped: changed since the last capture").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2"/>
      </w:pPr>
      <w:r>
        <w:t>Step 12: The offering catalog ("website theming")</w:t>
      </w:r>
    </w:p>
    <w:p>
      <w:r>
        <w:t>A second command ("catalog") turns the stamps into the website's catalog of offerings: every service, product and programme it offers, arranged as a tree of families, offerings and sub-offerings, with a card for each. It writes a file for other tools and an Excel workbook (`&lt;run&gt;_offering_catalog.xlsx`).</w:t>
      </w:r>
    </w:p>
    <w:p>
      <w:r>
        <w:rPr>
          <w:b/>
        </w:rPr>
        <w:t>How the list is found.</w:t>
      </w:r>
      <w:r>
        <w:t xml:space="preserve"> The engine reads the website's own menus, including the mega-menus, and sorts every entry: an offering group ("Products &amp; services") holds offerings; tasks ("File a claim", "Sign in"), tools ("calculators"), content ("Insights"), corporate pages ("Careers", privacy links) and audiences ("Individuals", "Financial professionals") are set aside and listed separately. Entries that point to the same page, or that have the same name once words such as "insurance" are set aside, become one offering with both names kept. Products and services the pages declare in their structured data are added, and so are folders of the website shared by several pages.</w:t>
      </w:r>
    </w:p>
    <w:p>
      <w:r>
        <w:rPr>
          <w:b/>
        </w:rPr>
        <w:t>Every page is placed.</w:t>
      </w:r>
      <w:r>
        <w:t xml:space="preserve"> Each page is put under the offering whose web address it sits in (or that its breadcrumb or structured data names); pages that belong to no offering are filed under the section that covers them (for example News); the rest are listed as unplaced.</w:t>
      </w:r>
    </w:p>
    <w:p>
      <w:r>
        <w:rPr>
          <w:b/>
        </w:rPr>
        <w:t>Every value has its proof.</w:t>
      </w:r>
      <w:r>
        <w:t xml:space="preserve"> A card holds the offering's description, audiences, numbers (prices, ages, periods), questions, calls to action, tools and pages. Each value names where it came from: the menu entry, the page, the structured-data field, or the exact section and sentence. Nothing without proof is written. Each offering also shows how many independent places list it, so a reviewer can see which rest on a single menu.</w:t>
      </w:r>
    </w:p>
    <w:p>
      <w:r>
        <w:rPr>
          <w:b/>
        </w:rPr>
        <w:t>Optional local AI, never trusted blindly.</w:t>
      </w:r>
      <w:r>
        <w:t xml:space="preserve"> When the company's own AI server (Ollama) is connected, two extra steps can run; only servers on this computer or the company network are accepted, so client content never leaves the company and nothing is paid:</w:t>
      </w:r>
    </w:p>
    <w:p>
      <w:pPr>
        <w:pStyle w:val="ListBullet"/>
      </w:pPr>
      <w:r>
        <w:t>Similar names are compared by meaning; two offerings are merged only when they are also in the same family and share words. Otherwise the pair is listed as a suggestion for a reviewer.</w:t>
      </w:r>
    </w:p>
    <w:p>
      <w:pPr>
        <w:pStyle w:val="ListBullet"/>
      </w:pPr>
      <w:r>
        <w:t>The AI reads each offering's sections and proposes features, deliverables, audiences and pricing. Each proposal must quote the section word for word; the engine checks the quote and drops anything that does not match. A proposed kind of offering (product, service, ...) is applied only when the page's structured data agrees; otherwise it is a suggestion.</w:t>
      </w:r>
    </w:p>
    <w:p>
      <w:r>
        <w:t>On the live John Hancock run (303 addresses), without AI, in a few seconds: 5 families (Life insurance with Permanent, Hybrid, Term, Executive benefits and Vitality; Long-term care; Annuities with Individual and Group annuities; Investments; Retirement with IRAs) and 7 more offerings listed only in the footer (for example College savings, Rollover, Travel insurance), with 63 menu entries set aside as tasks, tools, content and corporate pages. 271 of the 272 pages were placed: 4 under Individual annuities, 267 under News and the podcast sections (this run's addresses were mostly news releases); 1 privacy PDF is unplaced.</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labelling every page and section by its content (not only by its address), search across sections, and competitor comparison and gap reports are designed but not built yet (steps 1 and 2, stamping and the offering catalog, are done). The AI steps of the catalog have been tested against a simulated server only, until the company's Ollama server address is available.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Stamp</w:t>
            </w:r>
          </w:p>
        </w:tc>
        <w:tc>
          <w:tcPr>
            <w:tcW w:type="dxa" w:w="4873"/>
          </w:tcPr>
          <w:p>
            <w:pPr>
              <w:spacing w:after="40"/>
            </w:pPr>
            <w:r>
              <w:rPr>
                <w:sz w:val="19"/>
              </w:rPr>
            </w:r>
            <w:r>
              <w:rPr>
                <w:sz w:val="19"/>
              </w:rPr>
              <w:t>The set of facts recorded about one page before it goes into the knowledge base.</w:t>
            </w:r>
          </w:p>
        </w:tc>
      </w:tr>
      <w:tr>
        <w:tc>
          <w:tcPr>
            <w:tcW w:type="dxa" w:w="4873"/>
            <w:shd w:val="clear" w:color="auto" w:fill="EEF2F7"/>
          </w:tcPr>
          <w:p>
            <w:pPr>
              <w:spacing w:after="40"/>
            </w:pPr>
            <w:r>
              <w:rPr>
                <w:sz w:val="19"/>
              </w:rPr>
            </w:r>
            <w:r>
              <w:rPr>
                <w:sz w:val="19"/>
              </w:rPr>
              <w:t>Chunk (section)</w:t>
            </w:r>
          </w:p>
        </w:tc>
        <w:tc>
          <w:tcPr>
            <w:tcW w:type="dxa" w:w="4873"/>
            <w:shd w:val="clear" w:color="auto" w:fill="EEF2F7"/>
          </w:tcPr>
          <w:p>
            <w:pPr>
              <w:spacing w:after="40"/>
            </w:pPr>
            <w:r>
              <w:rPr>
                <w:sz w:val="19"/>
              </w:rPr>
            </w:r>
            <w:r>
              <w:rPr>
                <w:sz w:val="19"/>
              </w:rPr>
              <w:t>A piece of a page's content, a few hundred words long, that keeps a note of which page and heading it came from.</w:t>
            </w:r>
          </w:p>
        </w:tc>
      </w:tr>
      <w:tr>
        <w:tc>
          <w:tcPr>
            <w:tcW w:type="dxa" w:w="4873"/>
          </w:tcPr>
          <w:p>
            <w:pPr>
              <w:spacing w:after="40"/>
            </w:pPr>
            <w:r>
              <w:rPr>
                <w:sz w:val="19"/>
              </w:rPr>
            </w:r>
            <w:r>
              <w:rPr>
                <w:sz w:val="19"/>
              </w:rPr>
              <w:t>Offering</w:t>
            </w:r>
          </w:p>
        </w:tc>
        <w:tc>
          <w:tcPr>
            <w:tcW w:type="dxa" w:w="4873"/>
          </w:tcPr>
          <w:p>
            <w:pPr>
              <w:spacing w:after="40"/>
            </w:pPr>
            <w:r>
              <w:rPr>
                <w:sz w:val="19"/>
              </w:rPr>
            </w:r>
            <w:r>
              <w:rPr>
                <w:sz w:val="19"/>
              </w:rPr>
              <w:t>A service, product or practice a website offers; the knowledge base maps every page to them.</w:t>
            </w:r>
          </w:p>
        </w:tc>
      </w:tr>
      <w:tr>
        <w:tc>
          <w:tcPr>
            <w:tcW w:type="dxa" w:w="4873"/>
            <w:shd w:val="clear" w:color="auto" w:fill="EEF2F7"/>
          </w:tcPr>
          <w:p>
            <w:pPr>
              <w:spacing w:after="40"/>
            </w:pPr>
            <w:r>
              <w:rPr>
                <w:sz w:val="19"/>
              </w:rPr>
            </w:r>
            <w:r>
              <w:rPr>
                <w:sz w:val="19"/>
              </w:rPr>
              <w:t>Offering catalog</w:t>
            </w:r>
          </w:p>
        </w:tc>
        <w:tc>
          <w:tcPr>
            <w:tcW w:type="dxa" w:w="4873"/>
            <w:shd w:val="clear" w:color="auto" w:fill="EEF2F7"/>
          </w:tcPr>
          <w:p>
            <w:pPr>
              <w:spacing w:after="40"/>
            </w:pPr>
            <w:r>
              <w:rPr>
                <w:sz w:val="19"/>
              </w:rPr>
            </w:r>
            <w:r>
              <w:rPr>
                <w:sz w:val="19"/>
              </w:rPr>
              <w:t>The tree of a website's offerings (families, offerings, sub-offerings), each with a card of evidenced facts.</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2: a "catalog" command builds each website's offering catalog from its menus, structured data and folders, places every page under an offering or section, and fills evidence-backed cards; optional local AI adds checked features and suggestions. John Hancock (303 addresses): 5 families, 15 more offerings, 271 of 272 pages placed, at $0. Menu links that are script buttons are no longer read as page addresses.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URL history: any list of addresses is checked against every earlier run; unchanged pages keep their earlier content and are not scraped again, only new or changed ones are. A pre-run check lists which addresses were scraped before and when. The project report shows Last checked, Site last updated and Action for every page. Cookie banners and chat bubbles on the screenshot no longer cause false "needs a check" verdicts.</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Project report: each pair of matching pages is listed once, with the shared share in both directions.</w:t>
            </w:r>
          </w:p>
        </w:tc>
      </w:tr>
      <w:tr>
        <w:tc>
          <w:tcPr>
            <w:tcW w:type="dxa" w:w="4873"/>
          </w:tcPr>
          <w:p>
            <w:pPr>
              <w:spacing w:after="40"/>
            </w:pPr>
            <w:r>
              <w:rPr>
                <w:sz w:val="19"/>
              </w:rPr>
            </w:r>
            <w:r>
              <w:rPr>
                <w:sz w:val="19"/>
              </w:rPr>
              <w:t>2026-10-24</w:t>
            </w:r>
          </w:p>
        </w:tc>
        <w:tc>
          <w:tcPr>
            <w:tcW w:type="dxa" w:w="4873"/>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Reviewers save decisions in the web app (with name, time and full history); the next report carries them forward.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Crossed-out text (for example an old sale price) is kept and marked with ~~ instead of reading as a current price.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Report file names start with the run's name, so downloads from different runs stay separate.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tcPr>
          <w:p>
            <w:pPr>
              <w:spacing w:after="40"/>
            </w:pPr>
            <w:r>
              <w:rPr>
                <w:sz w:val="19"/>
              </w:rPr>
            </w:r>
            <w:r>
              <w:rPr>
                <w:sz w:val="19"/>
              </w:rPr>
              <w:t>2026-10-19</w:t>
            </w:r>
          </w:p>
        </w:tc>
        <w:tc>
          <w:tcPr>
            <w:tcW w:type="dxa" w:w="4873"/>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shd w:val="clear" w:color="auto" w:fill="EEF2F7"/>
          </w:tcPr>
          <w:p>
            <w:pPr>
              <w:spacing w:after="40"/>
            </w:pPr>
            <w:r>
              <w:rPr>
                <w:sz w:val="19"/>
              </w:rPr>
            </w:r>
            <w:r>
              <w:rPr>
                <w:sz w:val="19"/>
              </w:rPr>
              <w:t>2026-10-16</w:t>
            </w:r>
          </w:p>
        </w:tc>
        <w:tc>
          <w:tcPr>
            <w:tcW w:type="dxa" w:w="4873"/>
            <w:shd w:val="clear" w:color="auto" w:fill="EEF2F7"/>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tcPr>
          <w:p>
            <w:pPr>
              <w:spacing w:after="40"/>
            </w:pPr>
            <w:r>
              <w:rPr>
                <w:sz w:val="19"/>
              </w:rPr>
            </w:r>
            <w:r>
              <w:rPr>
                <w:sz w:val="19"/>
              </w:rPr>
              <w:t>2026-10-15</w:t>
            </w:r>
          </w:p>
        </w:tc>
        <w:tc>
          <w:tcPr>
            <w:tcW w:type="dxa" w:w="4873"/>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