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26 October 2026 · Code version: main after the visible-text coverage check, matching pairs listed once, columns in sideways-scrolling tables and spaced-out browser retries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Matching-content sheet columns renamed for clarity: "URL (A)", "Matching URL (B)", "% of A in B" and "% of B in A". Chat-widget invitations (for example "Live chat") are no longer treated as missed page content. Unattended runs wait up to six minutes for held work, so render retries (30, 90 and 180 seconds) finish before a run stops.</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Project report: each pair of matching pages is listed once, with the shared share in both directions.</w:t>
            </w:r>
          </w:p>
        </w:tc>
      </w:tr>
      <w:tr>
        <w:tc>
          <w:tcPr>
            <w:tcW w:type="dxa" w:w="4873"/>
            <w:shd w:val="clear" w:color="auto" w:fill="EEF2F7"/>
          </w:tcPr>
          <w:p>
            <w:pPr>
              <w:spacing w:after="40"/>
            </w:pPr>
            <w:r>
              <w:rPr>
                <w:sz w:val="19"/>
              </w:rPr>
            </w:r>
            <w:r>
              <w:rPr>
                <w:sz w:val="19"/>
              </w:rPr>
              <w:t>2026-10-24</w:t>
            </w:r>
          </w:p>
        </w:tc>
        <w:tc>
          <w:tcPr>
            <w:tcW w:type="dxa" w:w="4873"/>
            <w:shd w:val="clear" w:color="auto" w:fill="EEF2F7"/>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Reviewers save decisions in the web app (with name, time and full history); the next report carries them forward.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Crossed-out text (for example an old sale price) is kept and marked with ~~ instead of reading as a current price.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Report file names start with the run's name, so downloads from different runs stay separate.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shd w:val="clear" w:color="auto" w:fill="EEF2F7"/>
          </w:tcPr>
          <w:p>
            <w:pPr>
              <w:spacing w:after="40"/>
            </w:pPr>
            <w:r>
              <w:rPr>
                <w:sz w:val="19"/>
              </w:rPr>
            </w:r>
            <w:r>
              <w:rPr>
                <w:sz w:val="19"/>
              </w:rPr>
              <w:t>2026-10-19</w:t>
            </w:r>
          </w:p>
        </w:tc>
        <w:tc>
          <w:tcPr>
            <w:tcW w:type="dxa" w:w="4873"/>
            <w:shd w:val="clear" w:color="auto" w:fill="EEF2F7"/>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tcPr>
          <w:p>
            <w:pPr>
              <w:spacing w:after="40"/>
            </w:pPr>
            <w:r>
              <w:rPr>
                <w:sz w:val="19"/>
              </w:rPr>
            </w:r>
            <w:r>
              <w:rPr>
                <w:sz w:val="19"/>
              </w:rPr>
              <w:t>2026-10-16</w:t>
            </w:r>
          </w:p>
        </w:tc>
        <w:tc>
          <w:tcPr>
            <w:tcW w:type="dxa" w:w="4873"/>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shd w:val="clear" w:color="auto" w:fill="EEF2F7"/>
          </w:tcPr>
          <w:p>
            <w:pPr>
              <w:spacing w:after="40"/>
            </w:pPr>
            <w:r>
              <w:rPr>
                <w:sz w:val="19"/>
              </w:rPr>
            </w:r>
            <w:r>
              <w:rPr>
                <w:sz w:val="19"/>
              </w:rPr>
              <w:t>2026-10-15</w:t>
            </w:r>
          </w:p>
        </w:tc>
        <w:tc>
          <w:tcPr>
            <w:tcW w:type="dxa" w:w="4873"/>
            <w:shd w:val="clear" w:color="auto" w:fill="EEF2F7"/>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