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22 October 2026 · Code version: main after paid access with approvals and spending limits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whether it was fully extracted (Yes/No), the share of its captured text that was confirmed against the live page, how confident the reading is (text from the page's code is 100%, text read from images lower), and in plain words what is missing. Sheet "Matching content": for every address, the other addresses that carry the same text and what share of it, one row each, by exact word-for-word matching (menus, headers and footers left out). The share is one-directional: a short page can be 100% inside a long page while the long page is only 20% inside the short one.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(21 October 2026)</w:t>
            </w:r>
          </w:p>
        </w:tc>
        <w:tc>
          <w:tcPr>
            <w:tcW w:type="dxa" w:w="4873"/>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shd w:val="clear" w:color="auto" w:fill="EEF2F7"/>
          </w:tcPr>
          <w:p>
            <w:pPr>
              <w:spacing w:after="40"/>
            </w:pPr>
            <w:r>
              <w:rPr>
                <w:sz w:val="19"/>
              </w:rPr>
            </w:r>
            <w:r>
              <w:rPr>
                <w:sz w:val="19"/>
              </w:rPr>
              <w:t>Live John Hancock website, 34 pages (19 October 2026)</w:t>
            </w:r>
          </w:p>
        </w:tc>
        <w:tc>
          <w:tcPr>
            <w:tcW w:type="dxa" w:w="4873"/>
            <w:shd w:val="clear" w:color="auto" w:fill="EEF2F7"/>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tcPr>
          <w:p>
            <w:pPr>
              <w:spacing w:after="40"/>
            </w:pPr>
            <w:r>
              <w:rPr>
                <w:sz w:val="19"/>
              </w:rPr>
            </w:r>
            <w:r>
              <w:rPr>
                <w:sz w:val="19"/>
              </w:rPr>
              <w:t>Same website, re-run with the stricter checks and OCR (20 October 2026)</w:t>
            </w:r>
          </w:p>
        </w:tc>
        <w:tc>
          <w:tcPr>
            <w:tcW w:type="dxa" w:w="4873"/>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shd w:val="clear" w:color="auto" w:fill="EEF2F7"/>
          </w:tcPr>
          <w:p>
            <w:pPr>
              <w:spacing w:after="40"/>
            </w:pPr>
            <w:r>
              <w:rPr>
                <w:sz w:val="19"/>
              </w:rPr>
            </w:r>
            <w:r>
              <w:rPr>
                <w:sz w:val="19"/>
              </w:rPr>
              <w:t>Adversarial test suite (28 trick pages)</w:t>
            </w:r>
          </w:p>
        </w:tc>
        <w:tc>
          <w:tcPr>
            <w:tcW w:type="dxa" w:w="4873"/>
            <w:shd w:val="clear" w:color="auto" w:fill="EEF2F7"/>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tcPr>
          <w:p>
            <w:pPr>
              <w:spacing w:after="40"/>
            </w:pPr>
            <w:r>
              <w:rPr>
                <w:sz w:val="19"/>
              </w:rPr>
            </w:r>
            <w:r>
              <w:rPr>
                <w:sz w:val="19"/>
              </w:rPr>
              <w:t>Automated tests</w:t>
            </w:r>
          </w:p>
        </w:tc>
        <w:tc>
          <w:tcPr>
            <w:tcW w:type="dxa" w:w="4873"/>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shd w:val="clear" w:color="auto" w:fill="EEF2F7"/>
          </w:tcPr>
          <w:p>
            <w:pPr>
              <w:spacing w:after="40"/>
            </w:pPr>
            <w:r>
              <w:rPr>
                <w:sz w:val="19"/>
              </w:rPr>
            </w:r>
            <w:r>
              <w:rPr>
                <w:sz w:val="19"/>
              </w:rPr>
              <w:t>Contradiction report on John Hancock</w:t>
            </w:r>
          </w:p>
        </w:tc>
        <w:tc>
          <w:tcPr>
            <w:tcW w:type="dxa" w:w="4873"/>
            <w:shd w:val="clear" w:color="auto" w:fill="EEF2F7"/>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