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content-type section and Office type detection, on top of main after paid access with approvals and spending limits</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 xml:space="preserve">A </w:t>
      </w:r>
      <w:r>
        <w:rPr>
          <w:b/>
        </w:rPr>
        <w:t>content types</w:t>
      </w:r>
      <w:r>
        <w:t xml:space="preserve"> section lets you choose which kinds of files a crawl should look for: web pages (always read, because that is how links to files are found), PDF documents, images, Word, Excel and PowerPoint files, and, marked as not supported yet, older Office files, plain spreadsheet text files, zip archives, audio and video, and email files. Each choice shows whether the engine can read that kind of file today. Picking a type it cannot read yet is allowed, but the report then says those files were found and recorded as not supported, with the reason. The section does not start a crawl: it produces the filter and the command for you to run in a terminal, so the web app stays read-only.</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Content-type section in the analyst app: choose which kinds of files to look for (PDF, images, Word, Excel, PowerPoint), with an honest mark on types the engine cannot read yet; it produces the filter and command for a crawl. Word, Excel and PowerPoint files are now recognised by their real type, not as generic zip archives, so selecting them works.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