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第五部分：薪酬核算实战题</w:t>
      </w:r>
    </w:p>
    <w:p>
      <w:pPr>
        <w:pStyle w:val="BodyText"/>
      </w:pPr>
      <w:r>
        <w:t xml:space="preserve">适用对象：行政转 HR 新人｜公司规模：100-499 人｜不含参考答案</w:t>
      </w:r>
    </w:p>
    <w:p>
      <w:pPr>
        <w:pStyle w:val="Heading1"/>
      </w:pPr>
      <w:r>
        <w:t xml:space="preserve">一、公司背景</w:t>
      </w:r>
    </w:p>
    <w:p>
      <w:pPr>
        <w:pStyle w:val="BodyText"/>
      </w:pPr>
      <w:r>
        <w:t xml:space="preserve">辰光智能设备有限公司是一家做商用智能终端设备的公司，目前 286 人。公司设有销售部、技术支持部、生产运营部、供应链部、职能中心。你是刚转岗到 HR 的薪酬助理，本月需要协助主管完成 2026 年 8 月工资核算初稿。</w:t>
      </w:r>
    </w:p>
    <w:p>
      <w:pPr>
        <w:pStyle w:val="BodyText"/>
      </w:pPr>
      <w:r>
        <w:t xml:space="preserve">公司每月 5 日发放上月工资。本题要求你根据原始材料整理工资数据、发现异常、完成工资核算表，并形成需要主管或业务确认的问题清单。</w:t>
      </w:r>
    </w:p>
    <w:p>
      <w:pPr>
        <w:pStyle w:val="Heading1"/>
      </w:pPr>
      <w:r>
        <w:t xml:space="preserve">二、薪酬与考勤规则节选</w:t>
      </w:r>
    </w:p>
    <w:p>
      <w:pPr>
        <w:pStyle w:val="ListParagraph"/>
        <w:numPr>
          <w:ilvl w:val="0"/>
          <w:numId w:val="1"/>
        </w:numPr>
      </w:pPr>
      <w:r>
        <w:t xml:space="preserve">月薪制员工：应发工资按自然月核算，标准计薪天数暂按 21.75 天。</w:t>
      </w:r>
    </w:p>
    <w:p>
      <w:pPr>
        <w:pStyle w:val="ListParagraph"/>
        <w:numPr>
          <w:ilvl w:val="0"/>
          <w:numId w:val="1"/>
        </w:numPr>
      </w:pPr>
      <w:r>
        <w:t xml:space="preserve">入职、离职、长期事假等缺勤涉及工资折算时，按“月固定工资 / 21.75 × 实际计薪天数”处理；本月应出勤天数为 21 天。</w:t>
      </w:r>
    </w:p>
    <w:p>
      <w:pPr>
        <w:pStyle w:val="ListParagraph"/>
        <w:numPr>
          <w:ilvl w:val="0"/>
          <w:numId w:val="1"/>
        </w:numPr>
      </w:pPr>
      <w:r>
        <w:t xml:space="preserve">病假：有合规病假证明的，病假期间按日工资的 60%计发；无证明按事假处理。</w:t>
      </w:r>
    </w:p>
    <w:p>
      <w:pPr>
        <w:pStyle w:val="ListParagraph"/>
        <w:numPr>
          <w:ilvl w:val="0"/>
          <w:numId w:val="1"/>
        </w:numPr>
      </w:pPr>
      <w:r>
        <w:t xml:space="preserve">事假：按日工资 100%扣减。</w:t>
      </w:r>
    </w:p>
    <w:p>
      <w:pPr>
        <w:pStyle w:val="ListParagraph"/>
        <w:numPr>
          <w:ilvl w:val="0"/>
          <w:numId w:val="1"/>
        </w:numPr>
      </w:pPr>
      <w:r>
        <w:t xml:space="preserve">迟到早退：30 分钟以内每次扣 20 元；30 分钟以上按半天事假处理。本题中考勤表已注明处理口径。</w:t>
      </w:r>
    </w:p>
    <w:p>
      <w:pPr>
        <w:pStyle w:val="ListParagraph"/>
        <w:numPr>
          <w:ilvl w:val="0"/>
          <w:numId w:val="1"/>
        </w:numPr>
      </w:pPr>
      <w:r>
        <w:t xml:space="preserve">工作日加班：按小时工资 1.5 倍计发；休息日加班：按小时工资 2 倍计发。小时工资按“月固定工资 / 21.75 / 8”估算。</w:t>
      </w:r>
    </w:p>
    <w:p>
      <w:pPr>
        <w:pStyle w:val="ListParagraph"/>
        <w:numPr>
          <w:ilvl w:val="0"/>
          <w:numId w:val="1"/>
        </w:numPr>
      </w:pPr>
      <w:r>
        <w:t xml:space="preserve">绩效奖金、岗位补贴、餐补、交通补贴以业务或审批单为准；没有审批依据的项目不得直接计入工资。</w:t>
      </w:r>
    </w:p>
    <w:p>
      <w:pPr>
        <w:pStyle w:val="ListParagraph"/>
        <w:numPr>
          <w:ilvl w:val="0"/>
          <w:numId w:val="1"/>
        </w:numPr>
      </w:pPr>
      <w:r>
        <w:t xml:space="preserve">社保、公积金个人部分按员工表中给出的本月个人扣款金额处理。</w:t>
      </w:r>
    </w:p>
    <w:p>
      <w:pPr>
        <w:pStyle w:val="ListParagraph"/>
        <w:numPr>
          <w:ilvl w:val="0"/>
          <w:numId w:val="1"/>
        </w:numPr>
      </w:pPr>
      <w:r>
        <w:t xml:space="preserve">个税预扣：本题只要求你计算税前工资、五险一金个人扣款后收入、专项附加扣除后的应税收入；是否进一步计算个税可作为进阶项。</w:t>
      </w:r>
    </w:p>
    <w:p>
      <w:pPr>
        <w:pStyle w:val="Heading1"/>
      </w:pPr>
      <w:r>
        <w:t xml:space="preserve">三、原始信息中的不完整和冲突点</w:t>
      </w:r>
    </w:p>
    <w:p>
      <w:pPr>
        <w:pStyle w:val="BodyText"/>
      </w:pPr>
      <w:r>
        <w:t xml:space="preserve">1. 销售部经理在群里说：“王海 8 月业绩不错，奖金按 1800 给。”但绩效审批表里王海只有 1200 元，备注写着“待总监复核”。</w:t>
      </w:r>
    </w:p>
    <w:p>
      <w:pPr>
        <w:pStyle w:val="BodyText"/>
      </w:pPr>
      <w:r>
        <w:t xml:space="preserve">2. 技术支持部主管口头反馈：“刘琪 8 月有几天病假，应该别扣太多。”考勤导出显示刘琪病假 2 天，其中 1 天未上传证明。</w:t>
      </w:r>
    </w:p>
    <w:p>
      <w:pPr>
        <w:pStyle w:val="BodyText"/>
      </w:pPr>
      <w:r>
        <w:t xml:space="preserve">3. 生产运营部的夜班补贴由班组长手工登记，陈立本月登记 11 天，但排班表只有 9 天夜班。</w:t>
      </w:r>
    </w:p>
    <w:p>
      <w:pPr>
        <w:pStyle w:val="BodyText"/>
      </w:pPr>
      <w:r>
        <w:t xml:space="preserve">4. 新员工赵敏 8 月 12 日入职，Offer 写月薪 8200 元，入职审批表写试用期 7800 元，HR 备注“按 Offer 执行，待补审批”。</w:t>
      </w:r>
    </w:p>
    <w:p>
      <w:pPr>
        <w:pStyle w:val="BodyText"/>
      </w:pPr>
      <w:r>
        <w:t xml:space="preserve">5. 离职员工周晨最后工作日为 8 月 23 日，交接单显示 8 月 24 日仍有半天远程支持，主管说“可以算加班或补半天工资，你们看规则”。</w:t>
      </w:r>
    </w:p>
    <w:p>
      <w:pPr>
        <w:pStyle w:val="BodyText"/>
      </w:pPr>
      <w:r>
        <w:t xml:space="preserve">6. 供应链部孙杰本月有交通补贴 400 元，但补贴审批单日期是 9 月 1 日，未说明归属月份。</w:t>
      </w:r>
    </w:p>
    <w:p>
      <w:pPr>
        <w:pStyle w:val="Heading1"/>
      </w:pPr>
      <w:r>
        <w:t xml:space="preserve">四、你需要完成的工作</w:t>
      </w:r>
    </w:p>
    <w:p>
      <w:pPr>
        <w:pStyle w:val="ListParagraph"/>
        <w:numPr>
          <w:ilvl w:val="0"/>
          <w:numId w:val="1"/>
        </w:numPr>
      </w:pPr>
      <w:r>
        <w:t xml:space="preserve">在 Excel 的“工资核算表”中完成每名员工的本月工资核算初稿。</w:t>
      </w:r>
    </w:p>
    <w:p>
      <w:pPr>
        <w:pStyle w:val="ListParagraph"/>
        <w:numPr>
          <w:ilvl w:val="0"/>
          <w:numId w:val="1"/>
        </w:numPr>
      </w:pPr>
      <w:r>
        <w:t xml:space="preserve">区分“可直接计算的数据”和“需要确认后才能入账的数据”。</w:t>
      </w:r>
    </w:p>
    <w:p>
      <w:pPr>
        <w:pStyle w:val="ListParagraph"/>
        <w:numPr>
          <w:ilvl w:val="0"/>
          <w:numId w:val="1"/>
        </w:numPr>
      </w:pPr>
      <w:r>
        <w:t xml:space="preserve">在“异常确认清单”中列出每个异常点、影响金额或影响项目、需要找谁确认、建议处理口径。</w:t>
      </w:r>
    </w:p>
    <w:p>
      <w:pPr>
        <w:pStyle w:val="ListParagraph"/>
        <w:numPr>
          <w:ilvl w:val="0"/>
          <w:numId w:val="1"/>
        </w:numPr>
      </w:pPr>
      <w:r>
        <w:t xml:space="preserve">检查入职、离职、病事假、加班、补贴、绩效、社保公积金、专项附加扣除是否遗漏。</w:t>
      </w:r>
    </w:p>
    <w:p>
      <w:pPr>
        <w:pStyle w:val="ListParagraph"/>
        <w:numPr>
          <w:ilvl w:val="0"/>
          <w:numId w:val="1"/>
        </w:numPr>
      </w:pPr>
      <w:r>
        <w:t xml:space="preserve">输出一版可以给薪酬主管复核的工资核算表，不要求你给员工本人发送工资条。</w:t>
      </w:r>
    </w:p>
    <w:p>
      <w:pPr>
        <w:pStyle w:val="Heading1"/>
      </w:pPr>
      <w:r>
        <w:t xml:space="preserve">五、提交要求</w:t>
      </w:r>
    </w:p>
    <w:p>
      <w:pPr>
        <w:pStyle w:val="ListParagraph"/>
        <w:numPr>
          <w:ilvl w:val="0"/>
          <w:numId w:val="1"/>
        </w:numPr>
      </w:pPr>
      <w:r>
        <w:t xml:space="preserve">提交填写后的 Excel 工作簿。</w:t>
      </w:r>
    </w:p>
    <w:p>
      <w:pPr>
        <w:pStyle w:val="ListParagraph"/>
        <w:numPr>
          <w:ilvl w:val="0"/>
          <w:numId w:val="1"/>
        </w:numPr>
      </w:pPr>
      <w:r>
        <w:t xml:space="preserve">另写 5-8 条核算说明，说明你采用的关键计算口径和仍需确认的问题。</w:t>
      </w:r>
    </w:p>
    <w:p>
      <w:pPr>
        <w:pStyle w:val="ListParagraph"/>
        <w:numPr>
          <w:ilvl w:val="0"/>
          <w:numId w:val="1"/>
        </w:numPr>
      </w:pPr>
      <w:r>
        <w:t xml:space="preserve">不要只填最终金额，要保留关键过程列，方便主管复核。</w:t>
      </w:r>
    </w:p>
    <w:p>
      <w:pPr>
        <w:pStyle w:val="Heading1"/>
      </w:pPr>
      <w:r>
        <w:t xml:space="preserve">六、评分标准（100 分）</w:t>
      </w:r>
    </w:p>
    <w:tbl>
      <w:tblPr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r>
        <w:tc>
          <w:tcPr>
            <w:tcW w:w="3066" w:type="dxa"/>
            <w:shd w:fill="D9EAF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b/>
              </w:rPr>
              <w:t xml:space="preserve">评分项</w:t>
            </w:r>
          </w:p>
        </w:tc>
        <w:tc>
          <w:tcPr>
            <w:tcW w:w="3066" w:type="dxa"/>
            <w:shd w:fill="D9EAF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b/>
              </w:rPr>
              <w:t xml:space="preserve">分值</w:t>
            </w:r>
          </w:p>
        </w:tc>
        <w:tc>
          <w:tcPr>
            <w:tcW w:w="3066" w:type="dxa"/>
            <w:shd w:fill="D9EAF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b/>
              </w:rPr>
              <w:t xml:space="preserve">评分要点</w:t>
            </w:r>
          </w:p>
        </w:tc>
      </w:tr>
      <w:tr>
        <w:tc>
          <w:tcPr>
            <w:tcW w:w="3066" w:type="dxa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 xml:space="preserve">基础数据整理</w:t>
            </w:r>
          </w:p>
        </w:tc>
        <w:tc>
          <w:tcPr>
            <w:tcW w:w="3066" w:type="dxa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 xml:space="preserve">15</w:t>
            </w:r>
          </w:p>
        </w:tc>
        <w:tc>
          <w:tcPr>
            <w:tcW w:w="3066" w:type="dxa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 xml:space="preserve">能正确识别部门、岗位、工资标准、入离职日期、社保公积金等基础信息。</w:t>
            </w:r>
          </w:p>
        </w:tc>
      </w:tr>
      <w:tr>
        <w:tc>
          <w:tcPr>
            <w:tcW w:w="3066" w:type="dxa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 xml:space="preserve">考勤与缺勤处理</w:t>
            </w:r>
          </w:p>
        </w:tc>
        <w:tc>
          <w:tcPr>
            <w:tcW w:w="3066" w:type="dxa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 xml:space="preserve">20</w:t>
            </w:r>
          </w:p>
        </w:tc>
        <w:tc>
          <w:tcPr>
            <w:tcW w:w="3066" w:type="dxa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 xml:space="preserve">能按规则处理入离职折算、事假、病假、迟到早退，并标出证明缺失风险。</w:t>
            </w:r>
          </w:p>
        </w:tc>
      </w:tr>
      <w:tr>
        <w:tc>
          <w:tcPr>
            <w:tcW w:w="3066" w:type="dxa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 xml:space="preserve">奖金补贴与加班</w:t>
            </w:r>
          </w:p>
        </w:tc>
        <w:tc>
          <w:tcPr>
            <w:tcW w:w="3066" w:type="dxa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 xml:space="preserve">20</w:t>
            </w:r>
          </w:p>
        </w:tc>
        <w:tc>
          <w:tcPr>
            <w:tcW w:w="3066" w:type="dxa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 xml:space="preserve">能区分有依据和待确认项目，合理计算加班费、补贴、绩效。</w:t>
            </w:r>
          </w:p>
        </w:tc>
      </w:tr>
      <w:tr>
        <w:tc>
          <w:tcPr>
            <w:tcW w:w="3066" w:type="dxa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 xml:space="preserve">工资表完整性</w:t>
            </w:r>
          </w:p>
        </w:tc>
        <w:tc>
          <w:tcPr>
            <w:tcW w:w="3066" w:type="dxa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 xml:space="preserve">20</w:t>
            </w:r>
          </w:p>
        </w:tc>
        <w:tc>
          <w:tcPr>
            <w:tcW w:w="3066" w:type="dxa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 xml:space="preserve">应发、扣款、税前、五险一金后收入、应税收入等过程列清晰。</w:t>
            </w:r>
          </w:p>
        </w:tc>
      </w:tr>
      <w:tr>
        <w:tc>
          <w:tcPr>
            <w:tcW w:w="3066" w:type="dxa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 xml:space="preserve">异常风险意识</w:t>
            </w:r>
          </w:p>
        </w:tc>
        <w:tc>
          <w:tcPr>
            <w:tcW w:w="3066" w:type="dxa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 xml:space="preserve">15</w:t>
            </w:r>
          </w:p>
        </w:tc>
        <w:tc>
          <w:tcPr>
            <w:tcW w:w="3066" w:type="dxa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 xml:space="preserve">能提出需要确认的问题、责任人和建议处理口径。</w:t>
            </w:r>
          </w:p>
        </w:tc>
      </w:tr>
      <w:tr>
        <w:tc>
          <w:tcPr>
            <w:tcW w:w="3066" w:type="dxa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 xml:space="preserve">表达与复核便利性</w:t>
            </w:r>
          </w:p>
        </w:tc>
        <w:tc>
          <w:tcPr>
            <w:tcW w:w="3066" w:type="dxa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 xml:space="preserve">10</w:t>
            </w:r>
          </w:p>
        </w:tc>
        <w:tc>
          <w:tcPr>
            <w:tcW w:w="3066" w:type="dxa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 xml:space="preserve">表格结构清楚，备注可追溯，主管能快速复核。</w:t>
            </w:r>
          </w:p>
        </w:tc>
      </w:tr>
    </w:tbl>
    <w:sectPr>
      <w:pgSz w:w="11906" w:h="16838"/>
      <w:pgMar w:top="1080" w:right="900" w:bottom="1080" w:left="90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420" w:hanging="24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</w:rPr>
    </w:rPrDefault>
    <w:pPrDefault>
      <w:pPr>
        <w:spacing w:after="120" w:line="300" w:lineRule="auto"/>
      </w:pPr>
    </w:pPrDefault>
  </w:docDefaults>
  <w:style w:type="paragraph" w:styleId="Normal">
    <w:name w:val="Normal"/>
  </w:style>
  <w:style w:type="paragraph" w:styleId="Title">
    <w:name w:val="Title"/>
    <w:rPr>
      <w:b/>
      <w:sz w:val="38"/>
    </w:rPr>
  </w:style>
  <w:style w:type="paragraph" w:styleId="Heading1">
    <w:name w:val="Heading 1"/>
    <w:pPr>
      <w:spacing w:before="280" w:after="120"/>
    </w:pPr>
    <w:rPr>
      <w:b/>
      <w:sz w:val="27"/>
    </w:rPr>
  </w:style>
  <w:style w:type="paragraph" w:styleId="BodyText">
    <w:name w:val="Body Text"/>
  </w:style>
  <w:style w:type="paragraph" w:styleId="ListParagraph">
    <w:name w:val="List Paragraph"/>
    <w:pPr>
      <w:ind w:left="420" w:hanging="24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