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DA9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150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112"/>
          <w:szCs w:val="19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12"/>
          <w:szCs w:val="192"/>
          <w:lang w:val="en-US" w:eastAsia="zh-CN"/>
          <w14:textFill>
            <w14:solidFill>
              <w14:schemeClr w14:val="tx1"/>
            </w14:solidFill>
          </w14:textFill>
        </w:rPr>
        <w:t>员工关系专员</w:t>
      </w:r>
    </w:p>
    <w:p w14:paraId="328EF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1500" w:lineRule="exact"/>
        <w:jc w:val="center"/>
        <w:textAlignment w:val="auto"/>
        <w:rPr>
          <w:rFonts w:hint="eastAsia" w:ascii="微软雅黑" w:hAnsi="微软雅黑" w:eastAsia="微软雅黑" w:cs="微软雅黑"/>
          <w:b/>
          <w:bCs/>
          <w:color w:val="000000" w:themeColor="text1"/>
          <w:sz w:val="112"/>
          <w:szCs w:val="19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112"/>
          <w:szCs w:val="192"/>
          <w:lang w:val="en-US" w:eastAsia="zh-CN"/>
          <w14:textFill>
            <w14:solidFill>
              <w14:schemeClr w14:val="tx1"/>
            </w14:solidFill>
          </w14:textFill>
        </w:rPr>
        <w:t>HRSSC工作指引</w:t>
      </w:r>
    </w:p>
    <w:p w14:paraId="21382E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left"/>
        <w:textAlignment w:val="auto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员工关系专员主要负责员工</w:t>
      </w:r>
      <w:r>
        <w:rPr>
          <w:rFonts w:hint="eastAsia" w:ascii="微软雅黑" w:hAnsi="微软雅黑" w:eastAsia="微软雅黑" w:cs="微软雅黑"/>
          <w:b/>
          <w:bCs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从入职到离职全流程的手续办理工作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涵盖新员工入职手续办理、离职手续办理、调动手续办理、转正与合同续签、人事系统维护、月度报表制作、员工档案管理、社保公积金办理、工伤事故处理、突发事件处理等。重点维系良好员工关系，确保人力资源工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作有序开展。</w:t>
      </w:r>
    </w:p>
    <w:p w14:paraId="09FB7281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E8EEF9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入职手续办理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4"/>
        <w:gridCol w:w="1840"/>
        <w:gridCol w:w="1207"/>
        <w:gridCol w:w="1207"/>
      </w:tblGrid>
      <w:tr w14:paraId="5DA28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3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6418D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0B779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52396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D804E3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7F86E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3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1584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资料收集与核验：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①材料清单：要求员工提供身份证、学历证（需学信网验证）、离职证明（需原单位盖章）、近期体检报告（指定医院）、1寸证件照（蓝底，电子版+纸质版）、薪资证明。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②核验方法：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a.学历证：登录学信网核对证书编号。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b.离职证明：致电原单位HR确认离职状态。</w:t>
            </w:r>
          </w:p>
          <w:p w14:paraId="086DB12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b.薪资证明：银行打印的带有盖章的工资流水账单。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签署文件：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①指导员工签署《劳动合同》（需逐条解释关键条款，如试用期、薪资结构）。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②同步签署《保密协议》《竞业限制协议》（针对核心岗位）。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入职引导：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①陪同员工至行政部门领取办公设备（电脑、工牌、门禁卡），并演示考勤系统使用方法。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②发送《新员工入职指引邮件》，包含公司通讯录、规章制度链接、培训安排。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 归档与系统录入：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①按“姓名+工号”建立电子档案，扫描所有纸质文件上传至人事系统。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②在系统中开通员工权限（邮箱、OA账号、考勤权限）。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F7EA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《员工入职管理办法》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《劳动合同》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《保密协议》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《员工手册》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48EE1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用人部门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IT部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法务部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4A2B530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入职当天完成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（特殊岗位可延长至3天）</w:t>
            </w:r>
          </w:p>
        </w:tc>
      </w:tr>
    </w:tbl>
    <w:p w14:paraId="36B36A3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6454BD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问题1：员工无法提供离职证明</w:t>
      </w:r>
    </w:p>
    <w:p w14:paraId="045F67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应对：要求签署《无离职证明声明》，并延长背景调查周期。</w:t>
      </w:r>
    </w:p>
    <w:p w14:paraId="7215B2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问题2：学历证书疑似造假</w:t>
      </w:r>
    </w:p>
    <w:p w14:paraId="185D05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应对：暂缓入职，要求提供教育部认证报告。</w:t>
      </w:r>
    </w:p>
    <w:p w14:paraId="521F8892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离职手续办理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3"/>
        <w:gridCol w:w="1841"/>
        <w:gridCol w:w="1207"/>
        <w:gridCol w:w="1207"/>
      </w:tblGrid>
      <w:tr w14:paraId="2E4D8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32326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E591C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9712EB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83CDF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09E2B0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4F45E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离职申请与审批：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①员工提交《离职申请审批表》后，需用人部门负责人填写“工作交接建议”及“离职原因分析”。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②对核心岗位员工，HR需与部门负责人共同制定离职挽留方案。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离职面谈：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①面谈内容：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a.离职主要原因（薪资、晋升、工作环境）。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b.对公司管理的建议。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c.是否愿意接受未来返聘。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②记录要求：详细填写《离职面谈记录表》，存档备查。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工作交接：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①交接清单：包括文件、账号密码、客户资料、未完成项目进度。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②监督机制：交接双方及HR需在《工作移交表》签字确认，IT部协助回收系统权限。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 社保与薪资结算：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①离职当月15日前离职，停缴当月社保；15日后离职，缴纳全月社保。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②工资结算需扣除未归还物资费用（如电脑损坏），并邮件发送《薪资结算明细》。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5. 离职证明与档案处理：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①开具《解除劳动合同证明》（注明离职性质为“自愿/协商一致/辞退”）。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②纸质档案密封后移交档案室，电子档案标记“已离职”。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DCB85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《员工离职管理办法》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《工作移交表》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《离职面谈记录表》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2223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用人部门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财务部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IT部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法务部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3B027E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正式离职前5天启动流程</w:t>
            </w:r>
          </w:p>
        </w:tc>
      </w:tr>
    </w:tbl>
    <w:p w14:paraId="38FD6C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455F8D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问题1：员工拒绝交接</w:t>
      </w:r>
    </w:p>
    <w:p w14:paraId="3DB5C4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应对：暂缓发放离职证明，发函要求限期完成；若仍不配合，法务介入。</w:t>
      </w:r>
    </w:p>
    <w:p w14:paraId="14D87A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问题2：离职后薪资纠纷</w:t>
      </w:r>
    </w:p>
    <w:p w14:paraId="6E8204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应对：保留所有沟通记录，提交仲裁机构备案。</w:t>
      </w:r>
    </w:p>
    <w:p w14:paraId="07E438DA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调动手续办理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3"/>
        <w:gridCol w:w="1841"/>
        <w:gridCol w:w="1207"/>
        <w:gridCol w:w="1207"/>
      </w:tblGrid>
      <w:tr w14:paraId="4E3F7E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504D9D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CD9756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2AA8D5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0DDE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6DC5B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BC6B6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调动审批：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①接收部门提交《员工调动申请表》，需注明调动原因（如项目需求、岗位调整）、新岗位职责及薪资变动。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②HR需评估员工绩效是否符合新岗位要求，必要时安排能力测试。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工作交接：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①原部门需在3个工作日内完成交接，并提交《工作移交表》至HR备案。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②新部门负责人需签署《岗位适配确认书》。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系统与权限调整：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①IT部需在24小时内更新员工系统信息（部门、职级、审批权限）。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②重新开通门禁卡权限，并邮件通知全员调整信息。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4. 员工沟通：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①HR需与员工面谈，说明调动原因、新岗位发展路径及考核标准。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②发放《调动确认函》，要求员工签字确认。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F39FA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《员工异动管理办法》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《岗位适配确认书》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《人事系统操作手册》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3761C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调出/调入部门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IT部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76B45A9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调动生效前7个工作日完成</w:t>
            </w:r>
          </w:p>
        </w:tc>
      </w:tr>
    </w:tbl>
    <w:p w14:paraId="5BB844B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1CE74C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问题1：员工拒绝调动</w:t>
      </w:r>
    </w:p>
    <w:p w14:paraId="35888F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应对：协商修改调动方案；若协商失败，按劳动合同约定处理。</w:t>
      </w:r>
    </w:p>
    <w:p w14:paraId="298F48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问题2：权限调整延迟</w:t>
      </w:r>
    </w:p>
    <w:p w14:paraId="1871DD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应对：建立IT响应机制，超时未处理需升级上报。</w:t>
      </w:r>
    </w:p>
    <w:p w14:paraId="7BEC0F44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转正与合同续签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3"/>
        <w:gridCol w:w="1841"/>
        <w:gridCol w:w="1207"/>
        <w:gridCol w:w="1207"/>
      </w:tblGrid>
      <w:tr w14:paraId="7C63F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7EC72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642D53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97CCA1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4B95BC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2C85E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D81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转正评估：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①试用期结束前15天，向员工发放《试用期述职报告模板》，要求总结工作成果及改进计划。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②用人部门填写《转正评估表》（含绩效评分、能力评价、团队协作）。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③HR组织转正答辩会，邀请部门负责人参与评审。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合同续签：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①合同到期前30天，向员工发送《续签意向书》（明确薪资调整幅度、岗位变动）。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②若员工提出异议，HR需在5个工作日内协商修订条款。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③续签完成后，更新《劳动合同台账》并通知薪资部门调整薪酬。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8EA7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《试用期管理办法》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《劳动合同续签指引》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《薪资调整审批表》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DE81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用人部门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法务部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财务部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27C4F1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转正流程：试用期结束前15天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续签流程：合同到期前30天</w:t>
            </w:r>
          </w:p>
        </w:tc>
      </w:tr>
    </w:tbl>
    <w:p w14:paraId="289294D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34F847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问题1：员工要求大幅涨薪</w:t>
      </w:r>
    </w:p>
    <w:p w14:paraId="4EB232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应对：提供市场薪资数据，协商阶梯式涨薪方案。</w:t>
      </w:r>
    </w:p>
    <w:p w14:paraId="042EEE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问题2：公司不愿续签</w:t>
      </w:r>
    </w:p>
    <w:p w14:paraId="0E7D72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应对：提前30天书面通知，依法支付经济补偿。</w:t>
      </w:r>
    </w:p>
    <w:p w14:paraId="65D8BE8D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人事系统维护</w:t>
      </w:r>
    </w:p>
    <w:tbl>
      <w:tblPr>
        <w:tblStyle w:val="4"/>
        <w:tblW w:w="1093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5"/>
        <w:gridCol w:w="1814"/>
        <w:gridCol w:w="1191"/>
        <w:gridCol w:w="1191"/>
      </w:tblGrid>
      <w:tr w14:paraId="70C15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73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1F95A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18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4D37F6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11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520E3F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11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2A8C93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17227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673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09CAF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数据录入与更新：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①每日检查入职、离职、调动数据，确保与纸质档案一致。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②新增员工信息需包含紧急联系人、银行卡号、学历背景等完整字段。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权限管理：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①离职员工账号需在24小时内冻结，并导出工作文件移交部门负责人。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②新员工权限开通后，需发送《系统使用指南》并安排IT培训。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数据安全：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①每月备份系统数据至加密硬盘，禁止使用公共网络传输敏感信息。</w:t>
            </w:r>
          </w:p>
        </w:tc>
        <w:tc>
          <w:tcPr>
            <w:tcW w:w="18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CD20F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《人事信息系统操作规范》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《数据安全管理办法》</w:t>
            </w:r>
          </w:p>
        </w:tc>
        <w:tc>
          <w:tcPr>
            <w:tcW w:w="11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433B0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IT部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各部门文员</w:t>
            </w:r>
          </w:p>
        </w:tc>
        <w:tc>
          <w:tcPr>
            <w:tcW w:w="11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6A7E1F9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数据更新：每日下班前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权限调整：24小时内</w:t>
            </w:r>
          </w:p>
        </w:tc>
      </w:tr>
    </w:tbl>
    <w:p w14:paraId="60EE04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34A767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问题1：系统数据与档案不符</w:t>
      </w:r>
    </w:p>
    <w:p w14:paraId="156B1E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应对：每周随机抽查10%档案，错误率超5%需全员复盘。</w:t>
      </w:r>
    </w:p>
    <w:p w14:paraId="13E894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问题2：账号泄露</w:t>
      </w:r>
    </w:p>
    <w:p w14:paraId="19A26F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应对：立即重置密码，排查操作日志，追究责任人。</w:t>
      </w:r>
    </w:p>
    <w:p w14:paraId="416634B4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月度报表制作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3"/>
        <w:gridCol w:w="1841"/>
        <w:gridCol w:w="1207"/>
        <w:gridCol w:w="1207"/>
      </w:tblGrid>
      <w:tr w14:paraId="65729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8B4115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6BBA33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2FFE59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1C44160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3F3CA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B4FD4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数据采集：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①每月1日导出考勤数据，核对迟到、请假、加班记录。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②与财务部对接薪资变动数据（如绩效奖金、社保扣款）。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报表生成：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①《人员花名册》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：按部门、职级、入职时间分类，标注试用期状态。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②《社保公积金明细表》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：列明个人缴费基数、公司缴纳比例、补缴金额。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③《离职率分析表》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：统计月度离职原因分布（主动/被动/合同到期）。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提交与归档：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①报表需经HR负责人签字后，原件提交财务部，复印件按“年份月份”归档。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②电子版同步上传至共享盘，权限设置为“仅管理层可见”。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ABB64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《人事报表管理规范》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《数据保密协议》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33F2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财务部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高层管理层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IT部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7589CF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每月5日前完成</w:t>
            </w:r>
          </w:p>
        </w:tc>
      </w:tr>
    </w:tbl>
    <w:p w14:paraId="296F456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7B22AC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问题1：数据口径不一致</w:t>
      </w:r>
    </w:p>
    <w:p w14:paraId="107A95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应对：建立统一数据字典，定期培训各部门文员。</w:t>
      </w:r>
    </w:p>
    <w:p w14:paraId="27FF3F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问题2：报表泄露</w:t>
      </w:r>
    </w:p>
    <w:p w14:paraId="1AEF94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应对：设置文件水印，限制打印权限。</w:t>
      </w:r>
    </w:p>
    <w:p w14:paraId="3CE4DB4B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员工档案管理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3"/>
        <w:gridCol w:w="1841"/>
        <w:gridCol w:w="1207"/>
        <w:gridCol w:w="1207"/>
      </w:tblGrid>
      <w:tr w14:paraId="6AB880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249E9D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19E942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28C3CF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247DF2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69BCC6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A5368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归档标准：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①纸质档案：按“部门入职年份”分类，档案袋封面注明员工姓名、工号、岗位、档案目录。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②电子档案：加密存储，命名规则为“工号+姓名+归档日期”。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借阅流程：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①填写《档案调阅申请单》，注明借阅目的、期限，经HR负责人审批。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②借阅期间不得拆封档案袋，归还时需双方签字确认。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定期维护：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①每季度抽查档案完整性，缺失资料需限期补全。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②离职满5年的档案可移交至公司仓库，保留电子版备查。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4D764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《员工档案管理办法》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《档案销毁审批表》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A5FC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行政部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安全管理部门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5EAFE3A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入职/离职后3个工作日内归档</w:t>
            </w:r>
          </w:p>
        </w:tc>
      </w:tr>
    </w:tbl>
    <w:p w14:paraId="13DCFC30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6DB945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问题1：档案丢失</w:t>
      </w:r>
    </w:p>
    <w:p w14:paraId="70033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应对：启动倒查机制，追究保管人责任，补办关键文件。</w:t>
      </w:r>
    </w:p>
    <w:p w14:paraId="4EB5C7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问题2：未经授权调阅</w:t>
      </w:r>
    </w:p>
    <w:p w14:paraId="47828D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应对：升级档案柜锁具，记录调阅日志。</w:t>
      </w:r>
    </w:p>
    <w:p w14:paraId="13F3A43A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社保公积金办理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3"/>
        <w:gridCol w:w="1841"/>
        <w:gridCol w:w="1207"/>
        <w:gridCol w:w="1207"/>
      </w:tblGrid>
      <w:tr w14:paraId="197C7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814BF7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B2EF4C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1871FE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A81FB3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77E6C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2989A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增减员操作：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①每月15日前汇总各部门人员异动信息，填写《社保公积金增减员表》。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②核对缴费基数（按上年度月均工资），新员工基数不足时按最低标准缴纳。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异常处理：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①发现漏缴时，3个工作日内提交《社保补缴申请表》并支付滞纳金。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②员工对缴费基数有异议时，需提供银行流水重新核算。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公积金提取：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①员工申请租房提取时，需提供租房合同、身份证复印件，HR协助盖章。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11A6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《社会保险法》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《住房公积金操作细则》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《社保补缴申请表》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1F21C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财务部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社保局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公积金中心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7924A24F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每月20日前完成增减员</w:t>
            </w:r>
          </w:p>
        </w:tc>
      </w:tr>
    </w:tbl>
    <w:p w14:paraId="16415028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0D57D1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问题1：社保系统故障</w:t>
      </w:r>
    </w:p>
    <w:p w14:paraId="5880BA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auto"/>
          <w:sz w:val="24"/>
          <w:szCs w:val="24"/>
        </w:rPr>
        <w:t>应对：保存提交截图，次日优先处理。</w:t>
      </w:r>
    </w:p>
    <w:p w14:paraId="112F67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问题2：员工跨省转移社保</w:t>
      </w:r>
    </w:p>
    <w:p w14:paraId="08E899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</w:pPr>
      <w:r>
        <w:rPr>
          <w:rFonts w:hint="eastAsia" w:ascii="微软雅黑" w:hAnsi="微软雅黑" w:eastAsia="微软雅黑" w:cs="微软雅黑"/>
          <w:color w:val="E54C5E" w:themeColor="accent6"/>
          <w:sz w:val="24"/>
          <w:szCs w:val="24"/>
          <w14:textFill>
            <w14:solidFill>
              <w14:schemeClr w14:val="accent6"/>
            </w14:solidFill>
          </w14:textFill>
        </w:rPr>
        <w:t>应对：提供《参保凭证》，协助线上办理转移手续。</w:t>
      </w:r>
    </w:p>
    <w:p w14:paraId="6ACD01E9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工伤事故处理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3"/>
        <w:gridCol w:w="1841"/>
        <w:gridCol w:w="1207"/>
        <w:gridCol w:w="1207"/>
      </w:tblGrid>
      <w:tr w14:paraId="41A09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9CE3A1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3E59CD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75801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4F9973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41E0D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3B93A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事故上报与急救：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①立即护送员工至定点医院，垫付医疗费用，保存所有票据。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②24小时内填写《工伤事故报告表》，附现场照片、证人笔录。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工伤认定：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E54C5E" w:themeColor="accent6"/>
                <w:kern w:val="0"/>
                <w:sz w:val="24"/>
                <w:szCs w:val="24"/>
                <w:u w:val="none"/>
                <w:lang w:val="en-US" w:eastAsia="zh-CN" w:bidi="ar"/>
                <w14:textFill>
                  <w14:solidFill>
                    <w14:schemeClr w14:val="accent6"/>
                  </w14:solidFill>
                </w14:textFill>
              </w:rPr>
              <w:t>①3日内向社保局提交《工伤认定申请表》、诊断证明、劳动关系证明。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②跟踪认定进度，若被驳回需补充证据重新申请。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赔偿与复工：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①伤残鉴定后，协助员工申请一次性伤残补助金。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②复工前评估岗位适应性，必要时调整工作内容。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913FF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《工伤保险条例》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《工伤认定流程图》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《伤残等级鉴定标准》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6AF78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安全管理部门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法务部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社保局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7AE579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事故发生后24小时内启动流程</w:t>
            </w:r>
          </w:p>
        </w:tc>
      </w:tr>
    </w:tbl>
    <w:p w14:paraId="6F65152B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150A42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问题1：员工夸大伤情</w:t>
      </w:r>
    </w:p>
    <w:p w14:paraId="599D7C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应对：要求第三方医院复检，留存检查报告。</w:t>
      </w:r>
    </w:p>
    <w:p w14:paraId="5CF58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问题2：企业责任不明确</w:t>
      </w:r>
    </w:p>
    <w:p w14:paraId="4542F0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应对：委托律师参与事故调查，规避法律风险。</w:t>
      </w:r>
    </w:p>
    <w:p w14:paraId="3FA15E9D">
      <w:pPr>
        <w:keepNext w:val="0"/>
        <w:keepLines w:val="0"/>
        <w:pageBreakBefore w:val="0"/>
        <w:widowControl w:val="0"/>
        <w:numPr>
          <w:ilvl w:val="0"/>
          <w:numId w:val="2"/>
        </w:numPr>
        <w:shd w:val="clear" w:fill="DBE3F4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after="63" w:afterLines="20" w:line="380" w:lineRule="exact"/>
        <w:ind w:left="0" w:leftChars="0" w:firstLine="0" w:firstLineChars="0"/>
        <w:jc w:val="center"/>
        <w:textAlignment w:val="auto"/>
        <w:rPr>
          <w:rFonts w:hint="eastAsia" w:ascii="汉仪文黑-85W" w:hAnsi="汉仪文黑-85W" w:eastAsia="汉仪文黑-85W" w:cs="汉仪文黑-85W"/>
          <w:sz w:val="30"/>
          <w:szCs w:val="30"/>
        </w:rPr>
      </w:pPr>
      <w:r>
        <w:rPr>
          <w:rFonts w:hint="eastAsia" w:ascii="汉仪文黑-85W" w:hAnsi="汉仪文黑-85W" w:eastAsia="汉仪文黑-85W" w:cs="汉仪文黑-85W"/>
          <w:sz w:val="30"/>
          <w:szCs w:val="30"/>
        </w:rPr>
        <w:t>突发事件处理</w:t>
      </w: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3"/>
        <w:gridCol w:w="1841"/>
        <w:gridCol w:w="1207"/>
        <w:gridCol w:w="1207"/>
      </w:tblGrid>
      <w:tr w14:paraId="0E50B9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24A281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操作步骤与详细说明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52F58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适用制度/表格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988D7E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协调部门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F26C16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FFFFFF"/>
                <w:kern w:val="0"/>
                <w:sz w:val="24"/>
                <w:szCs w:val="24"/>
                <w:u w:val="none"/>
                <w:lang w:val="en-US" w:eastAsia="zh-CN" w:bidi="ar"/>
              </w:rPr>
              <w:t>时间要求</w:t>
            </w:r>
          </w:p>
        </w:tc>
      </w:tr>
      <w:tr w14:paraId="780F6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062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EEDD9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1. 劳动纠纷调解：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①收到员工投诉后，48小时内安排面谈，记录争议焦点。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②涉及薪资、歧视等敏感问题时，需法务部介入并制定解决方案。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2. 群体性事件应对：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①如罢工、集体离职，立即上报高层并启动应急预案。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②对外统一口径，避免媒体误报。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3. 政策变动响应：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①及时解读最新劳动法规，修订内部制度并组织培训。</w:t>
            </w:r>
          </w:p>
        </w:tc>
        <w:tc>
          <w:tcPr>
            <w:tcW w:w="83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A86BA8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《劳动争议处理办法》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《危机公关应急预案》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《政策更新通知模板》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BFC029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center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法务部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公关部</w:t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高层管理层</w:t>
            </w:r>
          </w:p>
        </w:tc>
        <w:tc>
          <w:tcPr>
            <w:tcW w:w="54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E8EEF9"/>
            <w:vAlign w:val="center"/>
          </w:tcPr>
          <w:p w14:paraId="55106D7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left"/>
              <w:textAlignment w:val="center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即时响应</w:t>
            </w:r>
          </w:p>
        </w:tc>
      </w:tr>
    </w:tbl>
    <w:p w14:paraId="15AFEF4C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left="0" w:leftChars="0" w:firstLine="0" w:firstLineChars="0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</w:rPr>
        <w:t>常见问题与应对措施</w:t>
      </w:r>
      <w:r>
        <w:rPr>
          <w:rFonts w:hint="eastAsia" w:ascii="微软雅黑" w:hAnsi="微软雅黑" w:eastAsia="微软雅黑" w:cs="微软雅黑"/>
          <w:b/>
          <w:bCs/>
          <w:sz w:val="24"/>
          <w:szCs w:val="24"/>
          <w:lang w:eastAsia="zh-CN"/>
        </w:rPr>
        <w:t>：</w:t>
      </w:r>
    </w:p>
    <w:p w14:paraId="65902B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问题1：员工网络曝光负面信息</w:t>
      </w:r>
    </w:p>
    <w:p w14:paraId="26AFAD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应对：迅速联系删除，发布官方声明，内部彻查。</w:t>
      </w:r>
    </w:p>
    <w:p w14:paraId="3CB588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问题2：法规变动导致成本增加</w:t>
      </w:r>
    </w:p>
    <w:p w14:paraId="309C3E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80" w:lineRule="exact"/>
        <w:ind w:firstLine="480" w:firstLineChars="200"/>
        <w:jc w:val="both"/>
        <w:textAlignment w:val="auto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应对：调整预算方案，优化人力结构。</w:t>
      </w:r>
    </w:p>
    <w:sectPr>
      <w:footerReference r:id="rId3" w:type="default"/>
      <w:pgSz w:w="11906" w:h="16838"/>
      <w:pgMar w:top="850" w:right="567" w:bottom="850" w:left="567" w:header="851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1" w:fontKey="{A5E26B79-9528-458A-AE8E-5EE45A0484D9}"/>
  </w:font>
  <w:font w:name="汉仪文黑-85W">
    <w:panose1 w:val="00020600040101010101"/>
    <w:charset w:val="86"/>
    <w:family w:val="auto"/>
    <w:pitch w:val="default"/>
    <w:sig w:usb0="A00002BF" w:usb1="1ACF7CFA" w:usb2="00000016" w:usb3="00000000" w:csb0="0004009F" w:csb1="DFD70000"/>
    <w:embedRegular r:id="rId2" w:fontKey="{EB8AAA0B-C760-439A-9B4D-F9A1CFAB8C5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683D8E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2B0EA8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2B0EA8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1024px;height:1024px" o:bullet="t">
        <v:imagedata r:id="rId1" o:title=""/>
      </v:shape>
    </w:pict>
  </w:numPicBullet>
  <w:abstractNum w:abstractNumId="0">
    <w:nsid w:val="8DFCF3D8"/>
    <w:multiLevelType w:val="singleLevel"/>
    <w:tmpl w:val="8DFCF3D8"/>
    <w:lvl w:ilvl="0" w:tentative="0">
      <w:start w:val="1"/>
      <w:numFmt w:val="bullet"/>
      <w:lvlText w:val="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AEB8AF0"/>
    <w:multiLevelType w:val="multilevel"/>
    <w:tmpl w:val="EAEB8A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eastAsia"/>
        <w:sz w:val="24"/>
        <w:szCs w:val="24"/>
      </w:rPr>
    </w:lvl>
    <w:lvl w:ilvl="1" w:tentative="0">
      <w:start w:val="1"/>
      <w:numFmt w:val="lowerLetter"/>
      <w:pStyle w:val="6"/>
      <w:lvlText w:val="%2."/>
      <w:lvlJc w:val="left"/>
      <w:pPr>
        <w:tabs>
          <w:tab w:val="left" w:pos="1440"/>
        </w:tabs>
        <w:ind w:left="1440" w:hanging="360"/>
      </w:pPr>
      <w:rPr>
        <w:rFonts w:hint="eastAsia"/>
        <w:sz w:val="24"/>
        <w:szCs w:val="24"/>
      </w:rPr>
    </w:lvl>
    <w:lvl w:ilvl="2" w:tentative="0">
      <w:start w:val="1"/>
      <w:numFmt w:val="lowerRoman"/>
      <w:lvlText w:val="%3."/>
      <w:lvlJc w:val="left"/>
      <w:pPr>
        <w:tabs>
          <w:tab w:val="left" w:pos="2160"/>
        </w:tabs>
        <w:ind w:left="2160" w:hanging="360"/>
      </w:pPr>
      <w:rPr>
        <w:rFonts w:hint="eastAsia"/>
        <w:sz w:val="24"/>
        <w:szCs w:val="24"/>
      </w:rPr>
    </w:lvl>
    <w:lvl w:ilvl="3" w:tentative="0">
      <w:start w:val="1"/>
      <w:numFmt w:val="decimalEnclosedCircleChinese"/>
      <w:lvlText w:val="%4."/>
      <w:lvlJc w:val="left"/>
      <w:pPr>
        <w:tabs>
          <w:tab w:val="left" w:pos="2517"/>
        </w:tabs>
        <w:ind w:left="2880" w:hanging="360"/>
      </w:pPr>
      <w:rPr>
        <w:rFonts w:hint="eastAsia"/>
        <w:sz w:val="24"/>
        <w:szCs w:val="24"/>
      </w:rPr>
    </w:lvl>
    <w:lvl w:ilvl="4" w:tentative="0">
      <w:start w:val="1"/>
      <w:numFmt w:val="chineseLegalSimplified"/>
      <w:lvlText w:val="%5."/>
      <w:lvlJc w:val="left"/>
      <w:pPr>
        <w:tabs>
          <w:tab w:val="left" w:pos="3238"/>
        </w:tabs>
        <w:ind w:left="3600" w:hanging="360"/>
      </w:pPr>
      <w:rPr>
        <w:rFonts w:hint="eastAsia"/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rFonts w:hint="eastAsia"/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rFonts w:hint="eastAsia"/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rFonts w:hint="eastAsia"/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rFonts w:hint="eastAsia"/>
        <w:sz w:val="24"/>
        <w:szCs w:val="24"/>
      </w:rPr>
    </w:lvl>
  </w:abstractNum>
  <w:abstractNum w:abstractNumId="2">
    <w:nsid w:val="02FD04CD"/>
    <w:multiLevelType w:val="singleLevel"/>
    <w:tmpl w:val="02FD04C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saveSubset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A374AC"/>
    <w:rsid w:val="01857DAB"/>
    <w:rsid w:val="04750903"/>
    <w:rsid w:val="08AD1FDA"/>
    <w:rsid w:val="0CA350E8"/>
    <w:rsid w:val="134273A6"/>
    <w:rsid w:val="1C7178DF"/>
    <w:rsid w:val="212A0862"/>
    <w:rsid w:val="29346369"/>
    <w:rsid w:val="29473225"/>
    <w:rsid w:val="2C3B50DA"/>
    <w:rsid w:val="2F2B7297"/>
    <w:rsid w:val="2F8530AA"/>
    <w:rsid w:val="31743C8B"/>
    <w:rsid w:val="359E6C74"/>
    <w:rsid w:val="35E24C51"/>
    <w:rsid w:val="3BB07701"/>
    <w:rsid w:val="3C2B0D78"/>
    <w:rsid w:val="441D4202"/>
    <w:rsid w:val="4654512D"/>
    <w:rsid w:val="46A41C10"/>
    <w:rsid w:val="4CFF4044"/>
    <w:rsid w:val="4D7A191D"/>
    <w:rsid w:val="4EC916AF"/>
    <w:rsid w:val="52750905"/>
    <w:rsid w:val="538452A3"/>
    <w:rsid w:val="54752A66"/>
    <w:rsid w:val="556709D9"/>
    <w:rsid w:val="56FB3ACE"/>
    <w:rsid w:val="60D9330D"/>
    <w:rsid w:val="61CB742E"/>
    <w:rsid w:val="68321007"/>
    <w:rsid w:val="6DA374AC"/>
    <w:rsid w:val="6E712470"/>
    <w:rsid w:val="76DA32A9"/>
    <w:rsid w:val="79A27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6">
    <w:name w:val="自定义编号"/>
    <w:basedOn w:val="1"/>
    <w:uiPriority w:val="0"/>
    <w:pPr>
      <w:numPr>
        <w:ilvl w:val="1"/>
        <w:numId w:val="1"/>
      </w:numPr>
      <w:spacing w:beforeAutospacing="1" w:afterAutospacing="1"/>
      <w:ind w:left="1440" w:hanging="360"/>
    </w:pPr>
    <w:rPr>
      <w:rFonts w:asciiTheme="minorAscii" w:hAnsiTheme="minorAscii" w:cstheme="minorEastAsia"/>
      <w:kern w:val="0"/>
      <w:sz w:val="24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1991</Words>
  <Characters>2036</Characters>
  <Lines>0</Lines>
  <Paragraphs>0</Paragraphs>
  <TotalTime>19</TotalTime>
  <ScaleCrop>false</ScaleCrop>
  <LinksUpToDate>false</LinksUpToDate>
  <CharactersWithSpaces>2051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2025-03-22T08:00:00Z</dcterms:created>
  <dc:creator>莫菲</dc:creator>
  <cp:lastModifiedBy>莫菲</cp:lastModifiedBy>
  <dcterms:modified xsi:type="dcterms:W3CDTF">2025-03-24T07:20:25Z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645F9E5C3DF5400CADCB8BB4BEAEB6B8_11</vt:lpwstr>
  </property>
  <property fmtid="{D5CDD505-2E9C-101B-9397-08002B2CF9AE}" pid="4" name="KSOTemplateDocerSaveRecord">
    <vt:lpwstr>eyJoZGlkIjoiZmIyYmE5MmZlMTA4MTQ0ZmIwNWI4ZGM5OTJlMzVmNjUiLCJ1c2VySWQiOiI1MzYzNjA2MzAifQ==</vt:lpwstr>
  </property>
</Properties>
</file>