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B4F8C" w14:textId="77777777" w:rsidR="00F56D27" w:rsidRDefault="00F56D27" w:rsidP="00F56D27">
      <w:pPr>
        <w:shd w:val="clear" w:color="auto" w:fill="FFFFFF"/>
        <w:spacing w:before="100" w:beforeAutospacing="1" w:after="100" w:afterAutospacing="1" w:line="240" w:lineRule="auto"/>
        <w:outlineLvl w:val="0"/>
        <w:rPr>
          <w:rFonts w:ascii="Times New Roman" w:eastAsia="Times New Roman" w:hAnsi="Times New Roman" w:cs="Times New Roman"/>
          <w:b/>
          <w:bCs/>
          <w:sz w:val="24"/>
          <w:szCs w:val="24"/>
        </w:rPr>
      </w:pPr>
    </w:p>
    <w:p w14:paraId="1A04E8E8" w14:textId="77777777" w:rsidR="00F56D27" w:rsidRDefault="00F56D27" w:rsidP="00F56D27">
      <w:pPr>
        <w:shd w:val="clear" w:color="auto" w:fill="FFFFFF"/>
        <w:spacing w:before="100" w:beforeAutospacing="1" w:after="100" w:afterAutospacing="1" w:line="240" w:lineRule="auto"/>
        <w:outlineLvl w:val="0"/>
        <w:rPr>
          <w:rFonts w:ascii="Times New Roman" w:eastAsia="Times New Roman" w:hAnsi="Times New Roman" w:cs="Times New Roman"/>
          <w:b/>
          <w:bCs/>
          <w:sz w:val="24"/>
          <w:szCs w:val="24"/>
        </w:rPr>
      </w:pPr>
    </w:p>
    <w:p w14:paraId="4AF20AFC" w14:textId="58B7B0C2" w:rsidR="00F56D27" w:rsidRPr="00F56D27" w:rsidRDefault="00F56D27" w:rsidP="00F56D27">
      <w:pPr>
        <w:shd w:val="clear" w:color="auto" w:fill="FFFFFF"/>
        <w:spacing w:before="100" w:beforeAutospacing="1" w:after="100" w:afterAutospacing="1" w:line="240" w:lineRule="auto"/>
        <w:outlineLvl w:val="0"/>
        <w:rPr>
          <w:rFonts w:ascii="Segoe UI" w:eastAsia="Times New Roman" w:hAnsi="Segoe UI" w:cs="Segoe UI"/>
          <w:b/>
          <w:bCs/>
          <w:kern w:val="36"/>
          <w:sz w:val="48"/>
          <w:szCs w:val="48"/>
        </w:rPr>
      </w:pPr>
      <w:r w:rsidRPr="00F56D27">
        <w:rPr>
          <w:rFonts w:ascii="Segoe UI" w:eastAsia="Times New Roman" w:hAnsi="Segoe UI" w:cs="Segoe UI"/>
          <w:b/>
          <w:bCs/>
          <w:kern w:val="36"/>
          <w:sz w:val="48"/>
          <w:szCs w:val="48"/>
        </w:rPr>
        <w:t>Bridging the Gap: Where Behavioral Forensics Meets Cultural Context</w:t>
      </w:r>
    </w:p>
    <w:p w14:paraId="798A2D18" w14:textId="77777777" w:rsidR="00F56D27" w:rsidRDefault="00F56D27" w:rsidP="00F56D27">
      <w:pPr>
        <w:spacing w:before="100" w:beforeAutospacing="1" w:after="100" w:afterAutospacing="1" w:line="240" w:lineRule="auto"/>
        <w:rPr>
          <w:rFonts w:ascii="Times New Roman" w:eastAsia="Times New Roman" w:hAnsi="Times New Roman" w:cs="Times New Roman"/>
          <w:b/>
          <w:bCs/>
          <w:sz w:val="24"/>
          <w:szCs w:val="24"/>
        </w:rPr>
      </w:pPr>
    </w:p>
    <w:p w14:paraId="129378F1" w14:textId="38F7126A"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 xml:space="preserve"> Eric Paddy Boso</w:t>
      </w:r>
    </w:p>
    <w:p w14:paraId="3E9364D5"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In many parts of the world—particularly in culturally rich and spiritually diverse societies—justice is often caught between two worlds: the rational and the mystical. In these spaces, where belief systems carry </w:t>
      </w:r>
      <w:proofErr w:type="gramStart"/>
      <w:r w:rsidRPr="00F56D27">
        <w:rPr>
          <w:rFonts w:ascii="Times New Roman" w:eastAsia="Times New Roman" w:hAnsi="Times New Roman" w:cs="Times New Roman"/>
          <w:sz w:val="24"/>
          <w:szCs w:val="24"/>
        </w:rPr>
        <w:t>real</w:t>
      </w:r>
      <w:proofErr w:type="gramEnd"/>
      <w:r w:rsidRPr="00F56D27">
        <w:rPr>
          <w:rFonts w:ascii="Times New Roman" w:eastAsia="Times New Roman" w:hAnsi="Times New Roman" w:cs="Times New Roman"/>
          <w:sz w:val="24"/>
          <w:szCs w:val="24"/>
        </w:rPr>
        <w:t xml:space="preserve"> social and emotional weight, traditional justice systems often struggle to respond effectively. But what if we stopped trying to prove belief, and instead started tracking behavior?</w:t>
      </w:r>
    </w:p>
    <w:p w14:paraId="37900A75"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It’s time to bridge the gap between behavioral forensics and cultural context.</w:t>
      </w:r>
    </w:p>
    <w:p w14:paraId="2BEE047F"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 </w:t>
      </w:r>
    </w:p>
    <w:p w14:paraId="652F3561"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 </w:t>
      </w:r>
    </w:p>
    <w:p w14:paraId="5F1FC1BF"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1. Culturally Informed Forensic Psychology</w:t>
      </w:r>
    </w:p>
    <w:p w14:paraId="6058B1B9"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To investigate and prevent crimes that occur under the guise of spiritual belief, law enforcement must be equipped with more than just criminal profiling. They need cultural literacy.</w:t>
      </w:r>
    </w:p>
    <w:p w14:paraId="45A6F148"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Understanding the psychological dynamics of a particular culture—its fears, its spiritual values, and its rituals—allows law enforcement and forensic psychologists to recognize manipulation when it wears the mask of belief. Spiritual manipulation, when weaponized, follows patterns just like any other form of psychological abuse. Detecting those patterns early can mean the difference between intervention and tragedy.</w:t>
      </w:r>
    </w:p>
    <w:p w14:paraId="3083204A"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 </w:t>
      </w:r>
    </w:p>
    <w:p w14:paraId="317A7526"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2. Legal Reform: Codifying Psychological Offenses</w:t>
      </w:r>
    </w:p>
    <w:p w14:paraId="41ED0A79"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The law must evolve to reflect the realities of emotional and psychological harm.</w:t>
      </w:r>
    </w:p>
    <w:p w14:paraId="3DB78B5D" w14:textId="77777777" w:rsidR="00F56D27" w:rsidRPr="00F56D27" w:rsidRDefault="00F56D27" w:rsidP="00F56D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Criminal codes should explicitly include </w:t>
      </w:r>
      <w:r w:rsidRPr="00F56D27">
        <w:rPr>
          <w:rFonts w:ascii="Times New Roman" w:eastAsia="Times New Roman" w:hAnsi="Times New Roman" w:cs="Times New Roman"/>
          <w:b/>
          <w:bCs/>
          <w:sz w:val="24"/>
          <w:szCs w:val="24"/>
        </w:rPr>
        <w:t>emotional abuse</w:t>
      </w:r>
      <w:r w:rsidRPr="00F56D27">
        <w:rPr>
          <w:rFonts w:ascii="Times New Roman" w:eastAsia="Times New Roman" w:hAnsi="Times New Roman" w:cs="Times New Roman"/>
          <w:sz w:val="24"/>
          <w:szCs w:val="24"/>
        </w:rPr>
        <w:t xml:space="preserve">, </w:t>
      </w:r>
      <w:r w:rsidRPr="00F56D27">
        <w:rPr>
          <w:rFonts w:ascii="Times New Roman" w:eastAsia="Times New Roman" w:hAnsi="Times New Roman" w:cs="Times New Roman"/>
          <w:b/>
          <w:bCs/>
          <w:sz w:val="24"/>
          <w:szCs w:val="24"/>
        </w:rPr>
        <w:t>spiritual coercion</w:t>
      </w:r>
      <w:r w:rsidRPr="00F56D27">
        <w:rPr>
          <w:rFonts w:ascii="Times New Roman" w:eastAsia="Times New Roman" w:hAnsi="Times New Roman" w:cs="Times New Roman"/>
          <w:sz w:val="24"/>
          <w:szCs w:val="24"/>
        </w:rPr>
        <w:t xml:space="preserve">, and </w:t>
      </w:r>
      <w:r w:rsidRPr="00F56D27">
        <w:rPr>
          <w:rFonts w:ascii="Times New Roman" w:eastAsia="Times New Roman" w:hAnsi="Times New Roman" w:cs="Times New Roman"/>
          <w:b/>
          <w:bCs/>
          <w:sz w:val="24"/>
          <w:szCs w:val="24"/>
        </w:rPr>
        <w:t>mental exploitation</w:t>
      </w:r>
      <w:r w:rsidRPr="00F56D27">
        <w:rPr>
          <w:rFonts w:ascii="Times New Roman" w:eastAsia="Times New Roman" w:hAnsi="Times New Roman" w:cs="Times New Roman"/>
          <w:sz w:val="24"/>
          <w:szCs w:val="24"/>
        </w:rPr>
        <w:t>.</w:t>
      </w:r>
    </w:p>
    <w:p w14:paraId="456A4C98" w14:textId="77777777" w:rsidR="00F56D27" w:rsidRPr="00F56D27" w:rsidRDefault="00F56D27" w:rsidP="00F56D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Offenses like </w:t>
      </w:r>
      <w:r w:rsidRPr="00F56D27">
        <w:rPr>
          <w:rFonts w:ascii="Times New Roman" w:eastAsia="Times New Roman" w:hAnsi="Times New Roman" w:cs="Times New Roman"/>
          <w:b/>
          <w:bCs/>
          <w:sz w:val="24"/>
          <w:szCs w:val="24"/>
        </w:rPr>
        <w:t>coercive control</w:t>
      </w:r>
      <w:r w:rsidRPr="00F56D27">
        <w:rPr>
          <w:rFonts w:ascii="Times New Roman" w:eastAsia="Times New Roman" w:hAnsi="Times New Roman" w:cs="Times New Roman"/>
          <w:sz w:val="24"/>
          <w:szCs w:val="24"/>
        </w:rPr>
        <w:t xml:space="preserve"> and </w:t>
      </w:r>
      <w:r w:rsidRPr="00F56D27">
        <w:rPr>
          <w:rFonts w:ascii="Times New Roman" w:eastAsia="Times New Roman" w:hAnsi="Times New Roman" w:cs="Times New Roman"/>
          <w:b/>
          <w:bCs/>
          <w:sz w:val="24"/>
          <w:szCs w:val="24"/>
        </w:rPr>
        <w:t>gaslighting</w:t>
      </w:r>
      <w:r w:rsidRPr="00F56D27">
        <w:rPr>
          <w:rFonts w:ascii="Times New Roman" w:eastAsia="Times New Roman" w:hAnsi="Times New Roman" w:cs="Times New Roman"/>
          <w:sz w:val="24"/>
          <w:szCs w:val="24"/>
        </w:rPr>
        <w:t xml:space="preserve"> should be recognized not just as harmful behaviors, but as prosecutable crimes with long-term psychological and physical consequences.</w:t>
      </w:r>
    </w:p>
    <w:p w14:paraId="1A094CF2"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When the law begins to acknowledge that not all harm leaves bruises, it becomes a more complete tool for justice.</w:t>
      </w:r>
    </w:p>
    <w:p w14:paraId="71D99EB4"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 </w:t>
      </w:r>
    </w:p>
    <w:p w14:paraId="44AA4179"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 </w:t>
      </w:r>
    </w:p>
    <w:p w14:paraId="529E8FF4"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lastRenderedPageBreak/>
        <w:t xml:space="preserve"> </w:t>
      </w:r>
    </w:p>
    <w:p w14:paraId="28056B0B"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3. Multidisciplinary Investigative Teams</w:t>
      </w:r>
    </w:p>
    <w:p w14:paraId="72E851F2"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Cases involving spiritual claims or culturally nuanced manipulation require more than just a detective’s eye.</w:t>
      </w:r>
    </w:p>
    <w:p w14:paraId="559C9FA8"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To uncover motive and method in such cases, investigations should bring together:</w:t>
      </w:r>
    </w:p>
    <w:p w14:paraId="74A5DBDA" w14:textId="77777777" w:rsidR="00F56D27" w:rsidRPr="00F56D27" w:rsidRDefault="00F56D27" w:rsidP="00F56D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Forensic psychologists</w:t>
      </w:r>
      <w:r w:rsidRPr="00F56D27">
        <w:rPr>
          <w:rFonts w:ascii="Times New Roman" w:eastAsia="Times New Roman" w:hAnsi="Times New Roman" w:cs="Times New Roman"/>
          <w:sz w:val="24"/>
          <w:szCs w:val="24"/>
        </w:rPr>
        <w:t>, who can identify behavioral red flags</w:t>
      </w:r>
    </w:p>
    <w:p w14:paraId="19F022A6" w14:textId="77777777" w:rsidR="00F56D27" w:rsidRPr="00F56D27" w:rsidRDefault="00F56D27" w:rsidP="00F56D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Cultural anthropologists</w:t>
      </w:r>
      <w:r w:rsidRPr="00F56D27">
        <w:rPr>
          <w:rFonts w:ascii="Times New Roman" w:eastAsia="Times New Roman" w:hAnsi="Times New Roman" w:cs="Times New Roman"/>
          <w:sz w:val="24"/>
          <w:szCs w:val="24"/>
        </w:rPr>
        <w:t>, who can decode the context</w:t>
      </w:r>
    </w:p>
    <w:p w14:paraId="2C6DF5E0" w14:textId="77777777" w:rsidR="00F56D27" w:rsidRPr="00F56D27" w:rsidRDefault="00F56D27" w:rsidP="00F56D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Legal experts</w:t>
      </w:r>
      <w:r w:rsidRPr="00F56D27">
        <w:rPr>
          <w:rFonts w:ascii="Times New Roman" w:eastAsia="Times New Roman" w:hAnsi="Times New Roman" w:cs="Times New Roman"/>
          <w:sz w:val="24"/>
          <w:szCs w:val="24"/>
        </w:rPr>
        <w:t>, to anchor the case in statute</w:t>
      </w:r>
    </w:p>
    <w:p w14:paraId="117E555D" w14:textId="77777777" w:rsidR="00F56D27" w:rsidRPr="00F56D27" w:rsidRDefault="00F56D27" w:rsidP="00F56D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Traditional or religious leaders</w:t>
      </w:r>
      <w:r w:rsidRPr="00F56D27">
        <w:rPr>
          <w:rFonts w:ascii="Times New Roman" w:eastAsia="Times New Roman" w:hAnsi="Times New Roman" w:cs="Times New Roman"/>
          <w:sz w:val="24"/>
          <w:szCs w:val="24"/>
        </w:rPr>
        <w:t>, serving in advisory—not judicial—roles</w:t>
      </w:r>
    </w:p>
    <w:p w14:paraId="369D9319"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This multidisciplinary approach allows the justice system to interpret behavior within context, without succumbing to superstition or dismissing cultural norms.</w:t>
      </w:r>
    </w:p>
    <w:p w14:paraId="5620F667"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 xml:space="preserve"> </w:t>
      </w:r>
    </w:p>
    <w:p w14:paraId="4999C2D5"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 xml:space="preserve"> </w:t>
      </w:r>
    </w:p>
    <w:p w14:paraId="2AD4310F"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4. Pattern-Based Evidence, Not Belief-Based Judgments</w:t>
      </w:r>
    </w:p>
    <w:p w14:paraId="296AD176"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A court cannot—and should not—rule on the existence of witchcraft or spirits. But it </w:t>
      </w:r>
      <w:r w:rsidRPr="00F56D27">
        <w:rPr>
          <w:rFonts w:ascii="Times New Roman" w:eastAsia="Times New Roman" w:hAnsi="Times New Roman" w:cs="Times New Roman"/>
          <w:i/>
          <w:iCs/>
          <w:sz w:val="24"/>
          <w:szCs w:val="24"/>
        </w:rPr>
        <w:t>can</w:t>
      </w:r>
      <w:r w:rsidRPr="00F56D27">
        <w:rPr>
          <w:rFonts w:ascii="Times New Roman" w:eastAsia="Times New Roman" w:hAnsi="Times New Roman" w:cs="Times New Roman"/>
          <w:sz w:val="24"/>
          <w:szCs w:val="24"/>
        </w:rPr>
        <w:t xml:space="preserve"> and </w:t>
      </w:r>
      <w:r w:rsidRPr="00F56D27">
        <w:rPr>
          <w:rFonts w:ascii="Times New Roman" w:eastAsia="Times New Roman" w:hAnsi="Times New Roman" w:cs="Times New Roman"/>
          <w:i/>
          <w:iCs/>
          <w:sz w:val="24"/>
          <w:szCs w:val="24"/>
        </w:rPr>
        <w:t>must</w:t>
      </w:r>
      <w:r w:rsidRPr="00F56D27">
        <w:rPr>
          <w:rFonts w:ascii="Times New Roman" w:eastAsia="Times New Roman" w:hAnsi="Times New Roman" w:cs="Times New Roman"/>
          <w:sz w:val="24"/>
          <w:szCs w:val="24"/>
        </w:rPr>
        <w:t xml:space="preserve"> rule on observable, documented behavior.</w:t>
      </w:r>
    </w:p>
    <w:p w14:paraId="01F25A83"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Instead of asking, “Is this person a witch?” ask:</w:t>
      </w:r>
    </w:p>
    <w:p w14:paraId="4987015F" w14:textId="77777777" w:rsidR="00F56D27" w:rsidRPr="00F56D27" w:rsidRDefault="00F56D27" w:rsidP="00F56D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Has there been </w:t>
      </w:r>
      <w:r w:rsidRPr="00F56D27">
        <w:rPr>
          <w:rFonts w:ascii="Times New Roman" w:eastAsia="Times New Roman" w:hAnsi="Times New Roman" w:cs="Times New Roman"/>
          <w:b/>
          <w:bCs/>
          <w:sz w:val="24"/>
          <w:szCs w:val="24"/>
        </w:rPr>
        <w:t>emotional manipulation</w:t>
      </w:r>
      <w:r w:rsidRPr="00F56D27">
        <w:rPr>
          <w:rFonts w:ascii="Times New Roman" w:eastAsia="Times New Roman" w:hAnsi="Times New Roman" w:cs="Times New Roman"/>
          <w:sz w:val="24"/>
          <w:szCs w:val="24"/>
        </w:rPr>
        <w:t>, repeated and escalating?</w:t>
      </w:r>
    </w:p>
    <w:p w14:paraId="5B4C72AD" w14:textId="77777777" w:rsidR="00F56D27" w:rsidRPr="00F56D27" w:rsidRDefault="00F56D27" w:rsidP="00F56D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Were </w:t>
      </w:r>
      <w:r w:rsidRPr="00F56D27">
        <w:rPr>
          <w:rFonts w:ascii="Times New Roman" w:eastAsia="Times New Roman" w:hAnsi="Times New Roman" w:cs="Times New Roman"/>
          <w:b/>
          <w:bCs/>
          <w:sz w:val="24"/>
          <w:szCs w:val="24"/>
        </w:rPr>
        <w:t>threats</w:t>
      </w:r>
      <w:r w:rsidRPr="00F56D27">
        <w:rPr>
          <w:rFonts w:ascii="Times New Roman" w:eastAsia="Times New Roman" w:hAnsi="Times New Roman" w:cs="Times New Roman"/>
          <w:sz w:val="24"/>
          <w:szCs w:val="24"/>
        </w:rPr>
        <w:t xml:space="preserve"> made and followed by controlling actions?</w:t>
      </w:r>
    </w:p>
    <w:p w14:paraId="1ED84D89" w14:textId="77777777" w:rsidR="00F56D27" w:rsidRPr="00F56D27" w:rsidRDefault="00F56D27" w:rsidP="00F56D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Is there evidence of </w:t>
      </w:r>
      <w:r w:rsidRPr="00F56D27">
        <w:rPr>
          <w:rFonts w:ascii="Times New Roman" w:eastAsia="Times New Roman" w:hAnsi="Times New Roman" w:cs="Times New Roman"/>
          <w:b/>
          <w:bCs/>
          <w:sz w:val="24"/>
          <w:szCs w:val="24"/>
        </w:rPr>
        <w:t>isolation</w:t>
      </w:r>
      <w:r w:rsidRPr="00F56D27">
        <w:rPr>
          <w:rFonts w:ascii="Times New Roman" w:eastAsia="Times New Roman" w:hAnsi="Times New Roman" w:cs="Times New Roman"/>
          <w:sz w:val="24"/>
          <w:szCs w:val="24"/>
        </w:rPr>
        <w:t xml:space="preserve">, </w:t>
      </w:r>
      <w:r w:rsidRPr="00F56D27">
        <w:rPr>
          <w:rFonts w:ascii="Times New Roman" w:eastAsia="Times New Roman" w:hAnsi="Times New Roman" w:cs="Times New Roman"/>
          <w:b/>
          <w:bCs/>
          <w:sz w:val="24"/>
          <w:szCs w:val="24"/>
        </w:rPr>
        <w:t>financial control</w:t>
      </w:r>
      <w:r w:rsidRPr="00F56D27">
        <w:rPr>
          <w:rFonts w:ascii="Times New Roman" w:eastAsia="Times New Roman" w:hAnsi="Times New Roman" w:cs="Times New Roman"/>
          <w:sz w:val="24"/>
          <w:szCs w:val="24"/>
        </w:rPr>
        <w:t xml:space="preserve">, or </w:t>
      </w:r>
      <w:r w:rsidRPr="00F56D27">
        <w:rPr>
          <w:rFonts w:ascii="Times New Roman" w:eastAsia="Times New Roman" w:hAnsi="Times New Roman" w:cs="Times New Roman"/>
          <w:b/>
          <w:bCs/>
          <w:sz w:val="24"/>
          <w:szCs w:val="24"/>
        </w:rPr>
        <w:t>obsessive surveillance</w:t>
      </w:r>
      <w:r w:rsidRPr="00F56D27">
        <w:rPr>
          <w:rFonts w:ascii="Times New Roman" w:eastAsia="Times New Roman" w:hAnsi="Times New Roman" w:cs="Times New Roman"/>
          <w:sz w:val="24"/>
          <w:szCs w:val="24"/>
        </w:rPr>
        <w:t>?</w:t>
      </w:r>
    </w:p>
    <w:p w14:paraId="6B234FD1"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These are patterns that can be traced, documented, and prosecuted—regardless of spiritual context.</w:t>
      </w:r>
    </w:p>
    <w:p w14:paraId="44B9F6F7"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 </w:t>
      </w:r>
    </w:p>
    <w:p w14:paraId="2D444D41"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 </w:t>
      </w:r>
    </w:p>
    <w:p w14:paraId="30548331"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5. Community Education and Reporting Systems</w:t>
      </w:r>
    </w:p>
    <w:p w14:paraId="3539BAB4"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To prevent harm before it escalates, communities must be empowered with knowledge.</w:t>
      </w:r>
    </w:p>
    <w:p w14:paraId="02BC654F" w14:textId="77777777" w:rsidR="00F56D27" w:rsidRPr="00F56D27" w:rsidRDefault="00F56D27" w:rsidP="00F56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Education campaigns should make clear that </w:t>
      </w:r>
      <w:r w:rsidRPr="00F56D27">
        <w:rPr>
          <w:rFonts w:ascii="Times New Roman" w:eastAsia="Times New Roman" w:hAnsi="Times New Roman" w:cs="Times New Roman"/>
          <w:b/>
          <w:bCs/>
          <w:sz w:val="24"/>
          <w:szCs w:val="24"/>
        </w:rPr>
        <w:t>spiritual belief is not on trial—harm is</w:t>
      </w:r>
      <w:r w:rsidRPr="00F56D27">
        <w:rPr>
          <w:rFonts w:ascii="Times New Roman" w:eastAsia="Times New Roman" w:hAnsi="Times New Roman" w:cs="Times New Roman"/>
          <w:sz w:val="24"/>
          <w:szCs w:val="24"/>
        </w:rPr>
        <w:t>.</w:t>
      </w:r>
    </w:p>
    <w:p w14:paraId="108739FB" w14:textId="77777777" w:rsidR="00F56D27" w:rsidRPr="00F56D27" w:rsidRDefault="00F56D27" w:rsidP="00F56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People must be trained to recognize the signs of </w:t>
      </w:r>
      <w:r w:rsidRPr="00F56D27">
        <w:rPr>
          <w:rFonts w:ascii="Times New Roman" w:eastAsia="Times New Roman" w:hAnsi="Times New Roman" w:cs="Times New Roman"/>
          <w:b/>
          <w:bCs/>
          <w:sz w:val="24"/>
          <w:szCs w:val="24"/>
        </w:rPr>
        <w:t>manipulation, isolation, and control</w:t>
      </w:r>
      <w:r w:rsidRPr="00F56D27">
        <w:rPr>
          <w:rFonts w:ascii="Times New Roman" w:eastAsia="Times New Roman" w:hAnsi="Times New Roman" w:cs="Times New Roman"/>
          <w:sz w:val="24"/>
          <w:szCs w:val="24"/>
        </w:rPr>
        <w:t>, even when they appear under a religious or cultural guise.</w:t>
      </w:r>
    </w:p>
    <w:p w14:paraId="2EC80118" w14:textId="77777777" w:rsidR="00F56D27" w:rsidRPr="00F56D27" w:rsidRDefault="00F56D27" w:rsidP="00F56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Accessible, anonymous reporting systems can give victims and concerned bystanders a voice—especially in tight-knit or high-stigma environments.</w:t>
      </w:r>
    </w:p>
    <w:p w14:paraId="49DEB4F5"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The message must be clear: belief systems are respected, but abuse will not be excused.</w:t>
      </w:r>
    </w:p>
    <w:p w14:paraId="7FD10087"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lastRenderedPageBreak/>
        <w:t xml:space="preserve"> </w:t>
      </w:r>
    </w:p>
    <w:p w14:paraId="100E3FF8"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A Hypothetical Case Study: Justice Reimagined</w:t>
      </w:r>
    </w:p>
    <w:p w14:paraId="0DB8C990"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Consider this scenario: In Kumasi, a woman reports her partner accuses her of “spiritual theft.” He takes her phone, restricts her movements, and isolates her from friends and family. He consults spiritualists who advise him to “cleanse” her. Eventually, she dies under suspicious circumstances.</w:t>
      </w:r>
    </w:p>
    <w:p w14:paraId="05196332"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Under a </w:t>
      </w:r>
      <w:r w:rsidRPr="00F56D27">
        <w:rPr>
          <w:rFonts w:ascii="Times New Roman" w:eastAsia="Times New Roman" w:hAnsi="Times New Roman" w:cs="Times New Roman"/>
          <w:b/>
          <w:bCs/>
          <w:sz w:val="24"/>
          <w:szCs w:val="24"/>
        </w:rPr>
        <w:t>traditional approach</w:t>
      </w:r>
      <w:r w:rsidRPr="00F56D27">
        <w:rPr>
          <w:rFonts w:ascii="Times New Roman" w:eastAsia="Times New Roman" w:hAnsi="Times New Roman" w:cs="Times New Roman"/>
          <w:sz w:val="24"/>
          <w:szCs w:val="24"/>
        </w:rPr>
        <w:t>, the case might be dismissed: no proof of witchcraft, no case.</w:t>
      </w:r>
    </w:p>
    <w:p w14:paraId="39FF2C63"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But a </w:t>
      </w:r>
      <w:r w:rsidRPr="00F56D27">
        <w:rPr>
          <w:rFonts w:ascii="Times New Roman" w:eastAsia="Times New Roman" w:hAnsi="Times New Roman" w:cs="Times New Roman"/>
          <w:b/>
          <w:bCs/>
          <w:sz w:val="24"/>
          <w:szCs w:val="24"/>
        </w:rPr>
        <w:t>behavioral forensic approach</w:t>
      </w:r>
      <w:r w:rsidRPr="00F56D27">
        <w:rPr>
          <w:rFonts w:ascii="Times New Roman" w:eastAsia="Times New Roman" w:hAnsi="Times New Roman" w:cs="Times New Roman"/>
          <w:sz w:val="24"/>
          <w:szCs w:val="24"/>
        </w:rPr>
        <w:t xml:space="preserve"> tells a different story:</w:t>
      </w:r>
    </w:p>
    <w:p w14:paraId="0D56A6C9" w14:textId="77777777" w:rsidR="00F56D27" w:rsidRPr="00F56D27" w:rsidRDefault="00F56D27" w:rsidP="00F56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A documented pattern of isolation</w:t>
      </w:r>
    </w:p>
    <w:p w14:paraId="5049382C" w14:textId="77777777" w:rsidR="00F56D27" w:rsidRPr="00F56D27" w:rsidRDefault="00F56D27" w:rsidP="00F56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Repeated spiritual coercion and control</w:t>
      </w:r>
    </w:p>
    <w:p w14:paraId="23FCD0F2" w14:textId="77777777" w:rsidR="00F56D27" w:rsidRPr="00F56D27" w:rsidRDefault="00F56D27" w:rsidP="00F56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Emotional abuse rooted in obsession</w:t>
      </w:r>
    </w:p>
    <w:p w14:paraId="34E8890A" w14:textId="77777777" w:rsidR="00F56D27" w:rsidRPr="00F56D27" w:rsidRDefault="00F56D27" w:rsidP="00F56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Consultations with spiritual authorities that led to threats and violence</w:t>
      </w:r>
    </w:p>
    <w:p w14:paraId="57DE1627"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This isn’t about metaphysical proof—it’s about </w:t>
      </w:r>
      <w:r w:rsidRPr="00F56D27">
        <w:rPr>
          <w:rFonts w:ascii="Times New Roman" w:eastAsia="Times New Roman" w:hAnsi="Times New Roman" w:cs="Times New Roman"/>
          <w:i/>
          <w:iCs/>
          <w:sz w:val="24"/>
          <w:szCs w:val="24"/>
        </w:rPr>
        <w:t>behavioral evidence</w:t>
      </w:r>
      <w:r w:rsidRPr="00F56D27">
        <w:rPr>
          <w:rFonts w:ascii="Times New Roman" w:eastAsia="Times New Roman" w:hAnsi="Times New Roman" w:cs="Times New Roman"/>
          <w:sz w:val="24"/>
          <w:szCs w:val="24"/>
        </w:rPr>
        <w:t xml:space="preserve"> of coercive control and premeditated harm. That’s enough to build a case and seek justice.</w:t>
      </w:r>
    </w:p>
    <w:p w14:paraId="7E04C7FB"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 </w:t>
      </w:r>
    </w:p>
    <w:p w14:paraId="1878E504"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b/>
          <w:bCs/>
          <w:sz w:val="24"/>
          <w:szCs w:val="24"/>
        </w:rPr>
        <w:t>Final Word: Justice Across Worlds</w:t>
      </w:r>
    </w:p>
    <w:p w14:paraId="70F6959B"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We do not need to choose between cultural sensitivity and legal clarity.</w:t>
      </w:r>
    </w:p>
    <w:p w14:paraId="3ED63C44"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The goal is not to criminalize belief—it is to protect people from harm, regardless of the belief system used to justify it. When the law learns to listen not just to the rational but to the behavioral clues embedded in cultural context, justice becomes more inclusive.</w:t>
      </w:r>
    </w:p>
    <w:p w14:paraId="3BD2D857"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 xml:space="preserve">The bridge between the spiritual and the legal is not belief—it’s </w:t>
      </w:r>
      <w:r w:rsidRPr="00F56D27">
        <w:rPr>
          <w:rFonts w:ascii="Times New Roman" w:eastAsia="Times New Roman" w:hAnsi="Times New Roman" w:cs="Times New Roman"/>
          <w:b/>
          <w:bCs/>
          <w:sz w:val="24"/>
          <w:szCs w:val="24"/>
        </w:rPr>
        <w:t>human behavior</w:t>
      </w:r>
      <w:r w:rsidRPr="00F56D27">
        <w:rPr>
          <w:rFonts w:ascii="Times New Roman" w:eastAsia="Times New Roman" w:hAnsi="Times New Roman" w:cs="Times New Roman"/>
          <w:sz w:val="24"/>
          <w:szCs w:val="24"/>
        </w:rPr>
        <w:t>. When we follow that bridge with integrity and clarity, we move closer to a justice system that speaks both languages—and serves all people.</w:t>
      </w:r>
    </w:p>
    <w:p w14:paraId="22C26111"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r w:rsidRPr="00F56D27">
        <w:rPr>
          <w:rFonts w:ascii="Times New Roman" w:eastAsia="Times New Roman" w:hAnsi="Times New Roman" w:cs="Times New Roman"/>
          <w:sz w:val="24"/>
          <w:szCs w:val="24"/>
        </w:rPr>
        <w:t>Eric Paddy Boso</w:t>
      </w:r>
    </w:p>
    <w:p w14:paraId="16128C64" w14:textId="77777777" w:rsidR="00F56D27" w:rsidRPr="00F56D27" w:rsidRDefault="00F56D27" w:rsidP="00F56D27">
      <w:pPr>
        <w:spacing w:before="100" w:beforeAutospacing="1" w:after="100" w:afterAutospacing="1" w:line="240" w:lineRule="auto"/>
        <w:rPr>
          <w:rFonts w:ascii="Times New Roman" w:eastAsia="Times New Roman" w:hAnsi="Times New Roman" w:cs="Times New Roman"/>
          <w:sz w:val="24"/>
          <w:szCs w:val="24"/>
        </w:rPr>
      </w:pPr>
      <w:hyperlink r:id="rId5" w:tgtFrame="_self" w:history="1">
        <w:r w:rsidRPr="00F56D27">
          <w:rPr>
            <w:rFonts w:ascii="Times New Roman" w:eastAsia="Times New Roman" w:hAnsi="Times New Roman" w:cs="Times New Roman"/>
            <w:color w:val="0000FF"/>
            <w:sz w:val="24"/>
            <w:szCs w:val="24"/>
            <w:u w:val="single"/>
          </w:rPr>
          <w:t>Cujoe999x1@yahoo.com</w:t>
        </w:r>
      </w:hyperlink>
    </w:p>
    <w:p w14:paraId="502197A9" w14:textId="77777777" w:rsidR="00A81FD1" w:rsidRDefault="00A81FD1"/>
    <w:sectPr w:rsidR="00A81FD1" w:rsidSect="00F56D27">
      <w:pgSz w:w="12240" w:h="15840"/>
      <w:pgMar w:top="540" w:right="63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C70C4"/>
    <w:multiLevelType w:val="multilevel"/>
    <w:tmpl w:val="D444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35CA5"/>
    <w:multiLevelType w:val="multilevel"/>
    <w:tmpl w:val="FA9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571F4"/>
    <w:multiLevelType w:val="multilevel"/>
    <w:tmpl w:val="EAEA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826F6"/>
    <w:multiLevelType w:val="multilevel"/>
    <w:tmpl w:val="A58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F7250"/>
    <w:multiLevelType w:val="multilevel"/>
    <w:tmpl w:val="572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D27"/>
    <w:rsid w:val="00A81FD1"/>
    <w:rsid w:val="00F56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34F1"/>
  <w15:chartTrackingRefBased/>
  <w15:docId w15:val="{EDBB6007-83D0-4B8E-849B-55B0E1D7E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090087">
      <w:bodyDiv w:val="1"/>
      <w:marLeft w:val="0"/>
      <w:marRight w:val="0"/>
      <w:marTop w:val="0"/>
      <w:marBottom w:val="0"/>
      <w:divBdr>
        <w:top w:val="none" w:sz="0" w:space="0" w:color="auto"/>
        <w:left w:val="none" w:sz="0" w:space="0" w:color="auto"/>
        <w:bottom w:val="none" w:sz="0" w:space="0" w:color="auto"/>
        <w:right w:val="none" w:sz="0" w:space="0" w:color="auto"/>
      </w:divBdr>
    </w:div>
    <w:div w:id="1802334429">
      <w:bodyDiv w:val="1"/>
      <w:marLeft w:val="0"/>
      <w:marRight w:val="0"/>
      <w:marTop w:val="0"/>
      <w:marBottom w:val="0"/>
      <w:divBdr>
        <w:top w:val="none" w:sz="0" w:space="0" w:color="auto"/>
        <w:left w:val="none" w:sz="0" w:space="0" w:color="auto"/>
        <w:bottom w:val="none" w:sz="0" w:space="0" w:color="auto"/>
        <w:right w:val="none" w:sz="0" w:space="0" w:color="auto"/>
      </w:divBdr>
      <w:divsChild>
        <w:div w:id="1570772852">
          <w:marLeft w:val="0"/>
          <w:marRight w:val="0"/>
          <w:marTop w:val="0"/>
          <w:marBottom w:val="0"/>
          <w:divBdr>
            <w:top w:val="none" w:sz="0" w:space="0" w:color="auto"/>
            <w:left w:val="none" w:sz="0" w:space="0" w:color="auto"/>
            <w:bottom w:val="none" w:sz="0" w:space="0" w:color="auto"/>
            <w:right w:val="none" w:sz="0" w:space="0" w:color="auto"/>
          </w:divBdr>
          <w:divsChild>
            <w:div w:id="1785266826">
              <w:marLeft w:val="0"/>
              <w:marRight w:val="0"/>
              <w:marTop w:val="0"/>
              <w:marBottom w:val="0"/>
              <w:divBdr>
                <w:top w:val="none" w:sz="0" w:space="0" w:color="auto"/>
                <w:left w:val="none" w:sz="0" w:space="0" w:color="auto"/>
                <w:bottom w:val="none" w:sz="0" w:space="0" w:color="auto"/>
                <w:right w:val="none" w:sz="0" w:space="0" w:color="auto"/>
              </w:divBdr>
              <w:divsChild>
                <w:div w:id="1724713514">
                  <w:marLeft w:val="0"/>
                  <w:marRight w:val="0"/>
                  <w:marTop w:val="0"/>
                  <w:marBottom w:val="0"/>
                  <w:divBdr>
                    <w:top w:val="none" w:sz="0" w:space="0" w:color="auto"/>
                    <w:left w:val="none" w:sz="0" w:space="0" w:color="auto"/>
                    <w:bottom w:val="none" w:sz="0" w:space="0" w:color="auto"/>
                    <w:right w:val="none" w:sz="0" w:space="0" w:color="auto"/>
                  </w:divBdr>
                  <w:divsChild>
                    <w:div w:id="141238404">
                      <w:marLeft w:val="0"/>
                      <w:marRight w:val="0"/>
                      <w:marTop w:val="0"/>
                      <w:marBottom w:val="0"/>
                      <w:divBdr>
                        <w:top w:val="none" w:sz="0" w:space="0" w:color="auto"/>
                        <w:left w:val="none" w:sz="0" w:space="0" w:color="auto"/>
                        <w:bottom w:val="none" w:sz="0" w:space="0" w:color="auto"/>
                        <w:right w:val="none" w:sz="0" w:space="0" w:color="auto"/>
                      </w:divBdr>
                      <w:divsChild>
                        <w:div w:id="322049469">
                          <w:marLeft w:val="0"/>
                          <w:marRight w:val="0"/>
                          <w:marTop w:val="0"/>
                          <w:marBottom w:val="0"/>
                          <w:divBdr>
                            <w:top w:val="none" w:sz="0" w:space="0" w:color="auto"/>
                            <w:left w:val="none" w:sz="0" w:space="0" w:color="auto"/>
                            <w:bottom w:val="none" w:sz="0" w:space="0" w:color="auto"/>
                            <w:right w:val="none" w:sz="0" w:space="0" w:color="auto"/>
                          </w:divBdr>
                          <w:divsChild>
                            <w:div w:id="50174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ujoe999x1@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2025-04-23T17:14:00Z</dcterms:created>
  <dcterms:modified xsi:type="dcterms:W3CDTF">2025-04-23T17:16:00Z</dcterms:modified>
</cp:coreProperties>
</file>