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530DD" w14:textId="799E4963" w:rsidR="00D01AEE" w:rsidRPr="00D01AEE" w:rsidRDefault="00D01AEE" w:rsidP="00D01AEE"/>
    <w:p w14:paraId="59203792" w14:textId="769B404D" w:rsidR="00D01AEE" w:rsidRDefault="00D01AEE" w:rsidP="00D01AEE">
      <w:pPr>
        <w:rPr>
          <w:b/>
          <w:bCs/>
        </w:rPr>
      </w:pPr>
      <w:r w:rsidRPr="00D01AEE">
        <w:rPr>
          <w:b/>
          <w:bCs/>
        </w:rPr>
        <w:t>Reassessing Build–Operate–Transfer (BOT) Property Transactions: The Case for Quality Control and Contractual Reform</w:t>
      </w:r>
    </w:p>
    <w:p w14:paraId="3CFEC72E" w14:textId="152BF745" w:rsidR="00CC2818" w:rsidRDefault="00CC2818" w:rsidP="00D01AEE">
      <w:pPr>
        <w:rPr>
          <w:b/>
          <w:bCs/>
        </w:rPr>
      </w:pPr>
    </w:p>
    <w:p w14:paraId="52B9D773" w14:textId="639A8634" w:rsidR="00CC2818" w:rsidRPr="00D01AEE" w:rsidRDefault="00CC2818" w:rsidP="00D01AEE">
      <w:pPr>
        <w:rPr>
          <w:b/>
          <w:bCs/>
        </w:rPr>
      </w:pPr>
      <w:r>
        <w:rPr>
          <w:b/>
          <w:bCs/>
        </w:rPr>
        <w:t xml:space="preserve">By: Eric Paddy </w:t>
      </w:r>
      <w:proofErr w:type="spellStart"/>
      <w:r>
        <w:rPr>
          <w:b/>
          <w:bCs/>
        </w:rPr>
        <w:t>Boso</w:t>
      </w:r>
      <w:proofErr w:type="spellEnd"/>
    </w:p>
    <w:p w14:paraId="4400B91A" w14:textId="77777777" w:rsidR="00D01AEE" w:rsidRPr="00D01AEE" w:rsidRDefault="00D01AEE" w:rsidP="00D01AEE">
      <w:pPr>
        <w:rPr>
          <w:b/>
          <w:bCs/>
        </w:rPr>
      </w:pPr>
      <w:r w:rsidRPr="00D01AEE">
        <w:rPr>
          <w:b/>
          <w:bCs/>
        </w:rPr>
        <w:t>Abstract</w:t>
      </w:r>
    </w:p>
    <w:p w14:paraId="6AC9E4D9" w14:textId="77777777" w:rsidR="00D01AEE" w:rsidRPr="00D01AEE" w:rsidRDefault="00D01AEE" w:rsidP="00D01AEE">
      <w:r w:rsidRPr="00D01AEE">
        <w:t>The Build–Operate–Transfer (BOT) or Build–Lease–Transfer (BLT) model of property development has gained increasing popularity in developing economies where landowners lack the financial means to develop their properties. Under this system, an investor or contractor builds a property on another person’s land, operates it for an agreed period to recoup investment and profit, and subsequently transfers ownership to the landowner. While the model offers a strategic solution to capital scarcity, it raises critical concerns about the quality of construction, long-term maintenance, and the economic sustainability of the resulting structures. This paper examines the operational, contractual, and ethical shortcomings in such arrangements and proposes a framework to ensure quality assurance and equitable outcomes for all stakeholders.</w:t>
      </w:r>
    </w:p>
    <w:p w14:paraId="5E5D40D5" w14:textId="48725DA4" w:rsidR="00D01AEE" w:rsidRPr="00D01AEE" w:rsidRDefault="00D01AEE" w:rsidP="00D01AEE"/>
    <w:p w14:paraId="3A8D09B7" w14:textId="77777777" w:rsidR="00D01AEE" w:rsidRPr="00D01AEE" w:rsidRDefault="00D01AEE" w:rsidP="00D01AEE">
      <w:pPr>
        <w:rPr>
          <w:b/>
          <w:bCs/>
        </w:rPr>
      </w:pPr>
      <w:r w:rsidRPr="00D01AEE">
        <w:rPr>
          <w:b/>
          <w:bCs/>
        </w:rPr>
        <w:t>1. Introduction</w:t>
      </w:r>
    </w:p>
    <w:p w14:paraId="4FBA7F41" w14:textId="77777777" w:rsidR="00D01AEE" w:rsidRPr="00D01AEE" w:rsidRDefault="00D01AEE" w:rsidP="00D01AEE">
      <w:r w:rsidRPr="00D01AEE">
        <w:t xml:space="preserve">Urbanization and rapid real estate expansion in developing countries have necessitated innovative construction financing models such as the </w:t>
      </w:r>
      <w:r w:rsidRPr="00D01AEE">
        <w:rPr>
          <w:b/>
          <w:bCs/>
        </w:rPr>
        <w:t>Build–Operate–Transfer (BOT)</w:t>
      </w:r>
      <w:r w:rsidRPr="00D01AEE">
        <w:t xml:space="preserve"> system. In this arrangement, landowners without the financial capacity to develop their properties engage investors or contractors who construct and manage commercial buildings—such as apartments, warehouses, and shopping complexes—for a fixed period. After recouping investment and profit, the investor transfers ownership of the property to the landowner.</w:t>
      </w:r>
    </w:p>
    <w:p w14:paraId="40B0CF48" w14:textId="77777777" w:rsidR="00D01AEE" w:rsidRPr="00D01AEE" w:rsidRDefault="00D01AEE" w:rsidP="00D01AEE">
      <w:r w:rsidRPr="00D01AEE">
        <w:t xml:space="preserve">While this system appears mutually beneficial, many BOT agreements have led to </w:t>
      </w:r>
      <w:r w:rsidRPr="00D01AEE">
        <w:rPr>
          <w:b/>
          <w:bCs/>
        </w:rPr>
        <w:t>poor construction quality</w:t>
      </w:r>
      <w:r w:rsidRPr="00D01AEE">
        <w:t xml:space="preserve"> and </w:t>
      </w:r>
      <w:r w:rsidRPr="00D01AEE">
        <w:rPr>
          <w:b/>
          <w:bCs/>
        </w:rPr>
        <w:t>premature structural deterioration</w:t>
      </w:r>
      <w:r w:rsidRPr="00D01AEE">
        <w:t>. These challenges undermine the economic sustainability of such projects, burdening landowners with heavy renovation costs shortly after transfer. This paper analyzes the causes and consequences of poor-quality BOT constructions and advocates for reforms in contractual and legal frameworks to safeguard landowner interests.</w:t>
      </w:r>
    </w:p>
    <w:p w14:paraId="5A0CE1DC" w14:textId="667F2E06" w:rsidR="00D01AEE" w:rsidRPr="00D01AEE" w:rsidRDefault="00D01AEE" w:rsidP="00D01AEE"/>
    <w:p w14:paraId="3B41938F" w14:textId="77777777" w:rsidR="00D01AEE" w:rsidRPr="00D01AEE" w:rsidRDefault="00D01AEE" w:rsidP="00D01AEE">
      <w:pPr>
        <w:rPr>
          <w:b/>
          <w:bCs/>
        </w:rPr>
      </w:pPr>
      <w:r w:rsidRPr="00D01AEE">
        <w:rPr>
          <w:b/>
          <w:bCs/>
        </w:rPr>
        <w:t>2. Conceptual Framework: BOT in Property Development</w:t>
      </w:r>
    </w:p>
    <w:p w14:paraId="5DC6983C" w14:textId="77777777" w:rsidR="00D01AEE" w:rsidRPr="00D01AEE" w:rsidRDefault="00D01AEE" w:rsidP="00D01AEE">
      <w:r w:rsidRPr="00D01AEE">
        <w:t xml:space="preserve">The BOT model is traditionally used in public infrastructure projects but has been adapted for private real estate partnerships (Zhang, 2005). It is particularly relevant in contexts where </w:t>
      </w:r>
      <w:r w:rsidRPr="00D01AEE">
        <w:rPr>
          <w:b/>
          <w:bCs/>
        </w:rPr>
        <w:t>capital scarcity</w:t>
      </w:r>
      <w:r w:rsidRPr="00D01AEE">
        <w:t xml:space="preserve">, </w:t>
      </w:r>
      <w:r w:rsidRPr="00D01AEE">
        <w:rPr>
          <w:b/>
          <w:bCs/>
        </w:rPr>
        <w:t>land underutilization</w:t>
      </w:r>
      <w:r w:rsidRPr="00D01AEE">
        <w:t xml:space="preserve">, and </w:t>
      </w:r>
      <w:r w:rsidRPr="00D01AEE">
        <w:rPr>
          <w:b/>
          <w:bCs/>
        </w:rPr>
        <w:t>urban growth pressures</w:t>
      </w:r>
      <w:r w:rsidRPr="00D01AEE">
        <w:t xml:space="preserve"> coexist. The model enables development without upfront capital from the landowner while allowing investors to benefit from operational returns.</w:t>
      </w:r>
    </w:p>
    <w:p w14:paraId="26CB13FC" w14:textId="77777777" w:rsidR="00D01AEE" w:rsidRPr="00D01AEE" w:rsidRDefault="00D01AEE" w:rsidP="00D01AEE">
      <w:r w:rsidRPr="00D01AEE">
        <w:t xml:space="preserve">However, the </w:t>
      </w:r>
      <w:r w:rsidRPr="00D01AEE">
        <w:rPr>
          <w:b/>
          <w:bCs/>
        </w:rPr>
        <w:t>profit-recovery focus</w:t>
      </w:r>
      <w:r w:rsidRPr="00D01AEE">
        <w:t xml:space="preserve"> of investors often leads to cost-cutting during construction. This imbalance between </w:t>
      </w:r>
      <w:r w:rsidRPr="00D01AEE">
        <w:rPr>
          <w:b/>
          <w:bCs/>
        </w:rPr>
        <w:t>short-term profit motives</w:t>
      </w:r>
      <w:r w:rsidRPr="00D01AEE">
        <w:t xml:space="preserve"> and </w:t>
      </w:r>
      <w:r w:rsidRPr="00D01AEE">
        <w:rPr>
          <w:b/>
          <w:bCs/>
        </w:rPr>
        <w:t>long-term property sustainability</w:t>
      </w:r>
      <w:r w:rsidRPr="00D01AEE">
        <w:t xml:space="preserve"> presents significant risks, particularly when contracts lack strong quality-control mechanisms.</w:t>
      </w:r>
    </w:p>
    <w:p w14:paraId="57CA6A62" w14:textId="38158707" w:rsidR="00D01AEE" w:rsidRPr="00D01AEE" w:rsidRDefault="00D01AEE" w:rsidP="00D01AEE"/>
    <w:p w14:paraId="0B602884" w14:textId="77777777" w:rsidR="00D01AEE" w:rsidRPr="00D01AEE" w:rsidRDefault="00D01AEE" w:rsidP="00D01AEE">
      <w:pPr>
        <w:rPr>
          <w:b/>
          <w:bCs/>
        </w:rPr>
      </w:pPr>
      <w:r w:rsidRPr="00D01AEE">
        <w:rPr>
          <w:b/>
          <w:bCs/>
        </w:rPr>
        <w:t>3. Quality and Structural Integrity Concerns</w:t>
      </w:r>
    </w:p>
    <w:p w14:paraId="02FF0D8C" w14:textId="77777777" w:rsidR="00D01AEE" w:rsidRPr="00D01AEE" w:rsidRDefault="00D01AEE" w:rsidP="00D01AEE">
      <w:r w:rsidRPr="00D01AEE">
        <w:t xml:space="preserve">Empirical evidence shows that many BOT-type projects use </w:t>
      </w:r>
      <w:r w:rsidRPr="00D01AEE">
        <w:rPr>
          <w:b/>
          <w:bCs/>
        </w:rPr>
        <w:t>substandard materials</w:t>
      </w:r>
      <w:r w:rsidRPr="00D01AEE">
        <w:t xml:space="preserve">, </w:t>
      </w:r>
      <w:r w:rsidRPr="00D01AEE">
        <w:rPr>
          <w:b/>
          <w:bCs/>
        </w:rPr>
        <w:t>unqualified labor</w:t>
      </w:r>
      <w:r w:rsidRPr="00D01AEE">
        <w:t xml:space="preserve">, and </w:t>
      </w:r>
      <w:r w:rsidRPr="00D01AEE">
        <w:rPr>
          <w:b/>
          <w:bCs/>
        </w:rPr>
        <w:t>inadequate supervision</w:t>
      </w:r>
      <w:r w:rsidRPr="00D01AEE">
        <w:t xml:space="preserve"> (</w:t>
      </w:r>
      <w:proofErr w:type="spellStart"/>
      <w:r w:rsidRPr="00D01AEE">
        <w:t>Almarri</w:t>
      </w:r>
      <w:proofErr w:type="spellEnd"/>
      <w:r w:rsidRPr="00D01AEE">
        <w:t xml:space="preserve"> &amp; Abu-</w:t>
      </w:r>
      <w:proofErr w:type="spellStart"/>
      <w:r w:rsidRPr="00D01AEE">
        <w:t>Hijleh</w:t>
      </w:r>
      <w:proofErr w:type="spellEnd"/>
      <w:r w:rsidRPr="00D01AEE">
        <w:t xml:space="preserve">, 2017). Since investors intend to operate the property for only a limited number of years, they tend to optimize for </w:t>
      </w:r>
      <w:r w:rsidRPr="00D01AEE">
        <w:rPr>
          <w:b/>
          <w:bCs/>
        </w:rPr>
        <w:t>quick returns rather than longevity</w:t>
      </w:r>
      <w:r w:rsidRPr="00D01AEE">
        <w:t>. Consequently:</w:t>
      </w:r>
    </w:p>
    <w:p w14:paraId="0DB7732D" w14:textId="77777777" w:rsidR="00D01AEE" w:rsidRPr="00D01AEE" w:rsidRDefault="00D01AEE" w:rsidP="00D01AEE">
      <w:pPr>
        <w:numPr>
          <w:ilvl w:val="0"/>
          <w:numId w:val="1"/>
        </w:numPr>
      </w:pPr>
      <w:r w:rsidRPr="00D01AEE">
        <w:t>Structural durability is compromised, leading to early deterioration.</w:t>
      </w:r>
    </w:p>
    <w:p w14:paraId="51CA4B7B" w14:textId="77777777" w:rsidR="00D01AEE" w:rsidRPr="00D01AEE" w:rsidRDefault="00D01AEE" w:rsidP="00D01AEE">
      <w:pPr>
        <w:numPr>
          <w:ilvl w:val="0"/>
          <w:numId w:val="1"/>
        </w:numPr>
      </w:pPr>
      <w:r w:rsidRPr="00D01AEE">
        <w:t>Finishing and fittings degrade rapidly, reducing the property’s aesthetic and functional value.</w:t>
      </w:r>
    </w:p>
    <w:p w14:paraId="58BE9F20" w14:textId="77777777" w:rsidR="00D01AEE" w:rsidRPr="00D01AEE" w:rsidRDefault="00D01AEE" w:rsidP="00D01AEE">
      <w:pPr>
        <w:numPr>
          <w:ilvl w:val="0"/>
          <w:numId w:val="1"/>
        </w:numPr>
      </w:pPr>
      <w:r w:rsidRPr="00D01AEE">
        <w:t xml:space="preserve">The cost of renovation—often ranging between </w:t>
      </w:r>
      <w:r w:rsidRPr="00D01AEE">
        <w:rPr>
          <w:b/>
          <w:bCs/>
        </w:rPr>
        <w:t>25% and 50%</w:t>
      </w:r>
      <w:r w:rsidRPr="00D01AEE">
        <w:t xml:space="preserve"> of the initial project cost—shifts to the landowner after handover.</w:t>
      </w:r>
    </w:p>
    <w:p w14:paraId="23EB689E" w14:textId="77777777" w:rsidR="00D01AEE" w:rsidRPr="00D01AEE" w:rsidRDefault="00D01AEE" w:rsidP="00D01AEE">
      <w:r w:rsidRPr="00D01AEE">
        <w:t xml:space="preserve">The situation is worsened by the absence of independent supervision and weak enforcement of local building standards (Agyekum et al., 2013). Over time, the cumulative effect is a </w:t>
      </w:r>
      <w:r w:rsidRPr="00D01AEE">
        <w:rPr>
          <w:b/>
          <w:bCs/>
        </w:rPr>
        <w:t>loss of asset value</w:t>
      </w:r>
      <w:r w:rsidRPr="00D01AEE">
        <w:t xml:space="preserve"> and diminished investor confidence in the real estate sector.</w:t>
      </w:r>
    </w:p>
    <w:p w14:paraId="19192EA5" w14:textId="2CE9F222" w:rsidR="00D01AEE" w:rsidRPr="00D01AEE" w:rsidRDefault="00D01AEE" w:rsidP="00D01AEE"/>
    <w:p w14:paraId="761F4116" w14:textId="77777777" w:rsidR="00D01AEE" w:rsidRPr="00D01AEE" w:rsidRDefault="00D01AEE" w:rsidP="00D01AEE">
      <w:pPr>
        <w:rPr>
          <w:b/>
          <w:bCs/>
        </w:rPr>
      </w:pPr>
      <w:r w:rsidRPr="00D01AEE">
        <w:rPr>
          <w:b/>
          <w:bCs/>
        </w:rPr>
        <w:t>4. Contractual and Legal Weaknesses</w:t>
      </w:r>
    </w:p>
    <w:p w14:paraId="2810DE55" w14:textId="77777777" w:rsidR="00D01AEE" w:rsidRPr="00D01AEE" w:rsidRDefault="00D01AEE" w:rsidP="00D01AEE">
      <w:r w:rsidRPr="00D01AEE">
        <w:t xml:space="preserve">A major driver of these problems is the </w:t>
      </w:r>
      <w:r w:rsidRPr="00D01AEE">
        <w:rPr>
          <w:b/>
          <w:bCs/>
        </w:rPr>
        <w:t>poorly structured contractual framework</w:t>
      </w:r>
      <w:r w:rsidRPr="00D01AEE">
        <w:t xml:space="preserve"> governing BOT property deals. Common deficiencies include:</w:t>
      </w:r>
    </w:p>
    <w:p w14:paraId="2A2E27BD" w14:textId="77777777" w:rsidR="00D01AEE" w:rsidRPr="00D01AEE" w:rsidRDefault="00D01AEE" w:rsidP="00D01AEE">
      <w:pPr>
        <w:numPr>
          <w:ilvl w:val="0"/>
          <w:numId w:val="2"/>
        </w:numPr>
      </w:pPr>
      <w:r w:rsidRPr="00D01AEE">
        <w:t xml:space="preserve">Lack of </w:t>
      </w:r>
      <w:r w:rsidRPr="00D01AEE">
        <w:rPr>
          <w:b/>
          <w:bCs/>
        </w:rPr>
        <w:t>material specification clauses</w:t>
      </w:r>
      <w:r w:rsidRPr="00D01AEE">
        <w:t xml:space="preserve"> detailing acceptable quality standards.</w:t>
      </w:r>
    </w:p>
    <w:p w14:paraId="47B754BA" w14:textId="77777777" w:rsidR="00D01AEE" w:rsidRPr="00D01AEE" w:rsidRDefault="00D01AEE" w:rsidP="00D01AEE">
      <w:pPr>
        <w:numPr>
          <w:ilvl w:val="0"/>
          <w:numId w:val="2"/>
        </w:numPr>
      </w:pPr>
      <w:r w:rsidRPr="00D01AEE">
        <w:t xml:space="preserve">Absence of </w:t>
      </w:r>
      <w:r w:rsidRPr="00D01AEE">
        <w:rPr>
          <w:b/>
          <w:bCs/>
        </w:rPr>
        <w:t>independent inspection or certification</w:t>
      </w:r>
      <w:r w:rsidRPr="00D01AEE">
        <w:t xml:space="preserve"> during construction phases.</w:t>
      </w:r>
    </w:p>
    <w:p w14:paraId="5F3A3FF5" w14:textId="77777777" w:rsidR="00D01AEE" w:rsidRPr="00D01AEE" w:rsidRDefault="00D01AEE" w:rsidP="00D01AEE">
      <w:pPr>
        <w:numPr>
          <w:ilvl w:val="0"/>
          <w:numId w:val="2"/>
        </w:numPr>
      </w:pPr>
      <w:r w:rsidRPr="00D01AEE">
        <w:t xml:space="preserve">No </w:t>
      </w:r>
      <w:r w:rsidRPr="00D01AEE">
        <w:rPr>
          <w:b/>
          <w:bCs/>
        </w:rPr>
        <w:t>performance bonds</w:t>
      </w:r>
      <w:r w:rsidRPr="00D01AEE">
        <w:t xml:space="preserve"> or </w:t>
      </w:r>
      <w:r w:rsidRPr="00D01AEE">
        <w:rPr>
          <w:b/>
          <w:bCs/>
        </w:rPr>
        <w:t>defect liability periods</w:t>
      </w:r>
      <w:r w:rsidRPr="00D01AEE">
        <w:t xml:space="preserve"> ensuring accountability.</w:t>
      </w:r>
    </w:p>
    <w:p w14:paraId="58B4726B" w14:textId="77777777" w:rsidR="00D01AEE" w:rsidRPr="00D01AEE" w:rsidRDefault="00D01AEE" w:rsidP="00D01AEE">
      <w:pPr>
        <w:numPr>
          <w:ilvl w:val="0"/>
          <w:numId w:val="2"/>
        </w:numPr>
      </w:pPr>
      <w:r w:rsidRPr="00D01AEE">
        <w:t xml:space="preserve">Limited legal provisions for </w:t>
      </w:r>
      <w:r w:rsidRPr="00D01AEE">
        <w:rPr>
          <w:b/>
          <w:bCs/>
        </w:rPr>
        <w:t>renovation obligations</w:t>
      </w:r>
      <w:r w:rsidRPr="00D01AEE">
        <w:t xml:space="preserve"> before handover.</w:t>
      </w:r>
    </w:p>
    <w:p w14:paraId="1D96599A" w14:textId="77777777" w:rsidR="00D01AEE" w:rsidRPr="00D01AEE" w:rsidRDefault="00D01AEE" w:rsidP="00D01AEE">
      <w:r w:rsidRPr="00D01AEE">
        <w:t xml:space="preserve">As a result, investors can legally fulfill their operational obligations while delivering properties that are </w:t>
      </w:r>
      <w:r w:rsidRPr="00D01AEE">
        <w:rPr>
          <w:b/>
          <w:bCs/>
        </w:rPr>
        <w:t>physically and economically depreciated</w:t>
      </w:r>
      <w:r w:rsidRPr="00D01AEE">
        <w:t>. This imbalance highlights a pressing need for legal reform and stronger professional oversight.</w:t>
      </w:r>
    </w:p>
    <w:p w14:paraId="2BF81D8C" w14:textId="25FACCFB" w:rsidR="00D01AEE" w:rsidRPr="00D01AEE" w:rsidRDefault="00D01AEE" w:rsidP="00D01AEE"/>
    <w:p w14:paraId="68924AF7" w14:textId="77777777" w:rsidR="00D01AEE" w:rsidRPr="00D01AEE" w:rsidRDefault="00D01AEE" w:rsidP="00D01AEE">
      <w:pPr>
        <w:rPr>
          <w:b/>
          <w:bCs/>
        </w:rPr>
      </w:pPr>
      <w:r w:rsidRPr="00D01AEE">
        <w:rPr>
          <w:b/>
          <w:bCs/>
        </w:rPr>
        <w:t>5. Policy and Contractual Recommendations</w:t>
      </w:r>
    </w:p>
    <w:p w14:paraId="4F52CE08" w14:textId="77777777" w:rsidR="00D01AEE" w:rsidRPr="00D01AEE" w:rsidRDefault="00D01AEE" w:rsidP="00D01AEE">
      <w:r w:rsidRPr="00D01AEE">
        <w:t>To address the structural and ethical deficiencies of BOT property systems, the following recommendations are proposed:</w:t>
      </w:r>
    </w:p>
    <w:p w14:paraId="36B6DCC0" w14:textId="77777777" w:rsidR="00D01AEE" w:rsidRPr="00D01AEE" w:rsidRDefault="00D01AEE" w:rsidP="00D01AEE">
      <w:pPr>
        <w:numPr>
          <w:ilvl w:val="0"/>
          <w:numId w:val="3"/>
        </w:numPr>
      </w:pPr>
      <w:r w:rsidRPr="00D01AEE">
        <w:rPr>
          <w:b/>
          <w:bCs/>
        </w:rPr>
        <w:t>Quality Specification and Supervision:</w:t>
      </w:r>
      <w:r w:rsidRPr="00D01AEE">
        <w:br/>
        <w:t>Contracts should define minimum construction standards, referencing national building codes and professional guidelines. Independent engineers or architects must verify compliance at each project stage.</w:t>
      </w:r>
    </w:p>
    <w:p w14:paraId="203F9568" w14:textId="77777777" w:rsidR="00D01AEE" w:rsidRPr="00D01AEE" w:rsidRDefault="00D01AEE" w:rsidP="00D01AEE">
      <w:pPr>
        <w:numPr>
          <w:ilvl w:val="0"/>
          <w:numId w:val="3"/>
        </w:numPr>
      </w:pPr>
      <w:r w:rsidRPr="00D01AEE">
        <w:rPr>
          <w:b/>
          <w:bCs/>
        </w:rPr>
        <w:lastRenderedPageBreak/>
        <w:t>Performance Bonds and Defect Liability:</w:t>
      </w:r>
      <w:r w:rsidRPr="00D01AEE">
        <w:br/>
        <w:t>Investors should provide financial guarantees covering major structural defects for a minimum of 5–10 years after transfer. This ensures shared responsibility for long-term quality.</w:t>
      </w:r>
    </w:p>
    <w:p w14:paraId="42538096" w14:textId="77777777" w:rsidR="00D01AEE" w:rsidRPr="00D01AEE" w:rsidRDefault="00D01AEE" w:rsidP="00D01AEE">
      <w:pPr>
        <w:numPr>
          <w:ilvl w:val="0"/>
          <w:numId w:val="3"/>
        </w:numPr>
      </w:pPr>
      <w:r w:rsidRPr="00D01AEE">
        <w:rPr>
          <w:b/>
          <w:bCs/>
        </w:rPr>
        <w:t>Mandatory Maintenance and Handover Audits:</w:t>
      </w:r>
      <w:r w:rsidRPr="00D01AEE">
        <w:br/>
        <w:t>Before transfer, the property should undergo a full inspection and renovation funded by the investor to restore the building to a “fit-for-purpose” condition.</w:t>
      </w:r>
    </w:p>
    <w:p w14:paraId="1878D11D" w14:textId="77777777" w:rsidR="00D01AEE" w:rsidRPr="00D01AEE" w:rsidRDefault="00D01AEE" w:rsidP="00D01AEE">
      <w:pPr>
        <w:numPr>
          <w:ilvl w:val="0"/>
          <w:numId w:val="3"/>
        </w:numPr>
      </w:pPr>
      <w:r w:rsidRPr="00D01AEE">
        <w:rPr>
          <w:b/>
          <w:bCs/>
        </w:rPr>
        <w:t>Government Regulation and Institutional Support:</w:t>
      </w:r>
      <w:r w:rsidRPr="00D01AEE">
        <w:br/>
        <w:t>Urban planning authorities must introduce BOT-specific regulatory frameworks that protect both parties. Real estate associations should enforce ethical standards among developers and investors.</w:t>
      </w:r>
    </w:p>
    <w:p w14:paraId="6DFAF81C" w14:textId="77777777" w:rsidR="00D01AEE" w:rsidRPr="00D01AEE" w:rsidRDefault="00D01AEE" w:rsidP="00D01AEE">
      <w:pPr>
        <w:numPr>
          <w:ilvl w:val="0"/>
          <w:numId w:val="3"/>
        </w:numPr>
      </w:pPr>
      <w:r w:rsidRPr="00D01AEE">
        <w:rPr>
          <w:b/>
          <w:bCs/>
        </w:rPr>
        <w:t>Profit-Sharing Flexibility:</w:t>
      </w:r>
      <w:r w:rsidRPr="00D01AEE">
        <w:br/>
        <w:t>Adjusting profit-sharing ratios can allow investors to use high-quality materials while maintaining reasonable returns, promoting sustainability and fairness.</w:t>
      </w:r>
    </w:p>
    <w:p w14:paraId="500D3B50" w14:textId="21968FBA" w:rsidR="00D01AEE" w:rsidRPr="00D01AEE" w:rsidRDefault="00D01AEE" w:rsidP="00D01AEE"/>
    <w:p w14:paraId="26A950B1" w14:textId="77777777" w:rsidR="00D01AEE" w:rsidRPr="00D01AEE" w:rsidRDefault="00D01AEE" w:rsidP="00D01AEE">
      <w:pPr>
        <w:rPr>
          <w:b/>
          <w:bCs/>
        </w:rPr>
      </w:pPr>
      <w:r w:rsidRPr="00D01AEE">
        <w:rPr>
          <w:b/>
          <w:bCs/>
        </w:rPr>
        <w:t>6. Ethical and Developmental Implications</w:t>
      </w:r>
    </w:p>
    <w:p w14:paraId="48896DF7" w14:textId="77777777" w:rsidR="00D01AEE" w:rsidRPr="00D01AEE" w:rsidRDefault="00D01AEE" w:rsidP="00D01AEE">
      <w:r w:rsidRPr="00D01AEE">
        <w:t xml:space="preserve">Beyond economics, BOT property transactions raise </w:t>
      </w:r>
      <w:r w:rsidRPr="00D01AEE">
        <w:rPr>
          <w:b/>
          <w:bCs/>
        </w:rPr>
        <w:t>ethical and governance issues</w:t>
      </w:r>
      <w:r w:rsidRPr="00D01AEE">
        <w:t>. Investors have a moral obligation to ensure that developments are safe, durable, and beneficial to the community. Poor construction practices can endanger lives and perpetuate cycles of urban decay. Therefore, ethical responsibility must be integrated into contractual and professional codes of conduct within the real estate sector (Mensah &amp; Acheampong, 2018).</w:t>
      </w:r>
    </w:p>
    <w:p w14:paraId="5B4C8A80" w14:textId="2814A48B" w:rsidR="00D01AEE" w:rsidRPr="00D01AEE" w:rsidRDefault="00D01AEE" w:rsidP="00D01AEE"/>
    <w:p w14:paraId="226A2E50" w14:textId="77777777" w:rsidR="00D01AEE" w:rsidRPr="00D01AEE" w:rsidRDefault="00D01AEE" w:rsidP="00D01AEE">
      <w:pPr>
        <w:rPr>
          <w:b/>
          <w:bCs/>
        </w:rPr>
      </w:pPr>
      <w:r w:rsidRPr="00D01AEE">
        <w:rPr>
          <w:b/>
          <w:bCs/>
        </w:rPr>
        <w:t>7. Conclusion</w:t>
      </w:r>
    </w:p>
    <w:p w14:paraId="5E7F766C" w14:textId="77777777" w:rsidR="00D01AEE" w:rsidRPr="00D01AEE" w:rsidRDefault="00D01AEE" w:rsidP="00D01AEE">
      <w:r w:rsidRPr="00D01AEE">
        <w:t xml:space="preserve">The BOT system offers a strategic pathway for urban property development in resource-limited environments. However, its success depends on </w:t>
      </w:r>
      <w:r w:rsidRPr="00D01AEE">
        <w:rPr>
          <w:b/>
          <w:bCs/>
        </w:rPr>
        <w:t>robust contractual design</w:t>
      </w:r>
      <w:r w:rsidRPr="00D01AEE">
        <w:t xml:space="preserve">, </w:t>
      </w:r>
      <w:r w:rsidRPr="00D01AEE">
        <w:rPr>
          <w:b/>
          <w:bCs/>
        </w:rPr>
        <w:t>strict quality control</w:t>
      </w:r>
      <w:r w:rsidRPr="00D01AEE">
        <w:t xml:space="preserve">, and </w:t>
      </w:r>
      <w:r w:rsidRPr="00D01AEE">
        <w:rPr>
          <w:b/>
          <w:bCs/>
        </w:rPr>
        <w:t>ethical accountability</w:t>
      </w:r>
      <w:r w:rsidRPr="00D01AEE">
        <w:t>. Without these safeguards, the system risks becoming exploitative, transferring long-term financial and structural burdens to landowners. Strengthening legal frameworks, mandating independent supervision, and fostering professional ethics will ensure that such partnerships deliver not just buildings, but lasting value to communities.</w:t>
      </w:r>
    </w:p>
    <w:p w14:paraId="5AEEF263" w14:textId="3AF93765" w:rsidR="00D01AEE" w:rsidRPr="00D01AEE" w:rsidRDefault="00D01AEE" w:rsidP="00D01AEE"/>
    <w:p w14:paraId="1BD5A20C" w14:textId="77777777" w:rsidR="00D01AEE" w:rsidRPr="00D01AEE" w:rsidRDefault="00D01AEE" w:rsidP="00D01AEE">
      <w:pPr>
        <w:rPr>
          <w:b/>
          <w:bCs/>
        </w:rPr>
      </w:pPr>
      <w:r w:rsidRPr="00D01AEE">
        <w:rPr>
          <w:b/>
          <w:bCs/>
        </w:rPr>
        <w:t>References</w:t>
      </w:r>
    </w:p>
    <w:p w14:paraId="6DB67748" w14:textId="77777777" w:rsidR="00D01AEE" w:rsidRPr="00D01AEE" w:rsidRDefault="00D01AEE" w:rsidP="00D01AEE">
      <w:r w:rsidRPr="00D01AEE">
        <w:t xml:space="preserve">Agyekum, K., </w:t>
      </w:r>
      <w:proofErr w:type="spellStart"/>
      <w:r w:rsidRPr="00D01AEE">
        <w:t>Ayarkwa</w:t>
      </w:r>
      <w:proofErr w:type="spellEnd"/>
      <w:r w:rsidRPr="00D01AEE">
        <w:t xml:space="preserve">, J., &amp; Amoah, P. (2013). </w:t>
      </w:r>
      <w:r w:rsidRPr="00D01AEE">
        <w:rPr>
          <w:i/>
          <w:iCs/>
        </w:rPr>
        <w:t>Assessment of defects in public building projects in Ghana: Builders’ perspective</w:t>
      </w:r>
      <w:r w:rsidRPr="00D01AEE">
        <w:t>. Journal of Construction Engineering and Management, 139(4), 455–465.</w:t>
      </w:r>
      <w:r w:rsidRPr="00D01AEE">
        <w:br/>
      </w:r>
      <w:proofErr w:type="spellStart"/>
      <w:r w:rsidRPr="00D01AEE">
        <w:t>Almarri</w:t>
      </w:r>
      <w:proofErr w:type="spellEnd"/>
      <w:r w:rsidRPr="00D01AEE">
        <w:t>, K., &amp; Abu-</w:t>
      </w:r>
      <w:proofErr w:type="spellStart"/>
      <w:r w:rsidRPr="00D01AEE">
        <w:t>Hijleh</w:t>
      </w:r>
      <w:proofErr w:type="spellEnd"/>
      <w:r w:rsidRPr="00D01AEE">
        <w:t xml:space="preserve">, B. (2017). </w:t>
      </w:r>
      <w:r w:rsidRPr="00D01AEE">
        <w:rPr>
          <w:i/>
          <w:iCs/>
        </w:rPr>
        <w:t>Critical success factors for public-private partnerships in the UAE construction industry</w:t>
      </w:r>
      <w:r w:rsidRPr="00D01AEE">
        <w:t>. International Journal of Construction Management, 17(1), 65–78.</w:t>
      </w:r>
      <w:r w:rsidRPr="00D01AEE">
        <w:br/>
        <w:t xml:space="preserve">Mensah, S., &amp; Acheampong, A. (2018). </w:t>
      </w:r>
      <w:r w:rsidRPr="00D01AEE">
        <w:rPr>
          <w:i/>
          <w:iCs/>
        </w:rPr>
        <w:t>Ethics and professional responsibility in Ghana’s construction industry</w:t>
      </w:r>
      <w:r w:rsidRPr="00D01AEE">
        <w:t>. Journal of Built Environment and Sustainability, 5(2), 29–42.</w:t>
      </w:r>
      <w:r w:rsidRPr="00D01AEE">
        <w:br/>
        <w:t xml:space="preserve">Zhang, X. (2005). </w:t>
      </w:r>
      <w:r w:rsidRPr="00D01AEE">
        <w:rPr>
          <w:i/>
          <w:iCs/>
        </w:rPr>
        <w:t>Critical success factors for public-private partnerships in infrastructure development</w:t>
      </w:r>
      <w:r w:rsidRPr="00D01AEE">
        <w:t>. Journal of Construction Engineering and Management, 131(1), 3–14.</w:t>
      </w:r>
    </w:p>
    <w:p w14:paraId="44B16162" w14:textId="05CF01CD" w:rsidR="00A71869" w:rsidRDefault="00A71869"/>
    <w:p w14:paraId="7184BC5C" w14:textId="2BA1BB4D" w:rsidR="00CC2818" w:rsidRDefault="00CC2818">
      <w:r>
        <w:t>Cujoe999x1@yahoo.com</w:t>
      </w:r>
    </w:p>
    <w:sectPr w:rsidR="00CC28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F774C"/>
    <w:multiLevelType w:val="multilevel"/>
    <w:tmpl w:val="F69E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3427D"/>
    <w:multiLevelType w:val="multilevel"/>
    <w:tmpl w:val="D282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CF7CEC"/>
    <w:multiLevelType w:val="multilevel"/>
    <w:tmpl w:val="BC861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AEE"/>
    <w:rsid w:val="00A71869"/>
    <w:rsid w:val="00CC2818"/>
    <w:rsid w:val="00D01AEE"/>
    <w:rsid w:val="00F35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C5DE9"/>
  <w15:chartTrackingRefBased/>
  <w15:docId w15:val="{74C2BC35-51ED-49D9-A1B1-F1762F41F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1539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1112</Words>
  <Characters>6340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paddy</dc:creator>
  <cp:keywords/>
  <dc:description/>
  <cp:lastModifiedBy>eric paddy</cp:lastModifiedBy>
  <cp:revision>1</cp:revision>
  <dcterms:created xsi:type="dcterms:W3CDTF">2025-11-10T09:35:00Z</dcterms:created>
  <dcterms:modified xsi:type="dcterms:W3CDTF">2025-11-10T10:39:00Z</dcterms:modified>
</cp:coreProperties>
</file>