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r>
        <w:rPr>
          <w:rFonts w:ascii="Times New Roman" w:hAnsi="Times New Roman"/>
          <w:b/>
          <w:color w:val="000000"/>
          <w:sz w:val="24"/>
        </w:rPr>
        <w:t>TABLE OF CONTENTS</w:t>
      </w:r>
    </w:p>
    <w:p>
      <w:r>
        <w:fldChar w:fldCharType="begin"/>
        <w:instrText xml:space="preserve"> TOC \o "1-3" \h \z \u </w:instrText>
        <w:fldChar w:fldCharType="separate"/>
        <w:fldChar w:fldCharType="end"/>
      </w:r>
    </w:p>
    <w:p>
      <w:r>
        <w:br w:type="page"/>
      </w:r>
    </w:p>
    <w:p>
      <w:pPr>
        <w:pStyle w:val="Heading1"/>
        <w:spacing w:after="0" w:line="360" w:lineRule="auto"/>
        <w:jc w:val="center"/>
      </w:pPr>
      <w:r>
        <w:rPr>
          <w:rFonts w:ascii="Times New Roman" w:hAnsi="Times New Roman"/>
          <w:b/>
          <w:color w:val="000000"/>
          <w:sz w:val="24"/>
        </w:rPr>
        <w:t>ACKNOWLEDGEMENTS</w:t>
      </w:r>
    </w:p>
    <w:p>
      <w:pPr>
        <w:spacing w:line="360" w:lineRule="auto"/>
        <w:ind w:left="0" w:firstLine="0"/>
        <w:jc w:val="both"/>
      </w:pPr>
      <w:r>
        <w:rPr>
          <w:rFonts w:ascii="Times New Roman" w:hAnsi="Times New Roman"/>
          <w:sz w:val="24"/>
        </w:rPr>
        <w:t>We want to start by Acknowledging the course instructor Dr Suh Charles Forbacha for this practical exercise. This report was prepared as part of the CENP6101 - Enterprise Application Management course assignment on Cloud Production and Economics of Scale. The research draws upon current industry reports, academic literature, cloud provider documentation, and expert analyses from leading technology research firms. We acknowledge the valuable insights provided by major cloud service providers through their publicly available documentation and the FinOps Foundation for their pioneering work in cloud financial management practices.</w:t>
      </w:r>
    </w:p>
    <w:p>
      <w:pPr>
        <w:pStyle w:val="Heading1"/>
      </w:pPr>
      <w:r>
        <w:rPr>
          <w:rFonts w:ascii="Times New Roman" w:hAnsi="Times New Roman"/>
          <w:b/>
          <w:color w:val="000000"/>
          <w:sz w:val="24"/>
        </w:rPr>
        <w:t>Executive Summary</w:t>
      </w:r>
    </w:p>
    <w:p>
      <w:pPr>
        <w:spacing w:line="360" w:lineRule="auto"/>
        <w:ind w:left="0" w:firstLine="0"/>
      </w:pPr>
      <w:r>
        <w:rPr>
          <w:rFonts w:ascii="Times New Roman" w:hAnsi="Times New Roman"/>
          <w:sz w:val="24"/>
        </w:rPr>
        <w:t>Cloud computing has fundamentally transformed enterprise IT economics through economies of scale. The global cloud market reached $912.77 billion in 2025, projected to surpass $1 trillion by 2028, driven by cost advantages that cloud providers achieve through massive-scale operations. Through resource pooling, automation, bulk purchasing, and centralized infrastructure, providers like AWS, Azure, and Google Cloud achieve cost reductions of 20-30% that individual organizations cannot replicate. This report examines how cloud production leverages economies of scale across infrastructure, operations, and service delivery, the mechanisms driving these efficiencies, comparative strategies of major providers, optimization approaches, challenges including cost visibility and vendor lock-in, and emerging trends in AI-driven optimization, edge computing, and sustainability.</w:t>
      </w:r>
    </w:p>
    <w:p>
      <w:pPr>
        <w:pStyle w:val="Heading1"/>
      </w:pPr>
      <w:r>
        <w:rPr>
          <w:rFonts w:ascii="Times New Roman" w:hAnsi="Times New Roman"/>
          <w:b/>
          <w:color w:val="000000"/>
          <w:sz w:val="24"/>
        </w:rPr>
        <w:t>Introduction</w:t>
      </w:r>
    </w:p>
    <w:p>
      <w:pPr>
        <w:pStyle w:val="Heading2"/>
      </w:pPr>
      <w:r>
        <w:rPr>
          <w:rFonts w:ascii="Times New Roman" w:hAnsi="Times New Roman"/>
          <w:b/>
          <w:color w:val="000000"/>
          <w:sz w:val="24"/>
        </w:rPr>
        <w:t>Background and Significance</w:t>
      </w:r>
    </w:p>
    <w:p>
      <w:pPr>
        <w:pStyle w:val="AcademicBody"/>
        <w:spacing w:line="360" w:lineRule="auto"/>
        <w:jc w:val="both"/>
      </w:pPr>
      <w:r>
        <w:rPr>
          <w:rFonts w:ascii="Times New Roman" w:hAnsi="Times New Roman"/>
          <w:sz w:val="24"/>
        </w:rPr>
        <w:t>The concept of economies of scale, cost advantages achieved through increased production, has revolutionized IT infrastructure delivery. Traditional on-premises environments required substantial capital investment in hardware, data centers, and staff, often resulting in underutilized resources. Organizations typically operated infrastructure at 10-20% utilization while maintaining capacity for peak demands. Cloud computing disrupts this model by offering shared, on-demand computing resources where providers operate vast data centers serving thousands of clients simultaneously, distributing costs across their customer base.</w:t>
      </w:r>
    </w:p>
    <w:p>
      <w:pPr>
        <w:pStyle w:val="AcademicBody"/>
        <w:spacing w:line="360" w:lineRule="auto"/>
        <w:jc w:val="both"/>
      </w:pPr>
      <w:r>
        <w:rPr>
          <w:rFonts w:ascii="Times New Roman" w:hAnsi="Times New Roman"/>
          <w:sz w:val="24"/>
        </w:rPr>
        <w:t>This transformation is significant for multiple reasons. Organizations reduce IT expenditure by leveraging shared infrastructure rather than building dedicated facilities. Businesses gain unprecedented scalability, rapidly adjusting resources based on demand without capital investment. Companies focus on core competencies rather than infrastructure management, freeing capital for innovation. Global reach becomes accessible without establishing physical presence worldwide. The economic implications extend beyond cost savings to fundamentally reshape competitive dynamics, enabling small organizations to access enterprise-grade capabilities.</w:t>
      </w:r>
    </w:p>
    <w:p>
      <w:pPr>
        <w:pStyle w:val="AcademicBody"/>
        <w:spacing w:line="360" w:lineRule="auto"/>
        <w:jc w:val="both"/>
      </w:pPr>
      <w:r>
        <w:rPr>
          <w:rFonts w:ascii="Times New Roman" w:hAnsi="Times New Roman"/>
          <w:sz w:val="24"/>
        </w:rPr>
        <w:t>Objectives</w:t>
      </w:r>
    </w:p>
    <w:p>
      <w:pPr>
        <w:pStyle w:val="AcademicBody"/>
        <w:spacing w:line="360" w:lineRule="auto"/>
        <w:jc w:val="both"/>
      </w:pPr>
      <w:r>
        <w:rPr>
          <w:rFonts w:ascii="Times New Roman" w:hAnsi="Times New Roman"/>
          <w:sz w:val="24"/>
        </w:rPr>
        <w:t>This report aims to:</w:t>
      </w:r>
    </w:p>
    <w:p>
      <w:pPr>
        <w:pStyle w:val="AcademicBody"/>
        <w:spacing w:line="360" w:lineRule="auto"/>
        <w:jc w:val="both"/>
      </w:pPr>
      <w:r>
        <w:rPr>
          <w:rFonts w:ascii="Times New Roman" w:hAnsi="Times New Roman"/>
          <w:sz w:val="24"/>
        </w:rPr>
        <w:t>explain economies of scale principles in cloud computing contexts,</w:t>
      </w:r>
    </w:p>
    <w:p>
      <w:pPr>
        <w:pStyle w:val="AcademicBody"/>
        <w:spacing w:line="360" w:lineRule="auto"/>
        <w:jc w:val="both"/>
      </w:pPr>
      <w:r>
        <w:rPr>
          <w:rFonts w:ascii="Times New Roman" w:hAnsi="Times New Roman"/>
          <w:sz w:val="24"/>
        </w:rPr>
        <w:t>analyze cloud production models and underlying infrastructure,</w:t>
      </w:r>
    </w:p>
    <w:p>
      <w:pPr>
        <w:pStyle w:val="AcademicBody"/>
        <w:spacing w:line="360" w:lineRule="auto"/>
        <w:jc w:val="both"/>
      </w:pPr>
      <w:r>
        <w:rPr>
          <w:rFonts w:ascii="Times New Roman" w:hAnsi="Times New Roman"/>
          <w:sz w:val="24"/>
        </w:rPr>
        <w:t>examine how major providers achieve and maintain scale advantages,</w:t>
      </w:r>
    </w:p>
    <w:p>
      <w:pPr>
        <w:pStyle w:val="AcademicBody"/>
        <w:spacing w:line="360" w:lineRule="auto"/>
        <w:jc w:val="both"/>
      </w:pPr>
      <w:r>
        <w:rPr>
          <w:rFonts w:ascii="Times New Roman" w:hAnsi="Times New Roman"/>
          <w:sz w:val="24"/>
        </w:rPr>
        <w:t>evaluate economic benefits for organizations,</w:t>
      </w:r>
    </w:p>
    <w:p>
      <w:pPr>
        <w:pStyle w:val="AcademicBody"/>
        <w:spacing w:line="360" w:lineRule="auto"/>
        <w:jc w:val="both"/>
      </w:pPr>
      <w:r>
        <w:rPr>
          <w:rFonts w:ascii="Times New Roman" w:hAnsi="Times New Roman"/>
          <w:sz w:val="24"/>
        </w:rPr>
        <w:t>identify challenges and optimization strategies, and</w:t>
      </w:r>
    </w:p>
    <w:p>
      <w:pPr>
        <w:pStyle w:val="AcademicBody"/>
        <w:spacing w:line="360" w:lineRule="auto"/>
        <w:jc w:val="both"/>
      </w:pPr>
      <w:r>
        <w:rPr>
          <w:rFonts w:ascii="Times New Roman" w:hAnsi="Times New Roman"/>
          <w:sz w:val="24"/>
        </w:rPr>
        <w:t>explore future trends shaping cloud economics including AI, edge computing, and sustainability initiatives.</w:t>
      </w:r>
    </w:p>
    <w:p>
      <w:pPr>
        <w:pStyle w:val="Heading2"/>
      </w:pPr>
      <w:r>
        <w:rPr>
          <w:rFonts w:ascii="Times New Roman" w:hAnsi="Times New Roman"/>
          <w:b/>
          <w:color w:val="000000"/>
          <w:sz w:val="24"/>
        </w:rPr>
        <w:t>Economies of Scale in Cloud Computing</w:t>
      </w:r>
    </w:p>
    <w:p>
      <w:pPr>
        <w:pStyle w:val="Heading2"/>
      </w:pPr>
      <w:r>
        <w:rPr>
          <w:rFonts w:ascii="Times New Roman" w:hAnsi="Times New Roman"/>
          <w:b/>
          <w:color w:val="000000"/>
          <w:sz w:val="24"/>
        </w:rPr>
        <w:t>Fundamental Concepts</w:t>
      </w:r>
    </w:p>
    <w:p>
      <w:pPr>
        <w:pStyle w:val="AcademicBody"/>
        <w:spacing w:line="360" w:lineRule="auto"/>
        <w:jc w:val="both"/>
      </w:pPr>
      <w:r>
        <w:rPr>
          <w:rFonts w:ascii="Times New Roman" w:hAnsi="Times New Roman"/>
          <w:sz w:val="24"/>
        </w:rPr>
        <w:t>Economies of scale in cloud computing refer to cost advantages providers gain through operational expansion. As providers increase scale, they allocate hardware, software, and energy costs among numerous customers, significantly reducing per-user expenses. This operates through several mechanisms: resource pooling consolidates computing resources among multiple customers in shared environments; shared infrastructure distributes costs across diverse client bases; efficient resource utilization optimizes allocation, preventing underutilization common in on-premises environments (cloud providers achieve 70-90% utilization versus 1020% traditional); and reduced management overhead eliminates individual data center maintenance, reducing operational expenses and staffing requirements.</w:t>
      </w:r>
    </w:p>
    <w:p>
      <w:pPr>
        <w:pStyle w:val="Heading2"/>
      </w:pPr>
      <w:r>
        <w:rPr>
          <w:rFonts w:ascii="Times New Roman" w:hAnsi="Times New Roman"/>
          <w:b/>
          <w:color w:val="000000"/>
          <w:sz w:val="24"/>
        </w:rPr>
        <w:t>Types of Economies of Scale</w:t>
      </w:r>
    </w:p>
    <w:p>
      <w:pPr>
        <w:pStyle w:val="AcademicBody"/>
        <w:spacing w:line="360" w:lineRule="auto"/>
        <w:jc w:val="both"/>
      </w:pPr>
      <w:r>
        <w:rPr>
          <w:rFonts w:ascii="Times New Roman" w:hAnsi="Times New Roman"/>
          <w:sz w:val="24"/>
        </w:rPr>
        <w:t>Technical Economies arise from large-scale production methods. Hardware optimization through bulk purchasing achieves reduced unit costs on servers and networking equipment. Power efficiency improves through demand aggregation across thousands of servers. Centralized cooling infrastructure serves massive server populations more efficiently. High-capacity network connections provide lower per- unit bandwidth costs. These technical advantages compound, a data center serving 100,000 customers operates fundamentally more efficiently than 100 data centers serving 1,000 customers each.</w:t>
      </w:r>
    </w:p>
    <w:p>
      <w:pPr>
        <w:pStyle w:val="AcademicBody"/>
        <w:spacing w:line="360" w:lineRule="auto"/>
        <w:jc w:val="both"/>
      </w:pPr>
      <w:r>
        <w:rPr>
          <w:rFonts w:ascii="Times New Roman" w:hAnsi="Times New Roman"/>
          <w:sz w:val="24"/>
        </w:rPr>
        <w:t>Purchasing Economies emerge from provider scale. Volume discounts result from negotiating better rates with hardware manufacturers and suppliers. Energy contracts secure favorable electricity rates through long-term, high-volume agreements. Component sourcing establishes direct relationships with chip manufacturers, bypassing intermediaries. As of 2025, major providers negotiate prices 30-50% below what individual enterprises could achieve.</w:t>
      </w:r>
    </w:p>
    <w:p>
      <w:pPr>
        <w:pStyle w:val="AcademicBody"/>
        <w:spacing w:line="360" w:lineRule="auto"/>
        <w:jc w:val="both"/>
      </w:pPr>
      <w:r>
        <w:rPr>
          <w:rFonts w:ascii="Times New Roman" w:hAnsi="Times New Roman"/>
          <w:sz w:val="24"/>
        </w:rPr>
        <w:t>Managerial Economies manifest through operational efficiency. Specialized expertise allows hiring dedicated talent for specific functions, security, networking, storage, rather than generalists. Automation investment in sophisticated tools amortizes across massive infrastructure, economically viable only at cloud scale. Process optimization streamlines maintenance, updates, and incident response through established procedures refined across millions of operations.</w:t>
      </w:r>
    </w:p>
    <w:p>
      <w:pPr>
        <w:pStyle w:val="AcademicBody"/>
        <w:spacing w:line="360" w:lineRule="auto"/>
        <w:jc w:val="both"/>
      </w:pPr>
      <w:r>
        <w:rPr>
          <w:rFonts w:ascii="Times New Roman" w:hAnsi="Times New Roman"/>
          <w:sz w:val="24"/>
        </w:rPr>
        <w:t>Financial Economies result from large-scale operations. Lower cost of capital provides better financing access at favorable rates. Risk diversification spreads financial exposure across multiple customers and regions. Innovation investment funds research and development of new technologies that smaller operations cannot afford.</w:t>
      </w:r>
    </w:p>
    <w:p>
      <w:pPr>
        <w:pStyle w:val="AcademicBody"/>
        <w:spacing w:line="360" w:lineRule="auto"/>
        <w:jc w:val="both"/>
      </w:pPr>
      <w:r>
        <w:rPr>
          <w:rFonts w:ascii="Times New Roman" w:hAnsi="Times New Roman"/>
          <w:sz w:val="24"/>
        </w:rPr>
        <w:t>Scale-Out Architecture</w:t>
      </w:r>
    </w:p>
    <w:p>
      <w:pPr>
        <w:pStyle w:val="AcademicBody"/>
        <w:spacing w:line="360" w:lineRule="auto"/>
        <w:jc w:val="both"/>
      </w:pPr>
      <w:r>
        <w:rPr>
          <w:rFonts w:ascii="Times New Roman" w:hAnsi="Times New Roman"/>
          <w:sz w:val="24"/>
        </w:rPr>
        <w:t>Modern clouds predominantly use scale-out architecture, where growth occurs by adding more units of smaller, commodity components rather than upgrading to larger components. This approach enables linear cost scaling with capacity, better fault tolerance through redundancy, flexibility in resource allocation, and use of commodity hardware at lower unit costs. The building block is typically a container or pod packed with standard equipment, maximizing economies of scale benefits while maintaining operational flexibility. This contrasts with traditional scale-up approaches that quickly encounter diminishing returns as individual components become exponentially more expensive at higher performance levels.</w:t>
      </w:r>
    </w:p>
    <w:p>
      <w:pPr>
        <w:pStyle w:val="Heading2"/>
      </w:pPr>
      <w:r>
        <w:rPr>
          <w:rFonts w:ascii="Times New Roman" w:hAnsi="Times New Roman"/>
          <w:b/>
          <w:color w:val="000000"/>
          <w:sz w:val="24"/>
        </w:rPr>
        <w:t>Cloud Production Models and Infrastructure</w:t>
      </w:r>
    </w:p>
    <w:p>
      <w:pPr>
        <w:pStyle w:val="Heading2"/>
      </w:pPr>
      <w:r>
        <w:rPr>
          <w:rFonts w:ascii="Times New Roman" w:hAnsi="Times New Roman"/>
          <w:b/>
          <w:color w:val="000000"/>
          <w:sz w:val="24"/>
        </w:rPr>
        <w:t>Cloud Service Models</w:t>
      </w:r>
    </w:p>
    <w:p>
      <w:pPr>
        <w:pStyle w:val="AcademicBody"/>
        <w:spacing w:line="360" w:lineRule="auto"/>
        <w:jc w:val="both"/>
      </w:pPr>
      <w:r>
        <w:rPr>
          <w:rFonts w:ascii="Times New Roman" w:hAnsi="Times New Roman"/>
          <w:sz w:val="24"/>
        </w:rPr>
        <w:t>Cloud production operates across three primary service models, each offering different economic trade-offs. Infrastructure as a Service (IaaS) provides virtualized computing resources, virtual machines, storage, and networks, with pay-as-you-go pricing. Customers gain maximum infrastructure control and configuration flexibility while paying only for actual usage. Examples include Amazon EC2, Azure Virtual Machines, and Google Compute Engine. IaaS offers the lowest per- unit costs but requires customers to manage operating systems, middleware, and applications.</w:t>
      </w:r>
    </w:p>
    <w:p>
      <w:pPr>
        <w:pStyle w:val="AcademicBody"/>
        <w:spacing w:line="360" w:lineRule="auto"/>
        <w:jc w:val="both"/>
      </w:pPr>
      <w:r>
        <w:rPr>
          <w:rFonts w:ascii="Times New Roman" w:hAnsi="Times New Roman"/>
          <w:sz w:val="24"/>
        </w:rPr>
        <w:t>Platform as a Service (PaaS) provides development platforms allowing customers to build, run, and manage applications without infrastructure complexity. Built-in development frameworks, database management systems, and automated scaling reduce development time and operational overhead. Examples include AWS Elastic Beanstalk, Azure App Service, and Google App Engine. PaaS trades some control for increased productivity and lower management costs.</w:t>
      </w:r>
    </w:p>
    <w:p>
      <w:pPr>
        <w:pStyle w:val="AcademicBody"/>
        <w:spacing w:line="360" w:lineRule="auto"/>
        <w:jc w:val="both"/>
      </w:pPr>
      <w:r>
        <w:rPr>
          <w:rFonts w:ascii="Times New Roman" w:hAnsi="Times New Roman"/>
          <w:sz w:val="24"/>
        </w:rPr>
        <w:t>Software as a Service (SaaS) delivers complete software applications over the internet on subscription basis. No installation or maintenance is required, applications are accessible from any internet-connected device, and automatic updates occur transparently. Examples include Microsoft 365, Salesforce, and Google Workspace. SaaS offers the highest level of abstraction with minimal customer responsibility, achieving maximum economies of scale through serving thousands of customers from shared infrastructure.</w:t>
      </w:r>
    </w:p>
    <w:p>
      <w:pPr>
        <w:pStyle w:val="Heading2"/>
      </w:pPr>
      <w:r>
        <w:rPr>
          <w:rFonts w:ascii="Times New Roman" w:hAnsi="Times New Roman"/>
          <w:b/>
          <w:color w:val="000000"/>
          <w:sz w:val="24"/>
        </w:rPr>
        <w:t>Cloud Deployment Models</w:t>
      </w:r>
    </w:p>
    <w:p>
      <w:pPr>
        <w:pStyle w:val="AcademicBody"/>
        <w:spacing w:line="360" w:lineRule="auto"/>
        <w:jc w:val="both"/>
      </w:pPr>
      <w:r>
        <w:rPr>
          <w:rFonts w:ascii="Times New Roman" w:hAnsi="Times New Roman"/>
          <w:sz w:val="24"/>
        </w:rPr>
        <w:t>Public Cloud resources are owned and operated by third-party providers and delivered over the internet, offering maximum economies of scale through shared infrastructure across thousands of customers. No capital expenditure is required with pay-as-you-go models eliminating upfront investment. Global reach provides access to worldwide data center networks. Elastic scalability enables rapid resource adjustment based on demand. Public clouds represent the purest expression of cloud economies of scale, with providers like AWS serving over one million active customers from shared infrastructure.</w:t>
      </w:r>
    </w:p>
    <w:p>
      <w:pPr>
        <w:pStyle w:val="AcademicBody"/>
        <w:spacing w:line="360" w:lineRule="auto"/>
        <w:jc w:val="both"/>
      </w:pPr>
      <w:r>
        <w:rPr>
          <w:rFonts w:ascii="Times New Roman" w:hAnsi="Times New Roman"/>
          <w:sz w:val="24"/>
        </w:rPr>
        <w:t>Private Cloud infrastructure is dedicated exclusively to one organization, providing enhanced control over data, security, and compliance. Customization allows tailored configurations for specific requirements.</w:t>
      </w:r>
    </w:p>
    <w:p>
      <w:pPr>
        <w:pStyle w:val="AcademicBody"/>
        <w:spacing w:line="360" w:lineRule="auto"/>
        <w:jc w:val="both"/>
      </w:pPr>
      <w:r>
        <w:rPr>
          <w:rFonts w:ascii="Times New Roman" w:hAnsi="Times New Roman"/>
          <w:sz w:val="24"/>
        </w:rPr>
        <w:t>However, limited economies of scale reduce cost advantages, and higher capital costs result from organizations bearing infrastructure investment. Private clouds make sense for highly regulated industries or organizations with unique security requirements where public cloud benefits don't outweigh control needs.</w:t>
      </w:r>
    </w:p>
    <w:p>
      <w:pPr>
        <w:pStyle w:val="AcademicBody"/>
        <w:spacing w:line="360" w:lineRule="auto"/>
        <w:jc w:val="both"/>
      </w:pPr>
      <w:r>
        <w:rPr>
          <w:rFonts w:ascii="Times New Roman" w:hAnsi="Times New Roman"/>
          <w:sz w:val="24"/>
        </w:rPr>
        <w:t>Hybrid Cloud combines public and private clouds, allowing data and applications to be shared between them. This balanced approach places critical workloads on private cloud while leveraging public cloud for variable workloads. Optimized costs use public cloud economics while maintaining necessary control. Flexibility allows choosing the best environment for each workload, with gradual migration enabling phased transitions from onpremises to cloud.</w:t>
      </w:r>
    </w:p>
    <w:p>
      <w:pPr>
        <w:pStyle w:val="Heading2"/>
      </w:pPr>
      <w:r>
        <w:rPr>
          <w:rFonts w:ascii="Times New Roman" w:hAnsi="Times New Roman"/>
          <w:b/>
          <w:color w:val="000000"/>
          <w:sz w:val="24"/>
        </w:rPr>
        <w:t>Production Infrastructure Components</w:t>
      </w:r>
    </w:p>
    <w:p>
      <w:pPr>
        <w:pStyle w:val="AcademicBody"/>
        <w:spacing w:line="360" w:lineRule="auto"/>
        <w:jc w:val="both"/>
      </w:pPr>
      <w:r>
        <w:rPr>
          <w:rFonts w:ascii="Times New Roman" w:hAnsi="Times New Roman"/>
          <w:sz w:val="24"/>
        </w:rPr>
        <w:t>Modern cloud data centers represent massive infrastructure investments with strategic geographic distribution. As of 2025, AWS operates 38 geographic regions with 120 availability zones, Azure maintains the largest data center network after AWS, and Google Cloud focuses on high-performance computing and analytics workloads.</w:t>
      </w:r>
    </w:p>
    <w:p>
      <w:pPr>
        <w:pStyle w:val="AcademicBody"/>
        <w:spacing w:line="360" w:lineRule="auto"/>
        <w:jc w:val="both"/>
      </w:pPr>
      <w:r>
        <w:rPr>
          <w:rFonts w:ascii="Times New Roman" w:hAnsi="Times New Roman"/>
          <w:sz w:val="24"/>
        </w:rPr>
        <w:t>Each region contains multiple availability zones, isolated locations providing redundancy and fault tolerance.</w:t>
      </w:r>
    </w:p>
    <w:p>
      <w:pPr>
        <w:pStyle w:val="AcademicBody"/>
        <w:spacing w:line="360" w:lineRule="auto"/>
        <w:jc w:val="both"/>
      </w:pPr>
      <w:r>
        <w:rPr>
          <w:rFonts w:ascii="Times New Roman" w:hAnsi="Times New Roman"/>
          <w:sz w:val="24"/>
        </w:rPr>
        <w:t>Edge locations distributed worldwide enable content delivery with low latency.</w:t>
      </w:r>
    </w:p>
    <w:p>
      <w:pPr>
        <w:pStyle w:val="AcademicBody"/>
        <w:spacing w:line="360" w:lineRule="auto"/>
        <w:jc w:val="both"/>
      </w:pPr>
      <w:r>
        <w:rPr>
          <w:rFonts w:ascii="Times New Roman" w:hAnsi="Times New Roman"/>
          <w:sz w:val="24"/>
        </w:rPr>
        <w:t>Computing Resources include thousands of physical servers per data center, with virtualization technology running multiple virtual machines per physical server. Containers provide lightweight, portable application packages, while serverless computing offers event-driven compute without server management. The trend toward containerization and serverless reflects ongoing optimization of resource utilization and cost efficiency.</w:t>
      </w:r>
    </w:p>
    <w:p>
      <w:pPr>
        <w:pStyle w:val="AcademicBody"/>
        <w:spacing w:line="360" w:lineRule="auto"/>
        <w:jc w:val="both"/>
      </w:pPr>
      <w:r>
        <w:rPr>
          <w:rFonts w:ascii="Times New Roman" w:hAnsi="Times New Roman"/>
          <w:sz w:val="24"/>
        </w:rPr>
        <w:t>Storage Systems span multiple tiers optimized for different use cases. Object storage (AWS S3, Azure Blob Storage) provides scalable storage for unstructured data. Block storage delivers high-performance storage for databases and applications. File storage offers shared file systems for multiple compute instances. Archive storage provides low-cost storage for infrequently accessed data, with lifecycle policies automatically moving data between tiers based on access patterns.</w:t>
      </w:r>
    </w:p>
    <w:p>
      <w:pPr>
        <w:pStyle w:val="AcademicBody"/>
        <w:spacing w:line="360" w:lineRule="auto"/>
        <w:jc w:val="both"/>
      </w:pPr>
      <w:r>
        <w:rPr>
          <w:rFonts w:ascii="Times New Roman" w:hAnsi="Times New Roman"/>
          <w:sz w:val="24"/>
        </w:rPr>
        <w:t>Network Infrastructure comprises high-speed fiber optic networks connecting data centers, content delivery networks (CDN) for distributed caching and faster content delivery, load balancers distributing traffic across multiple servers, and VPN and Direct Connect services providing secure connections to customer networks. Network infrastructure represents a significant capital investment that achieves economies of scale through massive aggregate bandwidth utilization.</w:t>
      </w:r>
    </w:p>
    <w:p>
      <w:pPr>
        <w:pStyle w:val="Heading2"/>
      </w:pPr>
      <w:r>
        <w:rPr>
          <w:rFonts w:ascii="Times New Roman" w:hAnsi="Times New Roman"/>
          <w:b/>
          <w:color w:val="000000"/>
          <w:sz w:val="24"/>
        </w:rPr>
        <w:t>Mechanisms of Achieving Economies of Scale</w:t>
      </w:r>
    </w:p>
    <w:p>
      <w:pPr>
        <w:pStyle w:val="AcademicBody"/>
        <w:spacing w:line="360" w:lineRule="auto"/>
        <w:jc w:val="both"/>
      </w:pPr>
      <w:r>
        <w:rPr>
          <w:rFonts w:ascii="Times New Roman" w:hAnsi="Times New Roman"/>
          <w:sz w:val="24"/>
        </w:rPr>
        <w:t>Resource Consolidation and Multi-Tenancy</w:t>
      </w:r>
    </w:p>
    <w:p>
      <w:pPr>
        <w:pStyle w:val="AcademicBody"/>
        <w:spacing w:line="360" w:lineRule="auto"/>
        <w:jc w:val="both"/>
      </w:pPr>
      <w:r>
        <w:rPr>
          <w:rFonts w:ascii="Times New Roman" w:hAnsi="Times New Roman"/>
          <w:sz w:val="24"/>
        </w:rPr>
        <w:t>Multi-tenancy is the fundamental mechanism enabling cloud economies of scale. Multiple customers' workloads run on the same physical hardware with logical isolation through virtual machines or containers providing security separation between tenants. Resource pooling dynamically allocates CPU, memory, and storage based on real-time demand. This maximizes infrastructure utilization, with cloud providers operating at 70-90% average utilization compared to 10-20% in traditional data centers. The efficiency gain is dramatic, the same physical infrastructure serving ten customers at 80% utilization delivers eight times the useful work of dedicated infrastructure serving one customer at 10% utilization.</w:t>
      </w:r>
    </w:p>
    <w:p>
      <w:pPr>
        <w:pStyle w:val="Heading2"/>
      </w:pPr>
      <w:r>
        <w:rPr>
          <w:rFonts w:ascii="Times New Roman" w:hAnsi="Times New Roman"/>
          <w:b/>
          <w:color w:val="000000"/>
          <w:sz w:val="24"/>
        </w:rPr>
        <w:t>Automation and Operational Efficiency</w:t>
      </w:r>
    </w:p>
    <w:p>
      <w:pPr>
        <w:pStyle w:val="AcademicBody"/>
        <w:spacing w:line="360" w:lineRule="auto"/>
        <w:jc w:val="both"/>
      </w:pPr>
      <w:r>
        <w:rPr>
          <w:rFonts w:ascii="Times New Roman" w:hAnsi="Times New Roman"/>
          <w:sz w:val="24"/>
        </w:rPr>
        <w:t>Cloud providers invest heavily in automation to manage infrastructure at massive scale, with development costs amortized across millions of customers. Automated provisioning deploys resources in minutes without human intervention, including server deployment and configuration, network setup and security group configuration, storage allocation and backup scheduling, and load balancer configuration. Self-healing systems automatically detect and recover from failures through automatic restart of failed instances, traffic rerouting around failed components, data replication and recovery, and predictive maintenance to prevent failures. Orchestration coordinates complex workflows across multiple services, including container orchestration with Kubernetes, serverless function coordination, multi-step deployment pipelines, and resource lifecycle management. A single automation system serving one million customers costs far less per customer than individual automation systems serving 1,000 customers each.</w:t>
      </w:r>
    </w:p>
    <w:p>
      <w:pPr>
        <w:pStyle w:val="Heading2"/>
      </w:pPr>
      <w:r>
        <w:rPr>
          <w:rFonts w:ascii="Times New Roman" w:hAnsi="Times New Roman"/>
          <w:b/>
          <w:color w:val="000000"/>
          <w:sz w:val="24"/>
        </w:rPr>
        <w:t>Bulk Purchasing and Supplier Relationships</w:t>
      </w:r>
    </w:p>
    <w:p>
      <w:pPr>
        <w:pStyle w:val="AcademicBody"/>
        <w:spacing w:line="360" w:lineRule="auto"/>
        <w:jc w:val="both"/>
      </w:pPr>
      <w:r>
        <w:rPr>
          <w:rFonts w:ascii="Times New Roman" w:hAnsi="Times New Roman"/>
          <w:sz w:val="24"/>
        </w:rPr>
        <w:t>Large cloud providers leverage purchasing power dramatically. Hardware procurement establishes direct relationships with chip manufacturers (Intel, AMD, ARM), custom server designs optimized for specific workloads, volume discounts on networking equipment, and proprietary hardware development like Google TPUs and AWS Graviton processors. Energy contracts secure long-term power purchase agreements at favorable rates, investment in renewable energy facilities, negotiated rates based on massive consumption levels, and strategic data center placement in low-cost energy regions. Supplier negotiations achieve favorable terms with software vendors, reduced licensing costs through volume agreements, priority access to new technologies, and custom development partnerships. Major providers negotiate prices 30-50% below individual enterprise rates, savings impossible to replicate at smaller scale.</w:t>
      </w:r>
    </w:p>
    <w:p>
      <w:pPr>
        <w:pStyle w:val="Heading2"/>
      </w:pPr>
      <w:r>
        <w:rPr>
          <w:rFonts w:ascii="Times New Roman" w:hAnsi="Times New Roman"/>
          <w:b/>
          <w:color w:val="000000"/>
          <w:sz w:val="24"/>
        </w:rPr>
        <w:t>Power and Cooling Optimization</w:t>
      </w:r>
    </w:p>
    <w:p>
      <w:pPr>
        <w:pStyle w:val="AcademicBody"/>
        <w:spacing w:line="360" w:lineRule="auto"/>
        <w:jc w:val="both"/>
      </w:pPr>
      <w:r>
        <w:rPr>
          <w:rFonts w:ascii="Times New Roman" w:hAnsi="Times New Roman"/>
          <w:sz w:val="24"/>
        </w:rPr>
        <w:t>Energy costs represent 30-40% of data center operating expenses, making power and cooling critical to economies of scale. Site selection prioritizes locations with low electricity costs, access to renewable energy sources, favorable climate conditions for natural cooling, and proximity to fiber optic network connections. Engineering innovation employs advanced cooling technologies including liquid cooling and free air cooling, power usage effectiveness (PUE) optimization targeting ratios approaching 1.1 (industry average is 1.6), waste heat recovery systems, and energy-efficient server designs. Demand aggregation achieves centralized power distribution serving thousands of servers at higher efficiency, shared cooling infrastructure, and optimized power supply units. Data center power costs can be 30-50% lower per computing unit when operating at cloud scale compared to small data centers.</w:t>
      </w:r>
    </w:p>
    <w:p>
      <w:pPr>
        <w:pStyle w:val="Heading2"/>
      </w:pPr>
      <w:r>
        <w:rPr>
          <w:rFonts w:ascii="Times New Roman" w:hAnsi="Times New Roman"/>
          <w:b/>
          <w:color w:val="000000"/>
          <w:sz w:val="24"/>
        </w:rPr>
        <w:t>Network Economics and Specialized Talent</w:t>
      </w:r>
    </w:p>
    <w:p>
      <w:pPr>
        <w:pStyle w:val="AcademicBody"/>
        <w:spacing w:line="360" w:lineRule="auto"/>
        <w:jc w:val="both"/>
      </w:pPr>
      <w:r>
        <w:rPr>
          <w:rFonts w:ascii="Times New Roman" w:hAnsi="Times New Roman"/>
          <w:sz w:val="24"/>
        </w:rPr>
        <w:t>Network infrastructure benefits significantly from scale through private fiber optic networks connecting data centers, higher capacity connections at lower per- unit costs, reduced dependence on third-party network providers, and better performance and reliability. Traffic aggregation enables consolidated internet connections with better peering agreements, volume discounts from network providers, optimized routing across multiple paths, and reduced per- GB data transfer costs. Global presence provides edge locations worldwide for content delivery, reduced latency through geographic distribution, and local internet peering in major markets.</w:t>
      </w:r>
    </w:p>
    <w:p>
      <w:pPr>
        <w:pStyle w:val="AcademicBody"/>
        <w:spacing w:line="360" w:lineRule="auto"/>
        <w:jc w:val="both"/>
      </w:pPr>
      <w:r>
        <w:rPr>
          <w:rFonts w:ascii="Times New Roman" w:hAnsi="Times New Roman"/>
          <w:sz w:val="24"/>
        </w:rPr>
        <w:t>Specialized talent becomes affordable at scale. Large providers maintain deep specialization with security experts focused solely on cloud security, network engineers optimizing global infrastructure, storage specialists managing petabytes of data, and AI/ML researchers developing new capabilities. Knowledge development occurs through internal training programs, research and development teams, contributions to open-source projects, and patent development. The cost of maintaining these specialized teams spreads across entire customer bases, making expertise affordable that individual organizations couldn't maintain.</w:t>
      </w:r>
    </w:p>
    <w:p>
      <w:pPr>
        <w:pStyle w:val="Heading2"/>
      </w:pPr>
      <w:r>
        <w:rPr>
          <w:rFonts w:ascii="Times New Roman" w:hAnsi="Times New Roman"/>
          <w:b/>
          <w:color w:val="000000"/>
          <w:sz w:val="24"/>
        </w:rPr>
        <w:t>Economic Benefits and Cost Advantages</w:t>
      </w:r>
    </w:p>
    <w:p>
      <w:pPr>
        <w:pStyle w:val="Heading2"/>
      </w:pPr>
      <w:r>
        <w:rPr>
          <w:rFonts w:ascii="Times New Roman" w:hAnsi="Times New Roman"/>
          <w:b/>
          <w:color w:val="000000"/>
          <w:sz w:val="24"/>
        </w:rPr>
        <w:t>Benefits for Cloud Providers</w:t>
      </w:r>
    </w:p>
    <w:p>
      <w:pPr>
        <w:spacing w:line="360" w:lineRule="auto"/>
        <w:ind w:left="0" w:firstLine="0"/>
      </w:pPr>
      <w:r>
        <w:rPr>
          <w:rFonts w:ascii="Times New Roman" w:hAnsi="Times New Roman"/>
          <w:sz w:val="24"/>
        </w:rPr>
        <w:t>The cloud computing market demonstrates tremendous growth potential with global market size reaching $912.77 billion in 2025, projected to surpass $1 trillion by 2028. End-user spending on public cloud services reached $723.4 billion in 2025, representing 21.5% growth from 2024. Market share distribution in Q3 2025 shows AWS with 29% market share, Microsoft Azure with 23%, and Google Cloud demonstrating fastest growth at 54% year-over-year.</w:t>
      </w:r>
    </w:p>
    <w:p>
      <w:pPr>
        <w:pStyle w:val="AcademicBody"/>
        <w:spacing w:line="360" w:lineRule="auto"/>
        <w:jc w:val="both"/>
      </w:pPr>
      <w:r>
        <w:rPr>
          <w:rFonts w:ascii="Times New Roman" w:hAnsi="Times New Roman"/>
          <w:sz w:val="24"/>
        </w:rPr>
        <w:t>As cloud providers scale, operating margins improve substantially through fixed cost amortization spreading infrastructure investments across more customers, operational efficiency where automation reduces percustomer support costs, competitive moats where scale creates barriers to entry for new competitors, and pricing power enabling premium pricing for specialized services. These advantages enable substantial R&amp;D investment in proprietary hardware development, advanced AI and machine learning capabilities, new service offerings, and global infrastructure expansion, investments that further reinforce scale advantages.</w:t>
      </w:r>
    </w:p>
    <w:p>
      <w:pPr>
        <w:pStyle w:val="Heading2"/>
      </w:pPr>
      <w:r>
        <w:rPr>
          <w:rFonts w:ascii="Times New Roman" w:hAnsi="Times New Roman"/>
          <w:b/>
          <w:color w:val="000000"/>
          <w:sz w:val="24"/>
        </w:rPr>
        <w:t>Benefits for Cloud Customers</w:t>
      </w:r>
    </w:p>
    <w:p>
      <w:pPr>
        <w:pStyle w:val="AcademicBody"/>
        <w:spacing w:line="360" w:lineRule="auto"/>
        <w:jc w:val="both"/>
      </w:pPr>
      <w:r>
        <w:rPr>
          <w:rFonts w:ascii="Times New Roman" w:hAnsi="Times New Roman"/>
          <w:sz w:val="24"/>
        </w:rPr>
        <w:t>Organizations leveraging cloud computing realize significant cost reductions across multiple dimensions. Capital expenditure elimination removes upfront investment in hardware or data centers, facility construction or upgrades, reduced real estate requirements, and lower insurance and security costs. Operational expense reduction includes paying only for resources actually consumed, eliminating over- provisioning for peak capacity, reduced staffing requirements, and lower energy costs. Studies consistently show 20-30% reduction in total IT costs through cloud adoption, with small and medium-sized businesses allocating over 50% of technology budgets to cloud services in 2025.</w:t>
      </w:r>
    </w:p>
    <w:p>
      <w:pPr>
        <w:pStyle w:val="AcademicBody"/>
        <w:spacing w:line="360" w:lineRule="auto"/>
        <w:jc w:val="both"/>
      </w:pPr>
      <w:r>
        <w:rPr>
          <w:rFonts w:ascii="Times New Roman" w:hAnsi="Times New Roman"/>
          <w:sz w:val="24"/>
        </w:rPr>
        <w:t>Financial flexibility transforms IT spending from capital to operational expense through pay-as-you-go models converting fixed costs to variable costs, transparent pricing with usage-based billing, no long-term commitments required, and improved cash flow management. Multiple pricing options exist: on-demand pricing for maximum flexibility, reserved instances with up to 72% discount for 1-3 year commitments, spot instances with up to 90% discount for interruptible workloads, and savings plans for consistent usage patterns. This flexibility enables budget predictability through transparent pricing models, cost management tools and alerts, usage forecasting capabilities, and resource optimization recommendations.</w:t>
      </w:r>
    </w:p>
    <w:p>
      <w:pPr>
        <w:pStyle w:val="AcademicBody"/>
        <w:spacing w:line="360" w:lineRule="auto"/>
        <w:jc w:val="both"/>
      </w:pPr>
      <w:r>
        <w:rPr>
          <w:rFonts w:ascii="Times New Roman" w:hAnsi="Times New Roman"/>
          <w:sz w:val="24"/>
        </w:rPr>
        <w:t>Scalability and elasticity provide unprecedented business agility. Rapid scaling supports expansion during peak demand periods and contraction during low-utilization periods, with organizations paying only for capacity actually needed while avoiding over- provisioning for rare peak events. Global expansion becomes accessible, deploying applications in multiple regions without capital investment, reaching new markets quickly, improving user experience through geographic proximity, and complying with data residency requirements. Business agility manifests in faster new product launches, testing ideas with minimal risk, quick response to market opportunities, and support for seasonal business variations.</w:t>
      </w:r>
    </w:p>
    <w:p>
      <w:pPr>
        <w:pStyle w:val="AcademicBody"/>
        <w:spacing w:line="360" w:lineRule="auto"/>
        <w:jc w:val="both"/>
      </w:pPr>
      <w:r>
        <w:rPr>
          <w:rFonts w:ascii="Times New Roman" w:hAnsi="Times New Roman"/>
          <w:sz w:val="24"/>
        </w:rPr>
        <w:t>Access to advanced technologies represents a crucial benefit, with economies of scale enabling providers to offer sophisticated capabilities to all customers. Artificial intelligence and machine learning services include pre-trained AI models, GPU and specialized AI hardware (TPUs), AutoML capabilities, and natural language processing and computer vision tools. Big data and analytics offerings provide distributed data processing frameworks, data warehousing at petabyte scale, real-time analytics capabilities, and business intelligence tools.</w:t>
      </w:r>
    </w:p>
    <w:p>
      <w:pPr>
        <w:pStyle w:val="AcademicBody"/>
        <w:spacing w:line="360" w:lineRule="auto"/>
        <w:jc w:val="both"/>
      </w:pPr>
      <w:r>
        <w:rPr>
          <w:rFonts w:ascii="Times New Roman" w:hAnsi="Times New Roman"/>
          <w:sz w:val="24"/>
        </w:rPr>
        <w:t>Emerging technologies become accessible including blockchain services, quantum computing (AWS Braket), IoT platforms, and edge computing capabilities. Small organizations gain access to technologies previously available only to large enterprises with substantial budgets.</w:t>
      </w:r>
    </w:p>
    <w:p>
      <w:pPr>
        <w:pStyle w:val="Heading2"/>
      </w:pPr>
      <w:r>
        <w:rPr>
          <w:rFonts w:ascii="Times New Roman" w:hAnsi="Times New Roman"/>
          <w:b/>
          <w:color w:val="000000"/>
          <w:sz w:val="24"/>
        </w:rPr>
        <w:t>Quantifiable Impact</w:t>
      </w:r>
    </w:p>
    <w:p>
      <w:pPr>
        <w:pStyle w:val="AcademicBody"/>
        <w:spacing w:line="360" w:lineRule="auto"/>
        <w:jc w:val="both"/>
      </w:pPr>
      <w:r>
        <w:rPr>
          <w:rFonts w:ascii="Times New Roman" w:hAnsi="Times New Roman"/>
          <w:sz w:val="24"/>
        </w:rPr>
        <w:t>Real-world savings from cloud adoption demonstrate substantial benefits: development environments achieve</w:t>
      </w:r>
    </w:p>
    <w:p>
      <w:pPr>
        <w:pStyle w:val="AcademicBody"/>
        <w:spacing w:line="360" w:lineRule="auto"/>
        <w:jc w:val="both"/>
      </w:pPr>
      <w:r>
        <w:rPr>
          <w:rFonts w:ascii="Times New Roman" w:hAnsi="Times New Roman"/>
          <w:sz w:val="24"/>
        </w:rPr>
        <w:t>60-66% cost reduction by shutting down non-production environments outside work hours; organizations like Dropbox reduced costs by 30% through instance right-sizing; e-commerce case studies show 35% AWS bill reduction through scheduled shutdowns and workload consolidation; and overall waste reduction of 20-30% is achievable through effective optimization. Performance improvements include faster deployment with applications deployed in minutes versus weeks or months, higher availability with 99.95%+ uptime SLAs standard, better user experience through global CDN reducing latency, and disaster recovery through automated backups and geo-redundancy. Strategic business impacts manifest in 50-60% faster time to market for product launches, more frequent feature releases, competitive parity with larger competitors, and IT staff reallocation from infrastructure maintenance to strategic initiatives.</w:t>
      </w:r>
    </w:p>
    <w:p>
      <w:pPr>
        <w:ind w:left="360" w:hanging="360"/>
      </w:pPr>
      <w:r>
        <w:rPr>
          <w:rFonts w:ascii="Times New Roman" w:hAnsi="Times New Roman"/>
          <w:sz w:val="24"/>
        </w:rPr>
        <w:t>Major Cloud Providers: Comparative Analysis</w:t>
      </w:r>
    </w:p>
    <w:p>
      <w:pPr>
        <w:pStyle w:val="Heading2"/>
      </w:pPr>
      <w:r>
        <w:rPr>
          <w:rFonts w:ascii="Times New Roman" w:hAnsi="Times New Roman"/>
          <w:b/>
          <w:color w:val="000000"/>
          <w:sz w:val="24"/>
        </w:rPr>
        <w:t>Market Position and Scale</w:t>
      </w:r>
    </w:p>
    <w:p>
      <w:r>
        <w:rPr>
          <w:rFonts w:ascii="Times New Roman" w:hAnsi="Times New Roman"/>
          <w:sz w:val="24"/>
        </w:rPr>
        <w:t>The cloud market is dominated by three major providers with distinct positioning strategies. Amazon Web Services (AWS), launched in 2006, pioneered cloud computing and maintains market leadership with 29% market share in Q3 2025. AWS offers over 200 fully featured services across 38 regions with 120 availability zones and 600+ edge locations, representing the broadest and most mature cloud platform. Microsoft Azure, launched in 2010, holds 23% market share with over 95% of Fortune 500 companies as customers. Azure operates the second-largest data center network globally with deep integration into Microsoft's software ecosystem. Google Cloud Platform (GCP), launched in 2011 , maintains smaller market share but demonstrates fastest growth at 54% year-over-year, leveraging the same infrastructure powering Google Search and YouTube with strengths in data analytics, AI/ML, and open-source technologies.</w:t>
      </w:r>
    </w:p>
    <w:p>
      <w:pPr>
        <w:pStyle w:val="Heading2"/>
      </w:pPr>
      <w:r>
        <w:rPr>
          <w:rFonts w:ascii="Times New Roman" w:hAnsi="Times New Roman"/>
          <w:b/>
          <w:color w:val="000000"/>
          <w:sz w:val="24"/>
        </w:rPr>
        <w:t>Comparative Economies of Scale Strategies</w:t>
      </w:r>
    </w:p>
    <w:p>
      <w:pPr>
        <w:pStyle w:val="AcademicBody"/>
        <w:spacing w:line="360" w:lineRule="auto"/>
        <w:jc w:val="both"/>
      </w:pPr>
      <w:r>
        <w:rPr>
          <w:rFonts w:ascii="Times New Roman" w:hAnsi="Times New Roman"/>
          <w:sz w:val="24"/>
        </w:rPr>
        <w:t>AWS achieves economies of scale through comprehensive vertical integration including custom server designs (Nitro system), proprietary processors (Graviton series offering up to 40% better price-performance), in-house networking equipment, and custom storage solutions. Service diversity attracts a broad customer base with cross-service synergies creating platform lock-in effects. Pricing innovation includes Reserved Instances with up to 72% discount, Savings Plans for flexible commitments, Spot Instances leveraging excess capacity, and a free tier for new customers. Operational excellence manifests through highly automated infrastructure management, machine learning-powered optimization tools, and continuous cost optimization recommendations. The mature ecosystem includes the largest third-party integration marketplace, comprehensive enterprise compliance certifications, consistent innovation with new service releases, and extensive SDKs, APIs, and development environments.</w:t>
      </w:r>
    </w:p>
    <w:p>
      <w:pPr>
        <w:pStyle w:val="AcademicBody"/>
        <w:spacing w:line="360" w:lineRule="auto"/>
        <w:jc w:val="both"/>
      </w:pPr>
      <w:r>
        <w:rPr>
          <w:rFonts w:ascii="Times New Roman" w:hAnsi="Times New Roman"/>
          <w:sz w:val="24"/>
        </w:rPr>
        <w:t>Microsoft Azure leverages ecosystem advantages through bundling with Microsoft 365, Dynamics 365, and Power Platform, Azure Hybrid Benefit reducing costs for existing Microsoft licensees, familiar tools and interfaces for Windows-based organizations, and Active Directory integration. Hybrid cloud focus provides competitive advantage through Azure Arc for unified multi-cloud management, on-premises and cloud resource management, gradual migration paths for enterprises, and advantages in regulated industries. AI and productivity integration includes Microsoft Copilot for Azure Costs (AI-powered cost analysis), Power BI integration, Azure Machine Learning Studio, and OpenAI partnership services. Pricing competitiveness often delivers lowest on-demand pricing among major providers, with reserved capacity options, spot instance pricing, and free inbound traffic. Azure excels in enterprise-ready governance and compliance tools, best-inclass hybrid cloud solutions, Visual Studio integration and Azure DevOps, and extensive global data center presence.</w:t>
      </w:r>
    </w:p>
    <w:p>
      <w:pPr>
        <w:pStyle w:val="AcademicBody"/>
        <w:spacing w:line="360" w:lineRule="auto"/>
        <w:jc w:val="both"/>
      </w:pPr>
      <w:r>
        <w:rPr>
          <w:rFonts w:ascii="Times New Roman" w:hAnsi="Times New Roman"/>
          <w:sz w:val="24"/>
        </w:rPr>
        <w:t>Google Cloud Platform pursues technology leadership through Tensor Processing Units (TPUs) for AI workloads, Kubernetes (GKE) leadership, BigQuery for data warehousing, and advanced AI and machine learning tools. Transparent pricing includes sustained use discounts up to 30% applied automatically, committed use contracts with up to 57% discount, per-second billing for all VM instances, and no separate charges for network ingress. Operational efficiency leverages Google's expertise managing massive-scale infrastructure, advanced automation and orchestration, cutting-edge data center efficiency, and focus on sustainability and renewable energy. Data and analytics focus delivers best-in-class big data processing, real-time analytics capabilities, machine learning integration across services, and open-source technology support. GCP leads in innovation with cutting-edge AI and data science tools, high-performance computing and networking, strong open-source support, and industry leadership in renewable energy and carbon neutrality.</w:t>
      </w:r>
    </w:p>
    <w:p>
      <w:pPr>
        <w:pStyle w:val="Heading2"/>
      </w:pPr>
      <w:r>
        <w:rPr>
          <w:rFonts w:ascii="Times New Roman" w:hAnsi="Times New Roman"/>
          <w:b/>
          <w:color w:val="000000"/>
          <w:sz w:val="24"/>
        </w:rPr>
        <w:t>Service Breadth and Pricing Comparison</w:t>
      </w:r>
    </w:p>
    <w:p>
      <w:pPr>
        <w:pStyle w:val="AcademicBody"/>
        <w:spacing w:line="360" w:lineRule="auto"/>
        <w:jc w:val="both"/>
      </w:pPr>
      <w:r>
        <w:rPr>
          <w:rFonts w:ascii="Times New Roman" w:hAnsi="Times New Roman"/>
          <w:sz w:val="24"/>
        </w:rPr>
        <w:t>Service breadth varies significantly: AWS offers the most comprehensive portfolio with 200+ services covering virtually every use case; Azure provides broad coverage with strong Microsoft ecosystem integration; and GCP focuses on AI, data analytics, and modern cloud-native application development. All three employ similar pricing structures but differ in details: pay-as-you-go on-demand pricing, committed use discounts for 1-3 year terms, spot/preemptible instances for interruptible workloads, and free tiers for new customers. Cost comparison reveals Azure often provides lowest on-demand pricing particularly for Windows workloads, GCP offers competitive pricing for data-intensive and AI workloads with automatic sustained use discounts, and AWS provides the most flexible pricing with the most options across service categories.</w:t>
      </w:r>
    </w:p>
    <w:p>
      <w:pPr>
        <w:pStyle w:val="Heading2"/>
      </w:pPr>
      <w:r>
        <w:rPr>
          <w:rFonts w:ascii="Times New Roman" w:hAnsi="Times New Roman"/>
          <w:b/>
          <w:color w:val="000000"/>
          <w:sz w:val="24"/>
        </w:rPr>
        <w:t>Strategic Positioning</w:t>
      </w:r>
    </w:p>
    <w:p>
      <w:pPr>
        <w:pStyle w:val="AcademicBody"/>
        <w:spacing w:line="360" w:lineRule="auto"/>
        <w:jc w:val="both"/>
      </w:pPr>
      <w:r>
        <w:rPr>
          <w:rFonts w:ascii="Times New Roman" w:hAnsi="Times New Roman"/>
          <w:sz w:val="24"/>
        </w:rPr>
        <w:t>AWS positions as the market leader offering comprehensive services, enterprise-ready solutions, and the most mature platform with extensive third-party ecosystem. Azure targets Microsoft ecosystem customers, hybrid cloud scenarios, and enterprise organizations requiring strong governance and compliance. GCP focuses on AI/ML leadership, data analytics excellence, and modern cloud-native applications with open-source technology emphasis. Organizations often adopt multi-cloud strategies, selecting each provider for specific strengths: AWS for breadth and maturity, Azure for Microsoft integration and hybrid scenarios, and GCP for AI, analytics, and containerized workloads.</w:t>
      </w:r>
    </w:p>
    <w:p>
      <w:pPr>
        <w:pStyle w:val="Heading2"/>
      </w:pPr>
      <w:r>
        <w:rPr>
          <w:rFonts w:ascii="Times New Roman" w:hAnsi="Times New Roman"/>
          <w:b/>
          <w:color w:val="000000"/>
          <w:sz w:val="24"/>
        </w:rPr>
        <w:t>Challenges and Considerations</w:t>
      </w:r>
    </w:p>
    <w:p>
      <w:pPr>
        <w:pStyle w:val="Heading2"/>
      </w:pPr>
      <w:r>
        <w:rPr>
          <w:rFonts w:ascii="Times New Roman" w:hAnsi="Times New Roman"/>
          <w:b/>
          <w:color w:val="000000"/>
          <w:sz w:val="24"/>
        </w:rPr>
        <w:t>Cost Visibility and Complexity</w:t>
      </w:r>
    </w:p>
    <w:p>
      <w:pPr>
        <w:pStyle w:val="AcademicBody"/>
        <w:spacing w:line="360" w:lineRule="auto"/>
        <w:jc w:val="both"/>
      </w:pPr>
      <w:r>
        <w:rPr>
          <w:rFonts w:ascii="Times New Roman" w:hAnsi="Times New Roman"/>
          <w:sz w:val="24"/>
        </w:rPr>
        <w:t>Cloud billing presents significant challenges due to data volume and complexity. Monthly bills can comprise millions of rows with per-second or per-minute billing granularity across hundreds of different service types with multiple pricing dimensions per service. Research indicates 20% of organizations have limited understanding of cloud costs by department, while 33% of cloud budgets are wasted due to cost invisibility. Difficulty attributing shared resource costs and complex pricing models across services compound these challenges. Solutions require implementing comprehensive tagging strategies using consistent, organizationwide tags for cost allocation; deploying cost allocation and showback/chargeback mechanisms to attribute costs to specific teams, projects, or customers; utilizing third-party cost management tools providing enhanced visibility and analytics; and conducting regular cost reviews with anomaly detection to identify unexpected spending patterns.</w:t>
      </w:r>
    </w:p>
    <w:p>
      <w:pPr>
        <w:pStyle w:val="AcademicBody"/>
        <w:spacing w:line="360" w:lineRule="auto"/>
        <w:jc w:val="both"/>
      </w:pPr>
      <w:r>
        <w:rPr>
          <w:rFonts w:ascii="Times New Roman" w:hAnsi="Times New Roman"/>
          <w:sz w:val="24"/>
        </w:rPr>
        <w:t>Cost forecasting presents additional complexity due to variable workload patterns, new service adoption, changing pricing models, and unpredictable business growth rates. Best practices include analyzing historical usage trends to identify patterns, modeling different growth scenarios for capacity planning, using provider forecasting tools leveraging historical data, and building buffers for unexpected growth or new initiatives.</w:t>
      </w:r>
    </w:p>
    <w:p>
      <w:pPr>
        <w:pStyle w:val="AcademicBody"/>
        <w:spacing w:line="360" w:lineRule="auto"/>
        <w:jc w:val="both"/>
      </w:pPr>
      <w:r>
        <w:rPr>
          <w:rFonts w:ascii="Times New Roman" w:hAnsi="Times New Roman"/>
          <w:sz w:val="24"/>
        </w:rPr>
        <w:t>Over-Provisioning and Waste</w:t>
      </w:r>
    </w:p>
    <w:p>
      <w:pPr>
        <w:pStyle w:val="AcademicBody"/>
        <w:spacing w:line="360" w:lineRule="auto"/>
        <w:jc w:val="both"/>
      </w:pPr>
      <w:r>
        <w:rPr>
          <w:rFonts w:ascii="Times New Roman" w:hAnsi="Times New Roman"/>
          <w:sz w:val="24"/>
        </w:rPr>
        <w:t>Cloud waste averages 30% of budgets, representing substantial lost savings. Common waste sources include idle resources such as unused instances left running, non-production environments operating 24/7, old test environments forgotten, and zombie resources attached but unused. Over- provisioned resources manifest as instances larger than needed, excessive IOPS provisioned, unused storage capacity, and over- allocated network bandwidth. Unoptimized architecture contributes through inefficient data transfer patterns, lack of caching strategies, synchronous processing where asynchronous would suffice, and monolithic architectures rather than microservices.</w:t>
      </w:r>
    </w:p>
    <w:p>
      <w:pPr>
        <w:pStyle w:val="AcademicBody"/>
        <w:spacing w:line="360" w:lineRule="auto"/>
        <w:jc w:val="both"/>
      </w:pPr>
      <w:r>
        <w:rPr>
          <w:rFonts w:ascii="Times New Roman" w:hAnsi="Times New Roman"/>
          <w:sz w:val="24"/>
        </w:rPr>
        <w:t>Mitigation requires prevention through automated resource tagging, expiration dates for temporary resources, regular cleanup schedules, and cost anomaly alerts. Detection mechanisms include resource utilization monitoring, idle resource identification, right-sizing recommendations, and regular audits and reviews. Remediation involves automated shutdown policies, resource cleanup automation, right-sizing implementation, and architecture optimization. Organizations achieving mature optimization practices consistently reduce waste from 30% to under 10% of cloud spending.</w:t>
      </w:r>
    </w:p>
    <w:p>
      <w:pPr>
        <w:pStyle w:val="AcademicBody"/>
        <w:spacing w:line="360" w:lineRule="auto"/>
        <w:jc w:val="both"/>
      </w:pPr>
      <w:r>
        <w:rPr>
          <w:rFonts w:ascii="Times New Roman" w:hAnsi="Times New Roman"/>
          <w:sz w:val="24"/>
        </w:rPr>
        <w:t>Vendor Lock-In and Security</w:t>
      </w:r>
    </w:p>
    <w:p>
      <w:pPr>
        <w:pStyle w:val="AcademicBody"/>
        <w:spacing w:line="360" w:lineRule="auto"/>
        <w:jc w:val="both"/>
      </w:pPr>
      <w:r>
        <w:rPr>
          <w:rFonts w:ascii="Times New Roman" w:hAnsi="Times New Roman"/>
          <w:sz w:val="24"/>
        </w:rPr>
        <w:t>Vendor lock-in concerns arise from multiple mechanisms. Technical lock-in occurs through proprietary APIs and services, custom data formats, specialized tools and interfaces, and deep integration requirements. Economic lock-in manifests in data egress costs, sunk costs in training and development, committed spend agreements, and migration costs. Organizational lock-in includes staff expertise in specific platforms, established processes and workflows, compliance certifications, and partner ecosystem dependencies. Mitigation approaches include using open-source and standard technologies, container- based deployments for portability, multi-cloud capable architecture, and abstraction layers for portability. Practical considerations require balancing portability with service optimization, assessing actual likelihood of switching providers, considering costs of portability versus benefits, and focusing on standards where they exist.</w:t>
      </w:r>
    </w:p>
    <w:p>
      <w:pPr>
        <w:pStyle w:val="AcademicBody"/>
        <w:spacing w:line="360" w:lineRule="auto"/>
        <w:jc w:val="both"/>
      </w:pPr>
      <w:r>
        <w:rPr>
          <w:rFonts w:ascii="Times New Roman" w:hAnsi="Times New Roman"/>
          <w:sz w:val="24"/>
        </w:rPr>
        <w:t>Security and compliance remain top concerns despite cloud maturity. Statistics show nearly universal moderate to extreme concern about cloud security, data breach costs averaging $10.9 million in healthcare, 2024 experiencing 6% increase in breaches exposing 16.8 billion records, and ransomware and phishing remaining top threats. The shared responsibility model defines provider responsibility for infrastructure security while customers remain responsible for data and application security, making clear understanding of boundaries essential and proper configuration critical. Compliance considerations include data residency and sovereignty requirements, industry-specific regulations (HIPAA, PCI-DSS, GDPR), audit and reporting requirements, and encryption and access control mandates. Cost implications include compliance-specific service tiers, data processing restrictions, additional security controls, and audit and certification costs.</w:t>
      </w:r>
    </w:p>
    <w:p>
      <w:pPr>
        <w:pStyle w:val="Heading2"/>
      </w:pPr>
      <w:r>
        <w:rPr>
          <w:rFonts w:ascii="Times New Roman" w:hAnsi="Times New Roman"/>
          <w:b/>
          <w:color w:val="000000"/>
          <w:sz w:val="24"/>
        </w:rPr>
        <w:t>Skills and Organizational Challenges</w:t>
      </w:r>
    </w:p>
    <w:p>
      <w:pPr>
        <w:pStyle w:val="AcademicBody"/>
        <w:spacing w:line="360" w:lineRule="auto"/>
        <w:jc w:val="both"/>
      </w:pPr>
      <w:r>
        <w:rPr>
          <w:rFonts w:ascii="Times New Roman" w:hAnsi="Times New Roman"/>
          <w:sz w:val="24"/>
        </w:rPr>
        <w:t>Cloud optimization requires specialized knowledge spanning cloud architecture and design, service-specific expertise, cost optimization techniques, security and compliance understanding, and automation with infrastructure as code. Solutions include training and certification programs for existing staff, hiring cloud specialists, partnering with managed service providers, and building centers of excellence to develop and share expertise. Organizational change requires cultural transformation shifting from capital to operational mindset, establishing shared cost responsibility, adopting agile and DevOps practices, and building continuous optimization culture. Governance mechanisms must establish policies and procedures, implement approval workflows, create cost allocation and chargeback systems, and conduct regular reviews and optimization cycles.</w:t>
      </w:r>
    </w:p>
    <w:p>
      <w:pPr>
        <w:pStyle w:val="Heading2"/>
      </w:pPr>
      <w:r>
        <w:rPr>
          <w:rFonts w:ascii="Times New Roman" w:hAnsi="Times New Roman"/>
          <w:b/>
          <w:color w:val="000000"/>
          <w:sz w:val="24"/>
        </w:rPr>
        <w:t>Future Trends in Cloud Economics</w:t>
      </w:r>
    </w:p>
    <w:p>
      <w:pPr>
        <w:pStyle w:val="AcademicBody"/>
        <w:spacing w:line="360" w:lineRule="auto"/>
        <w:jc w:val="both"/>
      </w:pPr>
      <w:r>
        <w:rPr>
          <w:rFonts w:ascii="Times New Roman" w:hAnsi="Times New Roman"/>
          <w:sz w:val="24"/>
        </w:rPr>
        <w:t>AI-Driven Cost Optimization</w:t>
      </w:r>
    </w:p>
    <w:p>
      <w:pPr>
        <w:pStyle w:val="AcademicBody"/>
        <w:spacing w:line="360" w:lineRule="auto"/>
        <w:jc w:val="both"/>
      </w:pPr>
      <w:r>
        <w:rPr>
          <w:rFonts w:ascii="Times New Roman" w:hAnsi="Times New Roman"/>
          <w:sz w:val="24"/>
        </w:rPr>
        <w:t>Artificial intelligence and machine learning are transforming cost optimization with current capabilities including predictive cost forecasting, automated anomaly detection, right-sizing recommendations, and pattern recognition in usage data. Tools like AWS Compute Optimizer with ML, Microsoft Copilot for Azure Costs, GCP recommendation engine, and third-party AI-powered platforms deliver results with organizations reporting up to 30% savings through proactive versus reactive optimization, continuous learning and improvement, and reduced manual effort. Future developments will bring autonomous cost optimization with minimal human intervention, predictive workload placement optimizing costs automatically, self-optimizing architectures adjusting configurations in real-time, and natural language cost queries enabling business users to access insights without technical expertise. Generative AI impact creates new challenges with GenAI cost management emerging as priority due to high computational costs of AI training, new pricing models for AI workloads, and specialized hardware optimization requirements for GPUs and TPUs.</w:t>
      </w:r>
    </w:p>
    <w:p>
      <w:pPr>
        <w:pStyle w:val="Heading2"/>
      </w:pPr>
      <w:r>
        <w:rPr>
          <w:rFonts w:ascii="Times New Roman" w:hAnsi="Times New Roman"/>
          <w:b/>
          <w:color w:val="000000"/>
          <w:sz w:val="24"/>
        </w:rPr>
        <w:t>Edge Computing and Distributed Architecture</w:t>
      </w:r>
    </w:p>
    <w:p>
      <w:pPr>
        <w:pStyle w:val="AcademicBody"/>
        <w:spacing w:line="360" w:lineRule="auto"/>
        <w:jc w:val="both"/>
      </w:pPr>
      <w:r>
        <w:rPr>
          <w:rFonts w:ascii="Times New Roman" w:hAnsi="Times New Roman"/>
          <w:sz w:val="24"/>
        </w:rPr>
        <w:t>Edge computing fundamentally changes cost dynamics by providing reduced latency for time-sensitive applications, lower bandwidth costs through local processing, better user experience, and compliance with data residency requirements. Challenges include more distributed infrastructure to manage, smaller scale per location reducing economies of scale benefits, coordination complexity, and limited economies of scale per site. Hybrid approaches balance central cloud for heavy processing with edge for real-time decisions, optimized data flow between layers, and balanced cost-performance trade-offs. IoT and 5G impact drives data center demand growth at 12-15% CAGR through 2030 with total market spending potentially reaching $1 trillion, AI driving unprecedented demand, and 5G enabling new use cases. Economic implications include massive infrastructure investment requirements, achieving new economies of scale at edge, developing innovative pricing models, and integrating cloud and edge seamlessly.</w:t>
      </w:r>
    </w:p>
    <w:p>
      <w:pPr>
        <w:pStyle w:val="Heading2"/>
      </w:pPr>
      <w:r>
        <w:rPr>
          <w:rFonts w:ascii="Times New Roman" w:hAnsi="Times New Roman"/>
          <w:b/>
          <w:color w:val="000000"/>
          <w:sz w:val="24"/>
        </w:rPr>
        <w:t>Sustainability and Emerging Technologies</w:t>
      </w:r>
    </w:p>
    <w:p>
      <w:pPr>
        <w:pStyle w:val="AcademicBody"/>
        <w:spacing w:line="360" w:lineRule="auto"/>
        <w:jc w:val="both"/>
      </w:pPr>
      <w:r>
        <w:rPr>
          <w:rFonts w:ascii="Times New Roman" w:hAnsi="Times New Roman"/>
          <w:sz w:val="24"/>
        </w:rPr>
        <w:t>Sustainability is becoming a critical cost driver with provider initiatives including renewable energy investments, carbon-neutral commitments, energy-efficient hardware development, and sustainable data center design. Customer benefits encompass meeting corporate sustainability goals, achieving regulatory compliance, realizing potential cost savings through efficiency, and positive brand impact. ESG-driven optimization focuses on carbon footprint reduction beyond pure cost, pursuing green cloud certifications, meeting sustainability reporting requirements, and responding to customer preferences for sustainable providers. Economic impact manifests as renewable energy often proving cost-competitive with traditional sources, efficiency improvements simultaneously reducing costs and environmental impact, regulatory incentives supporting green initiatives, and risk mitigation through sustainable practices.</w:t>
      </w:r>
    </w:p>
    <w:p>
      <w:pPr>
        <w:pStyle w:val="AcademicBody"/>
        <w:spacing w:line="360" w:lineRule="auto"/>
        <w:jc w:val="both"/>
      </w:pPr>
      <w:r>
        <w:rPr>
          <w:rFonts w:ascii="Times New Roman" w:hAnsi="Times New Roman"/>
          <w:sz w:val="24"/>
        </w:rPr>
        <w:t>Serverless and event-driven architecture represents ultimate pay-per- use with benefits including no idle capacity costs, automatic scaling, operational simplicity, and business logic focus. Cost characteristics include micro-billing by execution time, paying only for actual compute consumed, eliminating management overhead, and potential for dramatic savings. Considerations involve cold start latency, execution time limits, costs at very high scale, and appropriate use case selection. Growing enterprise adoption, integration with containers, more sophisticated orchestration, and expanding use cases characterize market evolution.</w:t>
      </w:r>
    </w:p>
    <w:p>
      <w:pPr>
        <w:pStyle w:val="AcademicBody"/>
        <w:spacing w:line="360" w:lineRule="auto"/>
        <w:jc w:val="both"/>
      </w:pPr>
      <w:r>
        <w:rPr>
          <w:rFonts w:ascii="Times New Roman" w:hAnsi="Times New Roman"/>
          <w:sz w:val="24"/>
        </w:rPr>
        <w:t>Industry-specific clouds represent growing trend with providers developing vertical solutions for healthcare</w:t>
      </w:r>
    </w:p>
    <w:p>
      <w:pPr>
        <w:pStyle w:val="AcademicBody"/>
        <w:spacing w:line="360" w:lineRule="auto"/>
        <w:jc w:val="both"/>
      </w:pPr>
      <w:r>
        <w:rPr>
          <w:rFonts w:ascii="Times New Roman" w:hAnsi="Times New Roman"/>
          <w:sz w:val="24"/>
        </w:rPr>
        <w:t>(compliance, interoperability), financial services (regulation, security), manufacturing and IoT platforms, and retail and e-commerce solutions. Economic benefits include pre-built compliance frameworks, industry-specific optimizations, faster time to value, and shared development costs across verticals. Future outlook anticipates more vertical-specific services, industry consolidation, specialized economies of scale within verticals, and new pricing models tailored to industry needs.</w:t>
      </w:r>
    </w:p>
    <w:p>
      <w:pPr>
        <w:pStyle w:val="Heading1"/>
      </w:pPr>
      <w:r>
        <w:rPr>
          <w:rFonts w:ascii="Times New Roman" w:hAnsi="Times New Roman"/>
          <w:b/>
          <w:color w:val="000000"/>
          <w:sz w:val="24"/>
        </w:rPr>
        <w:t>Conclusion</w:t>
      </w:r>
    </w:p>
    <w:p>
      <w:pPr>
        <w:spacing w:line="360" w:lineRule="auto"/>
        <w:ind w:left="0" w:firstLine="0"/>
      </w:pPr>
      <w:r>
        <w:rPr>
          <w:rFonts w:ascii="Times New Roman" w:hAnsi="Times New Roman"/>
          <w:sz w:val="24"/>
        </w:rPr>
        <w:t>Cloud production and economies of scale have fundamentally transformed enterprise computing economics. Cloud providers achieve significant advantages through resource consolidation, bulk purchasing, operational automation, and specialized expertise, passing these benefits to customers in the form of lower costs, improved capabilities, and greater flexibility. The cloud market reached $912.77 billion in 2025, projected to exceed $1 trillion by 2028, driven by compelling economic benefits with organizations realizing 20-30% IT cost reductions while gaining access to advanced technologies, global infrastructure, and unprecedented scalability.</w:t>
      </w:r>
    </w:p>
    <w:p>
      <w:pPr>
        <w:pStyle w:val="AcademicBody"/>
        <w:spacing w:line="360" w:lineRule="auto"/>
        <w:jc w:val="both"/>
      </w:pPr>
      <w:r>
        <w:rPr>
          <w:rFonts w:ascii="Times New Roman" w:hAnsi="Times New Roman"/>
          <w:sz w:val="24"/>
        </w:rPr>
        <w:t>Major cloud providers employ distinct strategies: AWS leads with service breadth, Azure with enterprise integration, and GCP with technology innovation. However, realizing maximum benefits requires active management and optimization through FinOps practices, right-sizing, automated scaling, and strategic pricing model use. Organizations face challenges including cost visibility, over- provisioning waste (averaging 30% of budgets), vendor lock-in concerns, security and compliance requirements, and skills gaps.</w:t>
      </w:r>
    </w:p>
    <w:p>
      <w:pPr>
        <w:pStyle w:val="AcademicBody"/>
        <w:spacing w:line="360" w:lineRule="auto"/>
        <w:jc w:val="both"/>
      </w:pPr>
      <w:r>
        <w:rPr>
          <w:rFonts w:ascii="Times New Roman" w:hAnsi="Times New Roman"/>
          <w:sz w:val="24"/>
        </w:rPr>
        <w:t>Future trends including AI-driven optimization, edge computing, serverless architectures, and sustainability considerations will further transform cloud economics. Organizations must approach cloud adoption strategically, implementing proper governance, establishing FinOps practices early, continuously monitoring and optimizing usage, and maintaining flexibility for future changes. Cloud providers must continue innovating through infrastructure investment, customer value enhancement, emerging technology support, and market differentiation.</w:t>
      </w:r>
    </w:p>
    <w:p>
      <w:pPr>
        <w:pStyle w:val="AcademicBody"/>
        <w:spacing w:line="360" w:lineRule="auto"/>
        <w:jc w:val="both"/>
      </w:pPr>
      <w:r>
        <w:rPr>
          <w:rFonts w:ascii="Times New Roman" w:hAnsi="Times New Roman"/>
          <w:sz w:val="24"/>
        </w:rPr>
        <w:t>The cloud revolution continues evolving, but fundamental economies of scale principles will remain central to the industry, enabling possibilities that were impossible just years ago. Success requires balancing cost optimization with performance, maintaining security and compliance, developing organizational capabilities, and leveraging emerging technologies strategically. Organizations that approach cloud computing with intentionality and sophistication gain significant competitive advantages, while those simply migrating without optimization risk missing substantial economic benefits.</w:t>
      </w:r>
    </w:p>
    <w:p>
      <w:pPr>
        <w:pStyle w:val="Heading1"/>
      </w:pPr>
      <w:r>
        <w:rPr>
          <w:rFonts w:ascii="Times New Roman" w:hAnsi="Times New Roman"/>
          <w:b/>
          <w:color w:val="000000"/>
          <w:sz w:val="24"/>
        </w:rPr>
        <w:t>PRACTICAL EXAMPLE :</w:t>
      </w:r>
    </w:p>
    <w:p>
      <w:pPr>
        <w:pStyle w:val="AcademicBody"/>
        <w:spacing w:line="360" w:lineRule="auto"/>
        <w:jc w:val="both"/>
      </w:pPr>
      <w:r>
        <w:rPr>
          <w:rFonts w:ascii="Times New Roman" w:hAnsi="Times New Roman"/>
          <w:sz w:val="24"/>
        </w:rPr>
        <w:t>STREAMING A VIDEO ON NETFLIX (OR YOUTUBE) USING CLOUD COMPUTING</w:t>
      </w:r>
    </w:p>
    <w:p>
      <w:pPr>
        <w:spacing w:line="360" w:lineRule="auto"/>
        <w:ind w:left="0" w:firstLine="0"/>
        <w:jc w:val="both"/>
      </w:pPr>
      <w:r>
        <w:rPr>
          <w:rFonts w:ascii="Times New Roman" w:hAnsi="Times New Roman"/>
          <w:sz w:val="24"/>
        </w:rPr>
        <w:t>1. What Is Actually Being Produced by the Cloud</w:t>
      </w:r>
    </w:p>
    <w:p>
      <w:pPr>
        <w:pStyle w:val="AcademicBody"/>
        <w:spacing w:line="360" w:lineRule="auto"/>
        <w:jc w:val="both"/>
      </w:pPr>
      <w:r>
        <w:rPr>
          <w:rFonts w:ascii="Times New Roman" w:hAnsi="Times New Roman"/>
          <w:sz w:val="24"/>
        </w:rPr>
        <w:t>When you press Play on Netflix or YouTube, the cloud is producing one product:</w:t>
      </w:r>
    </w:p>
    <w:p>
      <w:pPr>
        <w:pStyle w:val="AcademicBody"/>
        <w:spacing w:line="360" w:lineRule="auto"/>
        <w:jc w:val="both"/>
      </w:pPr>
      <w:r>
        <w:rPr>
          <w:rFonts w:ascii="Times New Roman" w:hAnsi="Times New Roman"/>
          <w:sz w:val="24"/>
        </w:rPr>
        <w:t>A video stream delivered to your device in real time</w:t>
      </w:r>
    </w:p>
    <w:p>
      <w:pPr>
        <w:pStyle w:val="AcademicBody"/>
        <w:spacing w:line="360" w:lineRule="auto"/>
        <w:jc w:val="both"/>
      </w:pPr>
      <w:r>
        <w:rPr>
          <w:rFonts w:ascii="Times New Roman" w:hAnsi="Times New Roman"/>
          <w:sz w:val="24"/>
        </w:rPr>
        <w:t>This product is created every time any user watches a video.</w:t>
      </w:r>
    </w:p>
    <w:p>
      <w:pPr>
        <w:spacing w:line="360" w:lineRule="auto"/>
        <w:ind w:left="0" w:firstLine="0"/>
        <w:jc w:val="both"/>
      </w:pPr>
      <w:r>
        <w:rPr>
          <w:rFonts w:ascii="Times New Roman" w:hAnsi="Times New Roman"/>
          <w:sz w:val="24"/>
        </w:rPr>
        <w:t>2. What Happens in Reality When You Press “Play”</w:t>
      </w:r>
    </w:p>
    <w:tbl>
      <w:tblPr>
        <w:tblStyle w:val="TableGrid"/>
        <w:tblW w:type="auto" w:w="0"/>
        <w:tblLayout w:type="autofit"/>
        <w:tblLook w:firstColumn="1" w:firstRow="1" w:lastColumn="0" w:lastRow="0" w:noHBand="0" w:noVBand="1" w:val="04A0"/>
      </w:tblPr>
      <w:tblGrid>
        <w:gridCol w:w="4680"/>
        <w:gridCol w:w="4680"/>
      </w:tblGrid>
      <w:tr>
        <w:tc>
          <w:tcPr>
            <w:tcW w:type="dxa" w:w="720"/>
          </w:tcPr>
          <w:p>
            <w:pPr>
              <w:spacing w:line="240" w:lineRule="auto" w:before="40" w:after="40"/>
              <w:jc w:val="center"/>
            </w:pPr>
            <w:r>
              <w:rPr>
                <w:rFonts w:ascii="Times New Roman" w:hAnsi="Times New Roman"/>
                <w:b/>
                <w:sz w:val="24"/>
              </w:rPr>
              <w:t>Step</w:t>
            </w:r>
          </w:p>
        </w:tc>
        <w:tc>
          <w:tcPr>
            <w:tcW w:type="dxa" w:w="7920"/>
          </w:tcPr>
          <w:p>
            <w:pPr>
              <w:spacing w:line="240" w:lineRule="auto" w:before="40" w:after="40"/>
              <w:jc w:val="center"/>
            </w:pPr>
            <w:r>
              <w:rPr>
                <w:rFonts w:ascii="Times New Roman" w:hAnsi="Times New Roman"/>
                <w:b/>
                <w:sz w:val="24"/>
              </w:rPr>
              <w:t>What the Cloud Does</w:t>
            </w:r>
          </w:p>
        </w:tc>
      </w:tr>
      <w:tr>
        <w:tc>
          <w:tcPr>
            <w:tcW w:type="dxa" w:w="720"/>
          </w:tcPr>
          <w:p>
            <w:pPr>
              <w:spacing w:line="240" w:lineRule="auto" w:before="40" w:after="40"/>
              <w:jc w:val="right"/>
            </w:pPr>
            <w:r>
              <w:rPr>
                <w:rFonts w:ascii="Times New Roman" w:hAnsi="Times New Roman"/>
                <w:sz w:val="24"/>
              </w:rPr>
              <w:t>1</w:t>
            </w:r>
          </w:p>
        </w:tc>
        <w:tc>
          <w:tcPr>
            <w:tcW w:type="dxa" w:w="7920"/>
          </w:tcPr>
          <w:p>
            <w:pPr>
              <w:spacing w:line="240" w:lineRule="auto" w:before="40" w:after="40"/>
              <w:jc w:val="left"/>
            </w:pPr>
            <w:r>
              <w:rPr>
                <w:rFonts w:ascii="Times New Roman" w:hAnsi="Times New Roman"/>
                <w:sz w:val="24"/>
              </w:rPr>
              <w:t>Finds the requested movie or video</w:t>
            </w:r>
          </w:p>
        </w:tc>
      </w:tr>
      <w:tr>
        <w:tc>
          <w:tcPr>
            <w:tcW w:type="dxa" w:w="720"/>
          </w:tcPr>
          <w:p>
            <w:pPr>
              <w:spacing w:line="240" w:lineRule="auto" w:before="40" w:after="40"/>
              <w:jc w:val="right"/>
            </w:pPr>
            <w:r>
              <w:rPr>
                <w:rFonts w:ascii="Times New Roman" w:hAnsi="Times New Roman"/>
                <w:sz w:val="24"/>
              </w:rPr>
              <w:t>2</w:t>
            </w:r>
          </w:p>
        </w:tc>
        <w:tc>
          <w:tcPr>
            <w:tcW w:type="dxa" w:w="7920"/>
          </w:tcPr>
          <w:p>
            <w:pPr>
              <w:spacing w:line="240" w:lineRule="auto" w:before="40" w:after="40"/>
              <w:jc w:val="left"/>
            </w:pPr>
            <w:r>
              <w:rPr>
                <w:rFonts w:ascii="Times New Roman" w:hAnsi="Times New Roman"/>
                <w:sz w:val="24"/>
              </w:rPr>
              <w:t>Selects the closest data center</w:t>
            </w:r>
          </w:p>
        </w:tc>
      </w:tr>
      <w:tr>
        <w:tc>
          <w:tcPr>
            <w:tcW w:type="dxa" w:w="720"/>
          </w:tcPr>
          <w:p>
            <w:pPr>
              <w:spacing w:line="240" w:lineRule="auto" w:before="40" w:after="40"/>
              <w:jc w:val="right"/>
            </w:pPr>
            <w:r>
              <w:rPr>
                <w:rFonts w:ascii="Times New Roman" w:hAnsi="Times New Roman"/>
                <w:sz w:val="24"/>
              </w:rPr>
              <w:t>3</w:t>
            </w:r>
          </w:p>
        </w:tc>
        <w:tc>
          <w:tcPr>
            <w:tcW w:type="dxa" w:w="7920"/>
          </w:tcPr>
          <w:p>
            <w:pPr>
              <w:spacing w:line="240" w:lineRule="auto" w:before="40" w:after="40"/>
              <w:jc w:val="left"/>
            </w:pPr>
            <w:r>
              <w:rPr>
                <w:rFonts w:ascii="Times New Roman" w:hAnsi="Times New Roman"/>
                <w:sz w:val="24"/>
              </w:rPr>
              <w:t>Adjusts video quality to your internet speed</w:t>
            </w:r>
          </w:p>
        </w:tc>
      </w:tr>
      <w:tr>
        <w:tc>
          <w:tcPr>
            <w:tcW w:type="dxa" w:w="720"/>
          </w:tcPr>
          <w:p>
            <w:pPr>
              <w:spacing w:line="240" w:lineRule="auto" w:before="40" w:after="40"/>
              <w:jc w:val="right"/>
            </w:pPr>
            <w:r>
              <w:rPr>
                <w:rFonts w:ascii="Times New Roman" w:hAnsi="Times New Roman"/>
                <w:sz w:val="24"/>
              </w:rPr>
              <w:t>4</w:t>
            </w:r>
          </w:p>
        </w:tc>
        <w:tc>
          <w:tcPr>
            <w:tcW w:type="dxa" w:w="7920"/>
          </w:tcPr>
          <w:p>
            <w:pPr>
              <w:spacing w:line="240" w:lineRule="auto" w:before="40" w:after="40"/>
              <w:jc w:val="left"/>
            </w:pPr>
            <w:r>
              <w:rPr>
                <w:rFonts w:ascii="Times New Roman" w:hAnsi="Times New Roman"/>
                <w:sz w:val="24"/>
              </w:rPr>
              <w:t>Streams video in small chunks</w:t>
            </w:r>
          </w:p>
        </w:tc>
      </w:tr>
      <w:tr>
        <w:tc>
          <w:tcPr>
            <w:tcW w:type="dxa" w:w="720"/>
          </w:tcPr>
          <w:p>
            <w:pPr>
              <w:spacing w:line="240" w:lineRule="auto" w:before="40" w:after="40"/>
              <w:jc w:val="right"/>
            </w:pPr>
            <w:r>
              <w:rPr>
                <w:rFonts w:ascii="Times New Roman" w:hAnsi="Times New Roman"/>
                <w:sz w:val="24"/>
              </w:rPr>
              <w:t>5</w:t>
            </w:r>
          </w:p>
        </w:tc>
        <w:tc>
          <w:tcPr>
            <w:tcW w:type="dxa" w:w="7920"/>
          </w:tcPr>
          <w:p>
            <w:pPr>
              <w:spacing w:line="240" w:lineRule="auto" w:before="40" w:after="40"/>
              <w:jc w:val="left"/>
            </w:pPr>
            <w:r>
              <w:rPr>
                <w:rFonts w:ascii="Times New Roman" w:hAnsi="Times New Roman"/>
                <w:sz w:val="24"/>
              </w:rPr>
              <w:t>Continuously adapts if your network changes</w:t>
            </w:r>
          </w:p>
        </w:tc>
      </w:tr>
    </w:tbl>
    <w:p>
      <w:pPr>
        <w:spacing w:before="120"/>
      </w:pPr>
    </w:p>
    <w:p>
      <w:pPr>
        <w:pStyle w:val="AcademicBody"/>
        <w:spacing w:line="360" w:lineRule="auto"/>
        <w:jc w:val="both"/>
      </w:pPr>
      <w:r>
        <w:rPr>
          <w:rFonts w:ascii="Times New Roman" w:hAnsi="Times New Roman"/>
          <w:sz w:val="24"/>
        </w:rPr>
        <w:t>All of this is handled automatically by cloud servers.</w:t>
      </w:r>
    </w:p>
    <w:p>
      <w:pPr>
        <w:spacing w:line="360" w:lineRule="auto"/>
        <w:ind w:left="0" w:firstLine="0"/>
        <w:jc w:val="both"/>
      </w:pPr>
      <w:r>
        <w:rPr>
          <w:rFonts w:ascii="Times New Roman" w:hAnsi="Times New Roman"/>
          <w:sz w:val="24"/>
        </w:rPr>
        <w:t>3. Cloud Production Components (Netflix / YouTube)</w:t>
      </w:r>
    </w:p>
    <w:tbl>
      <w:tblPr>
        <w:tblStyle w:val="TableGrid"/>
        <w:tblW w:type="auto" w:w="0"/>
        <w:tblLayout w:type="autofit"/>
        <w:tblLook w:firstColumn="1" w:firstRow="1" w:lastColumn="0" w:lastRow="0" w:noHBand="0" w:noVBand="1" w:val="04A0"/>
      </w:tblPr>
      <w:tblGrid>
        <w:gridCol w:w="4680"/>
        <w:gridCol w:w="4680"/>
      </w:tblGrid>
      <w:tr>
        <w:tc>
          <w:tcPr>
            <w:tcW w:type="dxa" w:w="3586"/>
          </w:tcPr>
          <w:p>
            <w:pPr>
              <w:spacing w:line="240" w:lineRule="auto" w:before="40" w:after="40"/>
              <w:jc w:val="center"/>
            </w:pPr>
            <w:r>
              <w:rPr>
                <w:rFonts w:ascii="Times New Roman" w:hAnsi="Times New Roman"/>
                <w:b/>
                <w:sz w:val="24"/>
              </w:rPr>
              <w:t>Component</w:t>
            </w:r>
          </w:p>
        </w:tc>
        <w:tc>
          <w:tcPr>
            <w:tcW w:type="dxa" w:w="5054"/>
          </w:tcPr>
          <w:p>
            <w:pPr>
              <w:spacing w:line="240" w:lineRule="auto" w:before="40" w:after="40"/>
              <w:jc w:val="center"/>
            </w:pPr>
            <w:r>
              <w:rPr>
                <w:rFonts w:ascii="Times New Roman" w:hAnsi="Times New Roman"/>
                <w:b/>
                <w:sz w:val="24"/>
              </w:rPr>
              <w:t>What It Does</w:t>
            </w:r>
          </w:p>
        </w:tc>
      </w:tr>
      <w:tr>
        <w:tc>
          <w:tcPr>
            <w:tcW w:type="dxa" w:w="3586"/>
          </w:tcPr>
          <w:p>
            <w:pPr>
              <w:spacing w:line="240" w:lineRule="auto" w:before="40" w:after="40"/>
              <w:jc w:val="left"/>
            </w:pPr>
            <w:r>
              <w:rPr>
                <w:rFonts w:ascii="Times New Roman" w:hAnsi="Times New Roman"/>
                <w:sz w:val="24"/>
              </w:rPr>
              <w:t>Cloud servers</w:t>
            </w:r>
          </w:p>
        </w:tc>
        <w:tc>
          <w:tcPr>
            <w:tcW w:type="dxa" w:w="5054"/>
          </w:tcPr>
          <w:p>
            <w:pPr>
              <w:spacing w:line="240" w:lineRule="auto" w:before="40" w:after="40"/>
              <w:jc w:val="left"/>
            </w:pPr>
            <w:r>
              <w:rPr>
                <w:rFonts w:ascii="Times New Roman" w:hAnsi="Times New Roman"/>
                <w:sz w:val="24"/>
              </w:rPr>
              <w:t>Store and process videos</w:t>
            </w:r>
          </w:p>
        </w:tc>
      </w:tr>
      <w:tr>
        <w:tc>
          <w:tcPr>
            <w:tcW w:type="dxa" w:w="3586"/>
          </w:tcPr>
          <w:p>
            <w:pPr>
              <w:spacing w:line="240" w:lineRule="auto" w:before="40" w:after="40"/>
              <w:jc w:val="left"/>
            </w:pPr>
            <w:r>
              <w:rPr>
                <w:rFonts w:ascii="Times New Roman" w:hAnsi="Times New Roman"/>
                <w:sz w:val="24"/>
              </w:rPr>
              <w:t>Storage systems</w:t>
            </w:r>
          </w:p>
        </w:tc>
        <w:tc>
          <w:tcPr>
            <w:tcW w:type="dxa" w:w="5054"/>
          </w:tcPr>
          <w:p>
            <w:pPr>
              <w:spacing w:line="240" w:lineRule="auto" w:before="40" w:after="40"/>
              <w:jc w:val="left"/>
            </w:pPr>
            <w:r>
              <w:rPr>
                <w:rFonts w:ascii="Times New Roman" w:hAnsi="Times New Roman"/>
                <w:sz w:val="24"/>
              </w:rPr>
              <w:t>Hold millions of videos</w:t>
            </w:r>
          </w:p>
        </w:tc>
      </w:tr>
      <w:tr>
        <w:tc>
          <w:tcPr>
            <w:tcW w:type="dxa" w:w="3586"/>
          </w:tcPr>
          <w:p>
            <w:pPr>
              <w:spacing w:line="240" w:lineRule="auto" w:before="40" w:after="40"/>
              <w:jc w:val="left"/>
            </w:pPr>
            <w:r>
              <w:rPr>
                <w:rFonts w:ascii="Times New Roman" w:hAnsi="Times New Roman"/>
                <w:sz w:val="24"/>
              </w:rPr>
              <w:t>Network infrastructure</w:t>
            </w:r>
          </w:p>
        </w:tc>
        <w:tc>
          <w:tcPr>
            <w:tcW w:type="dxa" w:w="5054"/>
          </w:tcPr>
          <w:p>
            <w:pPr>
              <w:spacing w:line="240" w:lineRule="auto" w:before="40" w:after="40"/>
              <w:jc w:val="left"/>
            </w:pPr>
            <w:r>
              <w:rPr>
                <w:rFonts w:ascii="Times New Roman" w:hAnsi="Times New Roman"/>
                <w:sz w:val="24"/>
              </w:rPr>
              <w:t>Deliver video globally</w:t>
            </w:r>
          </w:p>
        </w:tc>
      </w:tr>
      <w:tr>
        <w:tc>
          <w:tcPr>
            <w:tcW w:type="dxa" w:w="3586"/>
          </w:tcPr>
          <w:p>
            <w:pPr>
              <w:spacing w:line="240" w:lineRule="auto" w:before="40" w:after="40"/>
              <w:jc w:val="left"/>
            </w:pPr>
            <w:r>
              <w:rPr>
                <w:rFonts w:ascii="Times New Roman" w:hAnsi="Times New Roman"/>
                <w:sz w:val="24"/>
              </w:rPr>
              <w:t>Software systems</w:t>
            </w:r>
          </w:p>
        </w:tc>
        <w:tc>
          <w:tcPr>
            <w:tcW w:type="dxa" w:w="5054"/>
          </w:tcPr>
          <w:p>
            <w:pPr>
              <w:spacing w:line="240" w:lineRule="auto" w:before="40" w:after="40"/>
              <w:jc w:val="left"/>
            </w:pPr>
            <w:r>
              <w:rPr>
                <w:rFonts w:ascii="Times New Roman" w:hAnsi="Times New Roman"/>
                <w:sz w:val="24"/>
              </w:rPr>
              <w:t>Manage users, playback, quality</w:t>
            </w:r>
          </w:p>
        </w:tc>
      </w:tr>
      <w:tr>
        <w:tc>
          <w:tcPr>
            <w:tcW w:type="dxa" w:w="3586"/>
          </w:tcPr>
          <w:p>
            <w:pPr>
              <w:spacing w:line="240" w:lineRule="auto" w:before="40" w:after="40"/>
              <w:jc w:val="left"/>
            </w:pPr>
            <w:r>
              <w:rPr>
                <w:rFonts w:ascii="Times New Roman" w:hAnsi="Times New Roman"/>
                <w:sz w:val="24"/>
              </w:rPr>
              <w:t>Monitoring systems</w:t>
            </w:r>
          </w:p>
        </w:tc>
        <w:tc>
          <w:tcPr>
            <w:tcW w:type="dxa" w:w="5054"/>
          </w:tcPr>
          <w:p>
            <w:pPr>
              <w:spacing w:line="240" w:lineRule="auto" w:before="40" w:after="40"/>
              <w:jc w:val="left"/>
            </w:pPr>
            <w:r>
              <w:rPr>
                <w:rFonts w:ascii="Times New Roman" w:hAnsi="Times New Roman"/>
                <w:sz w:val="24"/>
              </w:rPr>
              <w:t>Ensure smooth streaming</w:t>
            </w:r>
          </w:p>
        </w:tc>
      </w:tr>
    </w:tbl>
    <w:p>
      <w:pPr>
        <w:spacing w:before="120"/>
      </w:pPr>
    </w:p>
    <w:p>
      <w:pPr>
        <w:pStyle w:val="AcademicBody"/>
        <w:spacing w:line="360" w:lineRule="auto"/>
        <w:jc w:val="both"/>
      </w:pPr>
      <w:r>
        <w:rPr>
          <w:rFonts w:ascii="Times New Roman" w:hAnsi="Times New Roman"/>
          <w:sz w:val="24"/>
        </w:rPr>
        <w:t>Together, these produce video streaming on demand.</w:t>
      </w:r>
    </w:p>
    <w:p>
      <w:pPr>
        <w:spacing w:line="360" w:lineRule="auto"/>
        <w:ind w:left="0" w:firstLine="0"/>
        <w:jc w:val="both"/>
      </w:pPr>
      <w:r>
        <w:rPr>
          <w:rFonts w:ascii="Times New Roman" w:hAnsi="Times New Roman"/>
          <w:sz w:val="24"/>
        </w:rPr>
        <w:t>4. What Netflix Is NOT Doing</w:t>
      </w:r>
    </w:p>
    <w:tbl>
      <w:tblPr>
        <w:tblStyle w:val="TableGrid"/>
        <w:tblW w:type="auto" w:w="0"/>
        <w:tblLayout w:type="autofit"/>
        <w:tblLook w:firstColumn="1" w:firstRow="1" w:lastColumn="0" w:lastRow="0" w:noHBand="0" w:noVBand="1" w:val="04A0"/>
      </w:tblPr>
      <w:tblGrid>
        <w:gridCol w:w="4680"/>
        <w:gridCol w:w="4680"/>
      </w:tblGrid>
      <w:tr>
        <w:tc>
          <w:tcPr>
            <w:tcW w:type="dxa" w:w="3535"/>
          </w:tcPr>
          <w:p>
            <w:pPr>
              <w:spacing w:line="240" w:lineRule="auto" w:before="40" w:after="40"/>
              <w:jc w:val="center"/>
            </w:pPr>
            <w:r>
              <w:rPr>
                <w:rFonts w:ascii="Times New Roman" w:hAnsi="Times New Roman"/>
                <w:b/>
                <w:sz w:val="24"/>
              </w:rPr>
              <w:t>Traditional Setup</w:t>
            </w:r>
          </w:p>
        </w:tc>
        <w:tc>
          <w:tcPr>
            <w:tcW w:type="dxa" w:w="5105"/>
          </w:tcPr>
          <w:p>
            <w:pPr>
              <w:spacing w:line="240" w:lineRule="auto" w:before="40" w:after="40"/>
              <w:jc w:val="center"/>
            </w:pPr>
            <w:r>
              <w:rPr>
                <w:rFonts w:ascii="Times New Roman" w:hAnsi="Times New Roman"/>
                <w:b/>
                <w:sz w:val="24"/>
              </w:rPr>
              <w:t>Netflix Cloud Setup</w:t>
            </w:r>
          </w:p>
        </w:tc>
      </w:tr>
      <w:tr>
        <w:tc>
          <w:tcPr>
            <w:tcW w:type="dxa" w:w="3535"/>
          </w:tcPr>
          <w:p>
            <w:pPr>
              <w:spacing w:line="240" w:lineRule="auto" w:before="40" w:after="40"/>
              <w:jc w:val="left"/>
            </w:pPr>
            <w:r>
              <w:rPr>
                <w:rFonts w:ascii="Times New Roman" w:hAnsi="Times New Roman"/>
                <w:sz w:val="24"/>
              </w:rPr>
              <w:t>One local server</w:t>
            </w:r>
          </w:p>
        </w:tc>
        <w:tc>
          <w:tcPr>
            <w:tcW w:type="dxa" w:w="5105"/>
          </w:tcPr>
          <w:p>
            <w:pPr>
              <w:spacing w:line="240" w:lineRule="auto" w:before="40" w:after="40"/>
              <w:jc w:val="left"/>
            </w:pPr>
            <w:r>
              <w:rPr>
                <w:rFonts w:ascii="Times New Roman" w:hAnsi="Times New Roman"/>
                <w:sz w:val="24"/>
              </w:rPr>
              <w:t>Thousands of cloud servers</w:t>
            </w:r>
          </w:p>
        </w:tc>
      </w:tr>
      <w:tr>
        <w:tc>
          <w:tcPr>
            <w:tcW w:type="dxa" w:w="3535"/>
          </w:tcPr>
          <w:p>
            <w:pPr>
              <w:spacing w:line="240" w:lineRule="auto" w:before="40" w:after="40"/>
              <w:jc w:val="left"/>
            </w:pPr>
            <w:r>
              <w:rPr>
                <w:rFonts w:ascii="Times New Roman" w:hAnsi="Times New Roman"/>
                <w:sz w:val="24"/>
              </w:rPr>
              <w:t>Fixed capacity</w:t>
            </w:r>
          </w:p>
        </w:tc>
        <w:tc>
          <w:tcPr>
            <w:tcW w:type="dxa" w:w="5105"/>
          </w:tcPr>
          <w:p>
            <w:pPr>
              <w:spacing w:line="240" w:lineRule="auto" w:before="40" w:after="40"/>
              <w:jc w:val="left"/>
            </w:pPr>
            <w:r>
              <w:rPr>
                <w:rFonts w:ascii="Times New Roman" w:hAnsi="Times New Roman"/>
                <w:sz w:val="24"/>
              </w:rPr>
              <w:t>Scales automatically</w:t>
            </w:r>
          </w:p>
        </w:tc>
      </w:tr>
      <w:tr>
        <w:tc>
          <w:tcPr>
            <w:tcW w:type="dxa" w:w="3535"/>
          </w:tcPr>
          <w:p>
            <w:pPr>
              <w:spacing w:line="240" w:lineRule="auto" w:before="40" w:after="40"/>
              <w:jc w:val="left"/>
            </w:pPr>
            <w:r>
              <w:rPr>
                <w:rFonts w:ascii="Times New Roman" w:hAnsi="Times New Roman"/>
                <w:sz w:val="24"/>
              </w:rPr>
              <w:t>Hardware purchase</w:t>
            </w:r>
          </w:p>
        </w:tc>
        <w:tc>
          <w:tcPr>
            <w:tcW w:type="dxa" w:w="5105"/>
          </w:tcPr>
          <w:p>
            <w:pPr>
              <w:spacing w:line="240" w:lineRule="auto" w:before="40" w:after="40"/>
              <w:jc w:val="left"/>
            </w:pPr>
            <w:r>
              <w:rPr>
                <w:rFonts w:ascii="Times New Roman" w:hAnsi="Times New Roman"/>
                <w:sz w:val="24"/>
              </w:rPr>
              <w:t>Pay-as-you-use</w:t>
            </w:r>
          </w:p>
        </w:tc>
      </w:tr>
      <w:tr>
        <w:tc>
          <w:tcPr>
            <w:tcW w:type="dxa" w:w="3535"/>
          </w:tcPr>
          <w:p>
            <w:pPr>
              <w:spacing w:line="240" w:lineRule="auto" w:before="40" w:after="40"/>
              <w:jc w:val="left"/>
            </w:pPr>
            <w:r>
              <w:rPr>
                <w:rFonts w:ascii="Times New Roman" w:hAnsi="Times New Roman"/>
                <w:sz w:val="24"/>
              </w:rPr>
              <w:t>Manual maintenance</w:t>
            </w:r>
          </w:p>
        </w:tc>
        <w:tc>
          <w:tcPr>
            <w:tcW w:type="dxa" w:w="5105"/>
          </w:tcPr>
          <w:p>
            <w:pPr>
              <w:spacing w:line="240" w:lineRule="auto" w:before="40" w:after="40"/>
              <w:jc w:val="left"/>
            </w:pPr>
            <w:r>
              <w:rPr>
                <w:rFonts w:ascii="Times New Roman" w:hAnsi="Times New Roman"/>
                <w:sz w:val="24"/>
              </w:rPr>
              <w:t>Automated systems</w:t>
            </w:r>
          </w:p>
        </w:tc>
      </w:tr>
    </w:tbl>
    <w:p>
      <w:pPr>
        <w:spacing w:before="120"/>
      </w:pPr>
    </w:p>
    <w:p>
      <w:pPr>
        <w:pStyle w:val="AcademicBody"/>
        <w:spacing w:line="360" w:lineRule="auto"/>
        <w:jc w:val="both"/>
      </w:pPr>
      <w:r>
        <w:rPr>
          <w:rFonts w:ascii="Times New Roman" w:hAnsi="Times New Roman"/>
          <w:sz w:val="24"/>
        </w:rPr>
        <w:t>This difference enables scale.</w:t>
      </w:r>
    </w:p>
    <w:p>
      <w:pPr>
        <w:pStyle w:val="ListNumber"/>
      </w:pPr>
      <w:r>
        <w:rPr>
          <w:rFonts w:ascii="Times New Roman" w:hAnsi="Times New Roman"/>
          <w:sz w:val="24"/>
        </w:rPr>
        <w:t>Small-Scale Streaming (No Economies of Scale)</w:t>
      </w:r>
    </w:p>
    <w:p>
      <w:pPr>
        <w:pStyle w:val="AcademicBody"/>
        <w:spacing w:line="360" w:lineRule="auto"/>
        <w:jc w:val="both"/>
      </w:pPr>
      <w:r>
        <w:rPr>
          <w:rFonts w:ascii="Times New Roman" w:hAnsi="Times New Roman"/>
          <w:sz w:val="24"/>
        </w:rPr>
        <w:t>Imagine a small school or local company trying to stream videos.</w:t>
      </w:r>
    </w:p>
    <w:p>
      <w:pPr>
        <w:pStyle w:val="Heading2"/>
      </w:pPr>
      <w:r>
        <w:rPr>
          <w:rFonts w:ascii="Times New Roman" w:hAnsi="Times New Roman"/>
          <w:b/>
          <w:color w:val="000000"/>
          <w:sz w:val="24"/>
        </w:rPr>
        <w:t>Cost Situation</w:t>
      </w:r>
    </w:p>
    <w:tbl>
      <w:tblPr>
        <w:tblStyle w:val="TableGrid"/>
        <w:tblW w:type="auto" w:w="0"/>
        <w:tblLayout w:type="autofit"/>
        <w:tblLook w:firstColumn="1" w:firstRow="1" w:lastColumn="0" w:lastRow="0" w:noHBand="0" w:noVBand="1" w:val="04A0"/>
      </w:tblPr>
      <w:tblGrid>
        <w:gridCol w:w="4680"/>
        <w:gridCol w:w="4680"/>
      </w:tblGrid>
      <w:tr>
        <w:tc>
          <w:tcPr>
            <w:tcW w:type="dxa" w:w="5760"/>
          </w:tcPr>
          <w:p>
            <w:pPr>
              <w:spacing w:line="240" w:lineRule="auto" w:before="40" w:after="40"/>
              <w:jc w:val="center"/>
            </w:pPr>
            <w:r>
              <w:rPr>
                <w:rFonts w:ascii="Times New Roman" w:hAnsi="Times New Roman"/>
                <w:b/>
                <w:sz w:val="24"/>
              </w:rPr>
              <w:t>Item</w:t>
            </w:r>
          </w:p>
        </w:tc>
        <w:tc>
          <w:tcPr>
            <w:tcW w:type="dxa" w:w="2880"/>
          </w:tcPr>
          <w:p>
            <w:pPr>
              <w:spacing w:line="240" w:lineRule="auto" w:before="40" w:after="40"/>
              <w:jc w:val="center"/>
            </w:pPr>
            <w:r>
              <w:rPr>
                <w:rFonts w:ascii="Times New Roman" w:hAnsi="Times New Roman"/>
                <w:b/>
                <w:sz w:val="24"/>
              </w:rPr>
              <w:t>Cost</w:t>
            </w:r>
          </w:p>
        </w:tc>
      </w:tr>
      <w:tr>
        <w:tc>
          <w:tcPr>
            <w:tcW w:type="dxa" w:w="5760"/>
          </w:tcPr>
          <w:p>
            <w:pPr>
              <w:spacing w:line="240" w:lineRule="auto" w:before="40" w:after="40"/>
              <w:jc w:val="left"/>
            </w:pPr>
            <w:r>
              <w:rPr>
                <w:rFonts w:ascii="Times New Roman" w:hAnsi="Times New Roman"/>
                <w:sz w:val="24"/>
              </w:rPr>
              <w:t>Servers</w:t>
            </w:r>
          </w:p>
        </w:tc>
        <w:tc>
          <w:tcPr>
            <w:tcW w:type="dxa" w:w="2880"/>
          </w:tcPr>
          <w:p>
            <w:pPr>
              <w:spacing w:line="240" w:lineRule="auto" w:before="40" w:after="40"/>
              <w:jc w:val="left"/>
            </w:pPr>
            <w:r>
              <w:rPr>
                <w:rFonts w:ascii="Times New Roman" w:hAnsi="Times New Roman"/>
                <w:sz w:val="24"/>
              </w:rPr>
              <w:t>High</w:t>
            </w:r>
          </w:p>
        </w:tc>
      </w:tr>
      <w:tr>
        <w:tc>
          <w:tcPr>
            <w:tcW w:type="dxa" w:w="5760"/>
          </w:tcPr>
          <w:p>
            <w:pPr>
              <w:spacing w:line="240" w:lineRule="auto" w:before="40" w:after="40"/>
              <w:jc w:val="left"/>
            </w:pPr>
            <w:r>
              <w:rPr>
                <w:rFonts w:ascii="Times New Roman" w:hAnsi="Times New Roman"/>
                <w:sz w:val="24"/>
              </w:rPr>
              <w:t>Electricity</w:t>
            </w:r>
          </w:p>
        </w:tc>
        <w:tc>
          <w:tcPr>
            <w:tcW w:type="dxa" w:w="2880"/>
          </w:tcPr>
          <w:p>
            <w:pPr>
              <w:spacing w:line="240" w:lineRule="auto" w:before="40" w:after="40"/>
              <w:jc w:val="left"/>
            </w:pPr>
            <w:r>
              <w:rPr>
                <w:rFonts w:ascii="Times New Roman" w:hAnsi="Times New Roman"/>
                <w:sz w:val="24"/>
              </w:rPr>
              <w:t>High</w:t>
            </w:r>
          </w:p>
        </w:tc>
      </w:tr>
      <w:tr>
        <w:tc>
          <w:tcPr>
            <w:tcW w:type="dxa" w:w="5760"/>
          </w:tcPr>
          <w:p>
            <w:pPr>
              <w:spacing w:line="240" w:lineRule="auto" w:before="40" w:after="40"/>
              <w:jc w:val="left"/>
            </w:pPr>
            <w:r>
              <w:rPr>
                <w:rFonts w:ascii="Times New Roman" w:hAnsi="Times New Roman"/>
                <w:sz w:val="24"/>
              </w:rPr>
              <w:t>Maintenance</w:t>
            </w:r>
          </w:p>
        </w:tc>
        <w:tc>
          <w:tcPr>
            <w:tcW w:type="dxa" w:w="2880"/>
          </w:tcPr>
          <w:p>
            <w:pPr>
              <w:spacing w:line="240" w:lineRule="auto" w:before="40" w:after="40"/>
              <w:jc w:val="left"/>
            </w:pPr>
            <w:r>
              <w:rPr>
                <w:rFonts w:ascii="Times New Roman" w:hAnsi="Times New Roman"/>
                <w:sz w:val="24"/>
              </w:rPr>
              <w:t>High</w:t>
            </w:r>
          </w:p>
        </w:tc>
      </w:tr>
      <w:tr>
        <w:tc>
          <w:tcPr>
            <w:tcW w:type="dxa" w:w="5760"/>
          </w:tcPr>
          <w:p>
            <w:pPr>
              <w:spacing w:line="240" w:lineRule="auto" w:before="40" w:after="40"/>
              <w:jc w:val="left"/>
            </w:pPr>
            <w:r>
              <w:rPr>
                <w:rFonts w:ascii="Times New Roman" w:hAnsi="Times New Roman"/>
                <w:sz w:val="24"/>
              </w:rPr>
              <w:t>Internet bandwidth</w:t>
            </w:r>
          </w:p>
        </w:tc>
        <w:tc>
          <w:tcPr>
            <w:tcW w:type="dxa" w:w="2880"/>
          </w:tcPr>
          <w:p>
            <w:pPr>
              <w:spacing w:line="240" w:lineRule="auto" w:before="40" w:after="40"/>
              <w:jc w:val="left"/>
            </w:pPr>
            <w:r>
              <w:rPr>
                <w:rFonts w:ascii="Times New Roman" w:hAnsi="Times New Roman"/>
                <w:sz w:val="24"/>
              </w:rPr>
              <w:t>Expensive</w:t>
            </w:r>
          </w:p>
        </w:tc>
      </w:tr>
      <w:tr>
        <w:tc>
          <w:tcPr>
            <w:tcW w:type="dxa" w:w="5760"/>
          </w:tcPr>
          <w:p>
            <w:pPr>
              <w:spacing w:line="240" w:lineRule="auto" w:before="40" w:after="40"/>
              <w:jc w:val="left"/>
            </w:pPr>
            <w:r>
              <w:rPr>
                <w:rFonts w:ascii="Times New Roman" w:hAnsi="Times New Roman"/>
                <w:sz w:val="24"/>
              </w:rPr>
              <w:t>Users</w:t>
            </w:r>
          </w:p>
        </w:tc>
        <w:tc>
          <w:tcPr>
            <w:tcW w:type="dxa" w:w="2880"/>
          </w:tcPr>
          <w:p>
            <w:pPr>
              <w:spacing w:line="240" w:lineRule="auto" w:before="40" w:after="40"/>
              <w:jc w:val="left"/>
            </w:pPr>
            <w:r>
              <w:rPr>
                <w:rFonts w:ascii="Times New Roman" w:hAnsi="Times New Roman"/>
                <w:sz w:val="24"/>
              </w:rPr>
              <w:t>Few</w:t>
            </w:r>
          </w:p>
        </w:tc>
      </w:tr>
    </w:tbl>
    <w:p>
      <w:pPr>
        <w:spacing w:before="120"/>
      </w:pPr>
    </w:p>
    <w:p>
      <w:pPr>
        <w:pStyle w:val="AcademicBody"/>
        <w:spacing w:line="360" w:lineRule="auto"/>
        <w:jc w:val="both"/>
      </w:pPr>
      <w:r>
        <w:rPr>
          <w:rFonts w:ascii="Times New Roman" w:hAnsi="Times New Roman"/>
          <w:sz w:val="24"/>
        </w:rPr>
        <w:t>Result</w:t>
      </w:r>
    </w:p>
    <w:tbl>
      <w:tblPr>
        <w:tblStyle w:val="TableGrid"/>
        <w:tblW w:type="auto" w:w="0"/>
        <w:tblLayout w:type="autofit"/>
        <w:tblLook w:firstColumn="1" w:firstRow="1" w:lastColumn="0" w:lastRow="0" w:noHBand="0" w:noVBand="1" w:val="04A0"/>
      </w:tblPr>
      <w:tblGrid>
        <w:gridCol w:w="4680"/>
        <w:gridCol w:w="4680"/>
      </w:tblGrid>
      <w:tr>
        <w:tc>
          <w:tcPr>
            <w:tcW w:type="dxa" w:w="5349"/>
          </w:tcPr>
          <w:p>
            <w:pPr>
              <w:spacing w:line="240" w:lineRule="auto" w:before="40" w:after="40"/>
              <w:jc w:val="center"/>
            </w:pPr>
            <w:r>
              <w:rPr>
                <w:rFonts w:ascii="Times New Roman" w:hAnsi="Times New Roman"/>
                <w:b/>
                <w:sz w:val="24"/>
              </w:rPr>
              <w:t>Metric</w:t>
            </w:r>
          </w:p>
        </w:tc>
        <w:tc>
          <w:tcPr>
            <w:tcW w:type="dxa" w:w="3291"/>
          </w:tcPr>
          <w:p>
            <w:pPr>
              <w:spacing w:line="240" w:lineRule="auto" w:before="40" w:after="40"/>
              <w:jc w:val="center"/>
            </w:pPr>
            <w:r>
              <w:rPr>
                <w:rFonts w:ascii="Times New Roman" w:hAnsi="Times New Roman"/>
                <w:b/>
                <w:sz w:val="24"/>
              </w:rPr>
              <w:t>Value</w:t>
            </w:r>
          </w:p>
        </w:tc>
      </w:tr>
      <w:tr>
        <w:tc>
          <w:tcPr>
            <w:tcW w:type="dxa" w:w="5349"/>
          </w:tcPr>
          <w:p>
            <w:pPr>
              <w:spacing w:line="240" w:lineRule="auto" w:before="40" w:after="40"/>
              <w:jc w:val="left"/>
            </w:pPr>
            <w:r>
              <w:rPr>
                <w:rFonts w:ascii="Times New Roman" w:hAnsi="Times New Roman"/>
                <w:sz w:val="24"/>
              </w:rPr>
              <w:t>Total users</w:t>
            </w:r>
          </w:p>
        </w:tc>
        <w:tc>
          <w:tcPr>
            <w:tcW w:type="dxa" w:w="3291"/>
          </w:tcPr>
          <w:p>
            <w:pPr>
              <w:spacing w:line="240" w:lineRule="auto" w:before="40" w:after="40"/>
              <w:jc w:val="left"/>
            </w:pPr>
            <w:r>
              <w:rPr>
                <w:rFonts w:ascii="Times New Roman" w:hAnsi="Times New Roman"/>
                <w:sz w:val="24"/>
              </w:rPr>
              <w:t>1,000</w:t>
            </w:r>
          </w:p>
        </w:tc>
      </w:tr>
      <w:tr>
        <w:tc>
          <w:tcPr>
            <w:tcW w:type="dxa" w:w="5349"/>
          </w:tcPr>
          <w:p>
            <w:pPr>
              <w:spacing w:line="240" w:lineRule="auto" w:before="40" w:after="40"/>
              <w:jc w:val="left"/>
            </w:pPr>
            <w:r>
              <w:rPr>
                <w:rFonts w:ascii="Times New Roman" w:hAnsi="Times New Roman"/>
                <w:sz w:val="24"/>
              </w:rPr>
              <w:t>Total cost</w:t>
            </w:r>
          </w:p>
        </w:tc>
        <w:tc>
          <w:tcPr>
            <w:tcW w:type="dxa" w:w="3291"/>
          </w:tcPr>
          <w:p>
            <w:pPr>
              <w:spacing w:line="240" w:lineRule="auto" w:before="40" w:after="40"/>
              <w:jc w:val="left"/>
            </w:pPr>
            <w:r>
              <w:rPr>
                <w:rFonts w:ascii="Times New Roman" w:hAnsi="Times New Roman"/>
                <w:sz w:val="24"/>
              </w:rPr>
              <w:t>$100,000</w:t>
            </w:r>
          </w:p>
        </w:tc>
      </w:tr>
      <w:tr>
        <w:tc>
          <w:tcPr>
            <w:tcW w:type="dxa" w:w="5349"/>
          </w:tcPr>
          <w:p>
            <w:pPr>
              <w:spacing w:line="240" w:lineRule="auto" w:before="40" w:after="40"/>
              <w:jc w:val="left"/>
            </w:pPr>
            <w:r>
              <w:rPr>
                <w:rFonts w:ascii="Times New Roman" w:hAnsi="Times New Roman"/>
                <w:sz w:val="24"/>
              </w:rPr>
              <w:t>Cost per user</w:t>
            </w:r>
          </w:p>
        </w:tc>
        <w:tc>
          <w:tcPr>
            <w:tcW w:type="dxa" w:w="3291"/>
          </w:tcPr>
          <w:p>
            <w:pPr>
              <w:spacing w:line="240" w:lineRule="auto" w:before="40" w:after="40"/>
              <w:jc w:val="left"/>
            </w:pPr>
            <w:r>
              <w:rPr>
                <w:rFonts w:ascii="Times New Roman" w:hAnsi="Times New Roman"/>
                <w:sz w:val="24"/>
              </w:rPr>
              <w:t>$100</w:t>
            </w:r>
          </w:p>
        </w:tc>
      </w:tr>
    </w:tbl>
    <w:p>
      <w:pPr>
        <w:spacing w:before="120"/>
      </w:pPr>
    </w:p>
    <w:p>
      <w:pPr>
        <w:pStyle w:val="AcademicBody"/>
        <w:spacing w:line="360" w:lineRule="auto"/>
        <w:jc w:val="both"/>
      </w:pPr>
      <w:r>
        <w:rPr>
          <w:rFonts w:ascii="Times New Roman" w:hAnsi="Times New Roman"/>
          <w:sz w:val="24"/>
        </w:rPr>
        <w:t>Very expensive per user.</w:t>
      </w:r>
    </w:p>
    <w:p>
      <w:pPr>
        <w:pStyle w:val="ListNumber"/>
      </w:pPr>
      <w:r>
        <w:rPr>
          <w:rFonts w:ascii="Times New Roman" w:hAnsi="Times New Roman"/>
          <w:sz w:val="24"/>
        </w:rPr>
        <w:t>Large-Scale Streaming (With Economies of Scale)</w:t>
      </w:r>
    </w:p>
    <w:p>
      <w:pPr>
        <w:pStyle w:val="AcademicBody"/>
        <w:spacing w:line="360" w:lineRule="auto"/>
        <w:jc w:val="both"/>
      </w:pPr>
      <w:r>
        <w:rPr>
          <w:rFonts w:ascii="Times New Roman" w:hAnsi="Times New Roman"/>
          <w:sz w:val="24"/>
        </w:rPr>
        <w:t>Now consider Netflix or YouTube.</w:t>
      </w:r>
    </w:p>
    <w:p>
      <w:pPr>
        <w:pStyle w:val="Heading2"/>
      </w:pPr>
      <w:r>
        <w:rPr>
          <w:rFonts w:ascii="Times New Roman" w:hAnsi="Times New Roman"/>
          <w:b/>
          <w:color w:val="000000"/>
          <w:sz w:val="24"/>
        </w:rPr>
        <w:t>Cost Situation</w:t>
      </w:r>
    </w:p>
    <w:tbl>
      <w:tblPr>
        <w:tblStyle w:val="TableGrid"/>
        <w:tblW w:type="auto" w:w="0"/>
        <w:tblLayout w:type="autofit"/>
        <w:tblLook w:firstColumn="1" w:firstRow="1" w:lastColumn="0" w:lastRow="0" w:noHBand="0" w:noVBand="1" w:val="04A0"/>
      </w:tblPr>
      <w:tblGrid>
        <w:gridCol w:w="4680"/>
        <w:gridCol w:w="4680"/>
      </w:tblGrid>
      <w:tr>
        <w:tc>
          <w:tcPr>
            <w:tcW w:type="dxa" w:w="2880"/>
          </w:tcPr>
          <w:p>
            <w:pPr>
              <w:spacing w:line="240" w:lineRule="auto" w:before="40" w:after="40"/>
              <w:jc w:val="center"/>
            </w:pPr>
            <w:r>
              <w:rPr>
                <w:rFonts w:ascii="Times New Roman" w:hAnsi="Times New Roman"/>
                <w:b/>
                <w:sz w:val="24"/>
              </w:rPr>
              <w:t>Item</w:t>
            </w:r>
          </w:p>
        </w:tc>
        <w:tc>
          <w:tcPr>
            <w:tcW w:type="dxa" w:w="5760"/>
          </w:tcPr>
          <w:p>
            <w:pPr>
              <w:spacing w:line="240" w:lineRule="auto" w:before="40" w:after="40"/>
              <w:jc w:val="center"/>
            </w:pPr>
            <w:r>
              <w:rPr>
                <w:rFonts w:ascii="Times New Roman" w:hAnsi="Times New Roman"/>
                <w:b/>
                <w:sz w:val="24"/>
              </w:rPr>
              <w:t>Cost Impact</w:t>
            </w:r>
          </w:p>
        </w:tc>
      </w:tr>
      <w:tr>
        <w:tc>
          <w:tcPr>
            <w:tcW w:type="dxa" w:w="2880"/>
          </w:tcPr>
          <w:p>
            <w:pPr>
              <w:spacing w:line="240" w:lineRule="auto" w:before="40" w:after="40"/>
              <w:jc w:val="left"/>
            </w:pPr>
            <w:r>
              <w:rPr>
                <w:rFonts w:ascii="Times New Roman" w:hAnsi="Times New Roman"/>
                <w:sz w:val="24"/>
              </w:rPr>
              <w:t>Servers</w:t>
            </w:r>
          </w:p>
        </w:tc>
        <w:tc>
          <w:tcPr>
            <w:tcW w:type="dxa" w:w="5760"/>
          </w:tcPr>
          <w:p>
            <w:pPr>
              <w:spacing w:line="240" w:lineRule="auto" w:before="40" w:after="40"/>
              <w:jc w:val="left"/>
            </w:pPr>
            <w:r>
              <w:rPr>
                <w:rFonts w:ascii="Times New Roman" w:hAnsi="Times New Roman"/>
                <w:sz w:val="24"/>
              </w:rPr>
              <w:t>Cheaper per unit</w:t>
            </w:r>
          </w:p>
        </w:tc>
      </w:tr>
      <w:tr>
        <w:tc>
          <w:tcPr>
            <w:tcW w:type="dxa" w:w="2880"/>
          </w:tcPr>
          <w:p>
            <w:pPr>
              <w:spacing w:line="240" w:lineRule="auto" w:before="40" w:after="40"/>
              <w:jc w:val="left"/>
            </w:pPr>
            <w:r>
              <w:rPr>
                <w:rFonts w:ascii="Times New Roman" w:hAnsi="Times New Roman"/>
                <w:sz w:val="24"/>
              </w:rPr>
              <w:t>Storage</w:t>
            </w:r>
          </w:p>
        </w:tc>
        <w:tc>
          <w:tcPr>
            <w:tcW w:type="dxa" w:w="5760"/>
          </w:tcPr>
          <w:p>
            <w:pPr>
              <w:spacing w:line="240" w:lineRule="auto" w:before="40" w:after="40"/>
              <w:jc w:val="left"/>
            </w:pPr>
            <w:r>
              <w:rPr>
                <w:rFonts w:ascii="Times New Roman" w:hAnsi="Times New Roman"/>
                <w:sz w:val="24"/>
              </w:rPr>
              <w:t>Bulk pricing</w:t>
            </w:r>
          </w:p>
        </w:tc>
      </w:tr>
      <w:tr>
        <w:tc>
          <w:tcPr>
            <w:tcW w:type="dxa" w:w="2880"/>
          </w:tcPr>
          <w:p>
            <w:pPr>
              <w:spacing w:line="240" w:lineRule="auto" w:before="40" w:after="40"/>
              <w:jc w:val="left"/>
            </w:pPr>
            <w:r>
              <w:rPr>
                <w:rFonts w:ascii="Times New Roman" w:hAnsi="Times New Roman"/>
                <w:sz w:val="24"/>
              </w:rPr>
              <w:t>Bandwidth</w:t>
            </w:r>
          </w:p>
        </w:tc>
        <w:tc>
          <w:tcPr>
            <w:tcW w:type="dxa" w:w="5760"/>
          </w:tcPr>
          <w:p>
            <w:pPr>
              <w:spacing w:line="240" w:lineRule="auto" w:before="40" w:after="40"/>
              <w:jc w:val="left"/>
            </w:pPr>
            <w:r>
              <w:rPr>
                <w:rFonts w:ascii="Times New Roman" w:hAnsi="Times New Roman"/>
                <w:sz w:val="24"/>
              </w:rPr>
              <w:t>Negotiated at scale</w:t>
            </w:r>
          </w:p>
        </w:tc>
      </w:tr>
      <w:tr>
        <w:tc>
          <w:tcPr>
            <w:tcW w:type="dxa" w:w="2880"/>
          </w:tcPr>
          <w:p>
            <w:pPr>
              <w:spacing w:line="240" w:lineRule="auto" w:before="40" w:after="40"/>
              <w:jc w:val="left"/>
            </w:pPr>
            <w:r>
              <w:rPr>
                <w:rFonts w:ascii="Times New Roman" w:hAnsi="Times New Roman"/>
                <w:sz w:val="24"/>
              </w:rPr>
              <w:t>Operations</w:t>
            </w:r>
          </w:p>
        </w:tc>
        <w:tc>
          <w:tcPr>
            <w:tcW w:type="dxa" w:w="5760"/>
          </w:tcPr>
          <w:p>
            <w:pPr>
              <w:spacing w:line="240" w:lineRule="auto" w:before="40" w:after="40"/>
              <w:jc w:val="left"/>
            </w:pPr>
            <w:r>
              <w:rPr>
                <w:rFonts w:ascii="Times New Roman" w:hAnsi="Times New Roman"/>
                <w:sz w:val="24"/>
              </w:rPr>
              <w:t>Highly automated</w:t>
            </w:r>
          </w:p>
        </w:tc>
      </w:tr>
      <w:tr>
        <w:tc>
          <w:tcPr>
            <w:tcW w:type="dxa" w:w="2880"/>
          </w:tcPr>
          <w:p>
            <w:pPr>
              <w:spacing w:line="240" w:lineRule="auto" w:before="40" w:after="40"/>
              <w:jc w:val="left"/>
            </w:pPr>
            <w:r>
              <w:rPr>
                <w:rFonts w:ascii="Times New Roman" w:hAnsi="Times New Roman"/>
                <w:sz w:val="24"/>
              </w:rPr>
              <w:t>Users</w:t>
            </w:r>
          </w:p>
        </w:tc>
        <w:tc>
          <w:tcPr>
            <w:tcW w:type="dxa" w:w="5760"/>
          </w:tcPr>
          <w:p>
            <w:pPr>
              <w:spacing w:line="240" w:lineRule="auto" w:before="40" w:after="40"/>
              <w:jc w:val="left"/>
            </w:pPr>
            <w:r>
              <w:rPr>
                <w:rFonts w:ascii="Times New Roman" w:hAnsi="Times New Roman"/>
                <w:sz w:val="24"/>
              </w:rPr>
              <w:t>Hundreds of millions</w:t>
            </w:r>
          </w:p>
        </w:tc>
      </w:tr>
    </w:tbl>
    <w:p>
      <w:pPr>
        <w:spacing w:before="120"/>
      </w:pPr>
    </w:p>
    <w:p>
      <w:pPr>
        <w:pStyle w:val="ListNumber"/>
      </w:pPr>
      <w:r>
        <w:rPr>
          <w:rFonts w:ascii="Times New Roman" w:hAnsi="Times New Roman"/>
          <w:sz w:val="24"/>
        </w:rPr>
        <w:t>Economies of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086"/>
          </w:tcPr>
          <w:p>
            <w:pPr>
              <w:spacing w:line="240" w:lineRule="auto" w:before="40" w:after="40"/>
              <w:jc w:val="center"/>
            </w:pPr>
            <w:r>
              <w:rPr>
                <w:rFonts w:ascii="Times New Roman" w:hAnsi="Times New Roman"/>
                <w:b/>
                <w:sz w:val="24"/>
              </w:rPr>
              <w:t>Number of Users</w:t>
            </w:r>
          </w:p>
        </w:tc>
        <w:tc>
          <w:tcPr>
            <w:tcW w:type="dxa" w:w="2880"/>
          </w:tcPr>
          <w:p>
            <w:pPr>
              <w:spacing w:line="240" w:lineRule="auto" w:before="40" w:after="40"/>
              <w:jc w:val="center"/>
            </w:pPr>
            <w:r>
              <w:rPr>
                <w:rFonts w:ascii="Times New Roman" w:hAnsi="Times New Roman"/>
                <w:b/>
                <w:sz w:val="24"/>
              </w:rPr>
              <w:t>Total Cost</w:t>
            </w:r>
          </w:p>
        </w:tc>
        <w:tc>
          <w:tcPr>
            <w:tcW w:type="dxa" w:w="2674"/>
          </w:tcPr>
          <w:p>
            <w:pPr>
              <w:spacing w:line="240" w:lineRule="auto" w:before="40" w:after="40"/>
              <w:jc w:val="center"/>
            </w:pPr>
            <w:r>
              <w:rPr>
                <w:rFonts w:ascii="Times New Roman" w:hAnsi="Times New Roman"/>
                <w:b/>
                <w:sz w:val="24"/>
              </w:rPr>
              <w:t>Cost per User</w:t>
            </w:r>
          </w:p>
        </w:tc>
      </w:tr>
      <w:tr>
        <w:tc>
          <w:tcPr>
            <w:tcW w:type="dxa" w:w="3086"/>
          </w:tcPr>
          <w:p>
            <w:pPr>
              <w:spacing w:line="240" w:lineRule="auto" w:before="40" w:after="40"/>
              <w:jc w:val="right"/>
            </w:pPr>
            <w:r>
              <w:rPr>
                <w:rFonts w:ascii="Times New Roman" w:hAnsi="Times New Roman"/>
                <w:sz w:val="24"/>
              </w:rPr>
              <w:t>1,000</w:t>
            </w:r>
          </w:p>
        </w:tc>
        <w:tc>
          <w:tcPr>
            <w:tcW w:type="dxa" w:w="2880"/>
          </w:tcPr>
          <w:p>
            <w:pPr>
              <w:spacing w:line="240" w:lineRule="auto" w:before="40" w:after="40"/>
              <w:jc w:val="left"/>
            </w:pPr>
            <w:r>
              <w:rPr>
                <w:rFonts w:ascii="Times New Roman" w:hAnsi="Times New Roman"/>
                <w:sz w:val="24"/>
              </w:rPr>
              <w:t>$100,000</w:t>
            </w:r>
          </w:p>
        </w:tc>
        <w:tc>
          <w:tcPr>
            <w:tcW w:type="dxa" w:w="2674"/>
          </w:tcPr>
          <w:p>
            <w:pPr>
              <w:spacing w:line="240" w:lineRule="auto" w:before="40" w:after="40"/>
              <w:jc w:val="left"/>
            </w:pPr>
            <w:r>
              <w:rPr>
                <w:rFonts w:ascii="Times New Roman" w:hAnsi="Times New Roman"/>
                <w:sz w:val="24"/>
              </w:rPr>
              <w:t>$100</w:t>
            </w:r>
          </w:p>
        </w:tc>
      </w:tr>
      <w:tr>
        <w:tc>
          <w:tcPr>
            <w:tcW w:type="dxa" w:w="3086"/>
          </w:tcPr>
          <w:p>
            <w:pPr>
              <w:spacing w:line="240" w:lineRule="auto" w:before="40" w:after="40"/>
              <w:jc w:val="right"/>
            </w:pPr>
            <w:r>
              <w:rPr>
                <w:rFonts w:ascii="Times New Roman" w:hAnsi="Times New Roman"/>
                <w:sz w:val="24"/>
              </w:rPr>
              <w:t>1,000,000</w:t>
            </w:r>
          </w:p>
        </w:tc>
        <w:tc>
          <w:tcPr>
            <w:tcW w:type="dxa" w:w="2880"/>
          </w:tcPr>
          <w:p>
            <w:pPr>
              <w:spacing w:line="240" w:lineRule="auto" w:before="40" w:after="40"/>
              <w:jc w:val="left"/>
            </w:pPr>
            <w:r>
              <w:rPr>
                <w:rFonts w:ascii="Times New Roman" w:hAnsi="Times New Roman"/>
                <w:sz w:val="24"/>
              </w:rPr>
              <w:t>$50,000,000</w:t>
            </w:r>
          </w:p>
        </w:tc>
        <w:tc>
          <w:tcPr>
            <w:tcW w:type="dxa" w:w="2674"/>
          </w:tcPr>
          <w:p>
            <w:pPr>
              <w:spacing w:line="240" w:lineRule="auto" w:before="40" w:after="40"/>
              <w:jc w:val="left"/>
            </w:pPr>
            <w:r>
              <w:rPr>
                <w:rFonts w:ascii="Times New Roman" w:hAnsi="Times New Roman"/>
                <w:sz w:val="24"/>
              </w:rPr>
              <w:t>$50</w:t>
            </w:r>
          </w:p>
        </w:tc>
      </w:tr>
      <w:tr>
        <w:tc>
          <w:tcPr>
            <w:tcW w:type="dxa" w:w="3086"/>
          </w:tcPr>
          <w:p>
            <w:pPr>
              <w:spacing w:line="240" w:lineRule="auto" w:before="40" w:after="40"/>
              <w:jc w:val="right"/>
            </w:pPr>
            <w:r>
              <w:rPr>
                <w:rFonts w:ascii="Times New Roman" w:hAnsi="Times New Roman"/>
                <w:sz w:val="24"/>
              </w:rPr>
              <w:t>100,000,000</w:t>
            </w:r>
          </w:p>
        </w:tc>
        <w:tc>
          <w:tcPr>
            <w:tcW w:type="dxa" w:w="2880"/>
          </w:tcPr>
          <w:p>
            <w:pPr>
              <w:spacing w:line="240" w:lineRule="auto" w:before="40" w:after="40"/>
              <w:jc w:val="left"/>
            </w:pPr>
            <w:r>
              <w:rPr>
                <w:rFonts w:ascii="Times New Roman" w:hAnsi="Times New Roman"/>
                <w:sz w:val="24"/>
              </w:rPr>
              <w:t>$1,000,000,000</w:t>
            </w:r>
          </w:p>
        </w:tc>
        <w:tc>
          <w:tcPr>
            <w:tcW w:type="dxa" w:w="2674"/>
          </w:tcPr>
          <w:p>
            <w:pPr>
              <w:spacing w:line="240" w:lineRule="auto" w:before="40" w:after="40"/>
              <w:jc w:val="left"/>
            </w:pPr>
            <w:r>
              <w:rPr>
                <w:rFonts w:ascii="Times New Roman" w:hAnsi="Times New Roman"/>
                <w:sz w:val="24"/>
              </w:rPr>
              <w:t>$10</w:t>
            </w:r>
          </w:p>
        </w:tc>
      </w:tr>
    </w:tbl>
    <w:p>
      <w:pPr>
        <w:spacing w:before="120"/>
      </w:pPr>
    </w:p>
    <w:p>
      <w:pPr>
        <w:pStyle w:val="Heading2"/>
      </w:pPr>
      <w:r>
        <w:rPr>
          <w:rFonts w:ascii="Times New Roman" w:hAnsi="Times New Roman"/>
          <w:b/>
          <w:color w:val="000000"/>
          <w:sz w:val="24"/>
        </w:rPr>
        <w:t>Key Observation</w:t>
      </w:r>
    </w:p>
    <w:p>
      <w:pPr>
        <w:pStyle w:val="Heading2"/>
      </w:pPr>
      <w:r>
        <w:rPr>
          <w:rFonts w:ascii="Times New Roman" w:hAnsi="Times New Roman"/>
          <w:b/>
          <w:color w:val="000000"/>
          <w:sz w:val="24"/>
        </w:rPr>
        <w:t>Total cost increases</w:t>
      </w:r>
    </w:p>
    <w:p>
      <w:pPr>
        <w:pStyle w:val="Heading2"/>
      </w:pPr>
      <w:r>
        <w:rPr>
          <w:rFonts w:ascii="Times New Roman" w:hAnsi="Times New Roman"/>
          <w:b/>
          <w:color w:val="000000"/>
          <w:sz w:val="24"/>
        </w:rPr>
        <w:t>Cost per user decreases sharply</w:t>
      </w:r>
    </w:p>
    <w:p>
      <w:pPr>
        <w:pStyle w:val="ListNumber"/>
      </w:pPr>
      <w:r>
        <w:rPr>
          <w:rFonts w:ascii="Times New Roman" w:hAnsi="Times New Roman"/>
          <w:sz w:val="24"/>
        </w:rPr>
        <w:t>Why the Cloud Enables This Scale</w:t>
      </w:r>
    </w:p>
    <w:p>
      <w:pPr>
        <w:pStyle w:val="AcademicBody"/>
        <w:spacing w:line="360" w:lineRule="auto"/>
        <w:jc w:val="both"/>
      </w:pPr>
      <w:r>
        <w:rPr>
          <w:rFonts w:ascii="Times New Roman" w:hAnsi="Times New Roman"/>
          <w:sz w:val="24"/>
        </w:rPr>
        <w:t>Cloud providers (AWS, Google Cloud, Azure):</w:t>
      </w:r>
    </w:p>
    <w:tbl>
      <w:tblPr>
        <w:tblStyle w:val="TableGrid"/>
        <w:tblW w:type="auto" w:w="0"/>
        <w:tblLayout w:type="autofit"/>
        <w:tblLook w:firstColumn="1" w:firstRow="1" w:lastColumn="0" w:lastRow="0" w:noHBand="0" w:noVBand="1" w:val="04A0"/>
      </w:tblPr>
      <w:tblGrid>
        <w:gridCol w:w="4680"/>
        <w:gridCol w:w="4680"/>
      </w:tblGrid>
      <w:tr>
        <w:tc>
          <w:tcPr>
            <w:tcW w:type="dxa" w:w="3299"/>
          </w:tcPr>
          <w:p>
            <w:pPr>
              <w:spacing w:line="240" w:lineRule="auto" w:before="40" w:after="40"/>
              <w:jc w:val="center"/>
            </w:pPr>
            <w:r>
              <w:rPr>
                <w:rFonts w:ascii="Times New Roman" w:hAnsi="Times New Roman"/>
                <w:b/>
                <w:sz w:val="24"/>
              </w:rPr>
              <w:t>Advantage</w:t>
            </w:r>
          </w:p>
        </w:tc>
        <w:tc>
          <w:tcPr>
            <w:tcW w:type="dxa" w:w="5341"/>
          </w:tcPr>
          <w:p>
            <w:pPr>
              <w:spacing w:line="240" w:lineRule="auto" w:before="40" w:after="40"/>
              <w:jc w:val="center"/>
            </w:pPr>
            <w:r>
              <w:rPr>
                <w:rFonts w:ascii="Times New Roman" w:hAnsi="Times New Roman"/>
                <w:b/>
                <w:sz w:val="24"/>
              </w:rPr>
              <w:t>Practical Meaning</w:t>
            </w:r>
          </w:p>
        </w:tc>
      </w:tr>
      <w:tr>
        <w:tc>
          <w:tcPr>
            <w:tcW w:type="dxa" w:w="3299"/>
          </w:tcPr>
          <w:p>
            <w:pPr>
              <w:spacing w:line="240" w:lineRule="auto" w:before="40" w:after="40"/>
              <w:jc w:val="left"/>
            </w:pPr>
            <w:r>
              <w:rPr>
                <w:rFonts w:ascii="Times New Roman" w:hAnsi="Times New Roman"/>
                <w:sz w:val="24"/>
              </w:rPr>
              <w:t>Bulk hardware buying</w:t>
            </w:r>
          </w:p>
        </w:tc>
        <w:tc>
          <w:tcPr>
            <w:tcW w:type="dxa" w:w="5341"/>
          </w:tcPr>
          <w:p>
            <w:pPr>
              <w:spacing w:line="240" w:lineRule="auto" w:before="40" w:after="40"/>
              <w:jc w:val="left"/>
            </w:pPr>
            <w:r>
              <w:rPr>
                <w:rFonts w:ascii="Times New Roman" w:hAnsi="Times New Roman"/>
                <w:sz w:val="24"/>
              </w:rPr>
              <w:t>Servers are cheaper</w:t>
            </w:r>
          </w:p>
        </w:tc>
      </w:tr>
      <w:tr>
        <w:tc>
          <w:tcPr>
            <w:tcW w:type="dxa" w:w="3299"/>
          </w:tcPr>
          <w:p>
            <w:pPr>
              <w:spacing w:line="240" w:lineRule="auto" w:before="40" w:after="40"/>
              <w:jc w:val="left"/>
            </w:pPr>
            <w:r>
              <w:rPr>
                <w:rFonts w:ascii="Times New Roman" w:hAnsi="Times New Roman"/>
                <w:sz w:val="24"/>
              </w:rPr>
              <w:t>Shared infrastructure</w:t>
            </w:r>
          </w:p>
        </w:tc>
        <w:tc>
          <w:tcPr>
            <w:tcW w:type="dxa" w:w="5341"/>
          </w:tcPr>
          <w:p>
            <w:pPr>
              <w:spacing w:line="240" w:lineRule="auto" w:before="40" w:after="40"/>
              <w:jc w:val="left"/>
            </w:pPr>
            <w:r>
              <w:rPr>
                <w:rFonts w:ascii="Times New Roman" w:hAnsi="Times New Roman"/>
                <w:sz w:val="24"/>
              </w:rPr>
              <w:t>Costs spread across many companies</w:t>
            </w:r>
          </w:p>
        </w:tc>
      </w:tr>
      <w:tr>
        <w:tc>
          <w:tcPr>
            <w:tcW w:type="dxa" w:w="3299"/>
          </w:tcPr>
          <w:p>
            <w:pPr>
              <w:spacing w:line="240" w:lineRule="auto" w:before="40" w:after="40"/>
              <w:jc w:val="left"/>
            </w:pPr>
            <w:r>
              <w:rPr>
                <w:rFonts w:ascii="Times New Roman" w:hAnsi="Times New Roman"/>
                <w:sz w:val="24"/>
              </w:rPr>
              <w:t>Automation</w:t>
            </w:r>
          </w:p>
        </w:tc>
        <w:tc>
          <w:tcPr>
            <w:tcW w:type="dxa" w:w="5341"/>
          </w:tcPr>
          <w:p>
            <w:pPr>
              <w:spacing w:line="240" w:lineRule="auto" w:before="40" w:after="40"/>
              <w:jc w:val="left"/>
            </w:pPr>
            <w:r>
              <w:rPr>
                <w:rFonts w:ascii="Times New Roman" w:hAnsi="Times New Roman"/>
                <w:sz w:val="24"/>
              </w:rPr>
              <w:t>Fewer human workers</w:t>
            </w:r>
          </w:p>
        </w:tc>
      </w:tr>
      <w:tr>
        <w:tc>
          <w:tcPr>
            <w:tcW w:type="dxa" w:w="3299"/>
          </w:tcPr>
          <w:p>
            <w:pPr>
              <w:spacing w:line="240" w:lineRule="auto" w:before="40" w:after="40"/>
              <w:jc w:val="left"/>
            </w:pPr>
            <w:r>
              <w:rPr>
                <w:rFonts w:ascii="Times New Roman" w:hAnsi="Times New Roman"/>
                <w:sz w:val="24"/>
              </w:rPr>
              <w:t>Global data centers</w:t>
            </w:r>
          </w:p>
        </w:tc>
        <w:tc>
          <w:tcPr>
            <w:tcW w:type="dxa" w:w="5341"/>
          </w:tcPr>
          <w:p>
            <w:pPr>
              <w:spacing w:line="240" w:lineRule="auto" w:before="40" w:after="40"/>
              <w:jc w:val="left"/>
            </w:pPr>
            <w:r>
              <w:rPr>
                <w:rFonts w:ascii="Times New Roman" w:hAnsi="Times New Roman"/>
                <w:sz w:val="24"/>
              </w:rPr>
              <w:t>Faster delivery worldwide</w:t>
            </w:r>
          </w:p>
        </w:tc>
      </w:tr>
      <w:tr>
        <w:tc>
          <w:tcPr>
            <w:tcW w:type="dxa" w:w="3299"/>
          </w:tcPr>
          <w:p>
            <w:pPr>
              <w:spacing w:line="240" w:lineRule="auto" w:before="40" w:after="40"/>
              <w:jc w:val="left"/>
            </w:pPr>
            <w:r>
              <w:rPr>
                <w:rFonts w:ascii="Times New Roman" w:hAnsi="Times New Roman"/>
                <w:sz w:val="24"/>
              </w:rPr>
              <w:t>Elastic scaling</w:t>
            </w:r>
          </w:p>
        </w:tc>
        <w:tc>
          <w:tcPr>
            <w:tcW w:type="dxa" w:w="5341"/>
          </w:tcPr>
          <w:p>
            <w:pPr>
              <w:spacing w:line="240" w:lineRule="auto" w:before="40" w:after="40"/>
              <w:jc w:val="left"/>
            </w:pPr>
            <w:r>
              <w:rPr>
                <w:rFonts w:ascii="Times New Roman" w:hAnsi="Times New Roman"/>
                <w:sz w:val="24"/>
              </w:rPr>
              <w:t>Resources grow instantly</w:t>
            </w:r>
          </w:p>
        </w:tc>
      </w:tr>
    </w:tbl>
    <w:p>
      <w:pPr>
        <w:spacing w:before="120"/>
      </w:pPr>
    </w:p>
    <w:p>
      <w:pPr>
        <w:pStyle w:val="AcademicBody"/>
        <w:spacing w:line="360" w:lineRule="auto"/>
        <w:jc w:val="both"/>
      </w:pPr>
      <w:r>
        <w:rPr>
          <w:rFonts w:ascii="Times New Roman" w:hAnsi="Times New Roman"/>
          <w:sz w:val="24"/>
        </w:rPr>
        <w:t>Netflix benefits without owning everything.</w:t>
      </w:r>
    </w:p>
    <w:p>
      <w:pPr>
        <w:spacing w:line="360" w:lineRule="auto"/>
        <w:ind w:left="0" w:firstLine="0"/>
        <w:jc w:val="both"/>
      </w:pPr>
      <w:r>
        <w:rPr>
          <w:rFonts w:ascii="Times New Roman" w:hAnsi="Times New Roman"/>
          <w:sz w:val="24"/>
        </w:rPr>
        <w:t>9. How Netflix Uses the Cloud Practically</w:t>
      </w:r>
    </w:p>
    <w:tbl>
      <w:tblPr>
        <w:tblStyle w:val="TableGrid"/>
        <w:tblW w:type="auto" w:w="0"/>
        <w:tblLayout w:type="autofit"/>
        <w:tblLook w:firstColumn="1" w:firstRow="1" w:lastColumn="0" w:lastRow="0" w:noHBand="0" w:noVBand="1" w:val="04A0"/>
      </w:tblPr>
      <w:tblGrid>
        <w:gridCol w:w="4680"/>
        <w:gridCol w:w="4680"/>
      </w:tblGrid>
      <w:tr>
        <w:tc>
          <w:tcPr>
            <w:tcW w:type="dxa" w:w="3840"/>
          </w:tcPr>
          <w:p>
            <w:pPr>
              <w:spacing w:line="240" w:lineRule="auto" w:before="40" w:after="40"/>
              <w:jc w:val="center"/>
            </w:pPr>
            <w:r>
              <w:rPr>
                <w:rFonts w:ascii="Times New Roman" w:hAnsi="Times New Roman"/>
                <w:b/>
                <w:sz w:val="24"/>
              </w:rPr>
              <w:t>Netflix Action</w:t>
            </w:r>
          </w:p>
        </w:tc>
        <w:tc>
          <w:tcPr>
            <w:tcW w:type="dxa" w:w="4800"/>
          </w:tcPr>
          <w:p>
            <w:pPr>
              <w:spacing w:line="240" w:lineRule="auto" w:before="40" w:after="40"/>
              <w:jc w:val="center"/>
            </w:pPr>
            <w:r>
              <w:rPr>
                <w:rFonts w:ascii="Times New Roman" w:hAnsi="Times New Roman"/>
                <w:b/>
                <w:sz w:val="24"/>
              </w:rPr>
              <w:t>Cloud Benefit</w:t>
            </w:r>
          </w:p>
        </w:tc>
      </w:tr>
      <w:tr>
        <w:tc>
          <w:tcPr>
            <w:tcW w:type="dxa" w:w="3840"/>
          </w:tcPr>
          <w:p>
            <w:pPr>
              <w:spacing w:line="240" w:lineRule="auto" w:before="40" w:after="40"/>
              <w:jc w:val="left"/>
            </w:pPr>
            <w:r>
              <w:rPr>
                <w:rFonts w:ascii="Times New Roman" w:hAnsi="Times New Roman"/>
                <w:sz w:val="24"/>
              </w:rPr>
              <w:t>New show release</w:t>
            </w:r>
          </w:p>
        </w:tc>
        <w:tc>
          <w:tcPr>
            <w:tcW w:type="dxa" w:w="4800"/>
          </w:tcPr>
          <w:p>
            <w:pPr>
              <w:spacing w:line="240" w:lineRule="auto" w:before="40" w:after="40"/>
              <w:jc w:val="left"/>
            </w:pPr>
            <w:r>
              <w:rPr>
                <w:rFonts w:ascii="Times New Roman" w:hAnsi="Times New Roman"/>
                <w:sz w:val="24"/>
              </w:rPr>
              <w:t>Instantly scales servers</w:t>
            </w:r>
          </w:p>
        </w:tc>
      </w:tr>
      <w:tr>
        <w:tc>
          <w:tcPr>
            <w:tcW w:type="dxa" w:w="3840"/>
          </w:tcPr>
          <w:p>
            <w:pPr>
              <w:spacing w:line="240" w:lineRule="auto" w:before="40" w:after="40"/>
              <w:jc w:val="left"/>
            </w:pPr>
            <w:r>
              <w:rPr>
                <w:rFonts w:ascii="Times New Roman" w:hAnsi="Times New Roman"/>
                <w:sz w:val="24"/>
              </w:rPr>
              <w:t>Peak weekend viewing</w:t>
            </w:r>
          </w:p>
        </w:tc>
        <w:tc>
          <w:tcPr>
            <w:tcW w:type="dxa" w:w="4800"/>
          </w:tcPr>
          <w:p>
            <w:pPr>
              <w:spacing w:line="240" w:lineRule="auto" w:before="40" w:after="40"/>
              <w:jc w:val="left"/>
            </w:pPr>
            <w:r>
              <w:rPr>
                <w:rFonts w:ascii="Times New Roman" w:hAnsi="Times New Roman"/>
                <w:sz w:val="24"/>
              </w:rPr>
              <w:t>Pays only for extra usage</w:t>
            </w:r>
          </w:p>
        </w:tc>
      </w:tr>
      <w:tr>
        <w:tc>
          <w:tcPr>
            <w:tcW w:type="dxa" w:w="3840"/>
          </w:tcPr>
          <w:p>
            <w:pPr>
              <w:spacing w:line="240" w:lineRule="auto" w:before="40" w:after="40"/>
              <w:jc w:val="left"/>
            </w:pPr>
            <w:r>
              <w:rPr>
                <w:rFonts w:ascii="Times New Roman" w:hAnsi="Times New Roman"/>
                <w:sz w:val="24"/>
              </w:rPr>
              <w:t>Low viewing hours</w:t>
            </w:r>
          </w:p>
        </w:tc>
        <w:tc>
          <w:tcPr>
            <w:tcW w:type="dxa" w:w="4800"/>
          </w:tcPr>
          <w:p>
            <w:pPr>
              <w:spacing w:line="240" w:lineRule="auto" w:before="40" w:after="40"/>
              <w:jc w:val="left"/>
            </w:pPr>
            <w:r>
              <w:rPr>
                <w:rFonts w:ascii="Times New Roman" w:hAnsi="Times New Roman"/>
                <w:sz w:val="24"/>
              </w:rPr>
              <w:t>Scales down to save cost</w:t>
            </w:r>
          </w:p>
        </w:tc>
      </w:tr>
      <w:tr>
        <w:tc>
          <w:tcPr>
            <w:tcW w:type="dxa" w:w="3840"/>
          </w:tcPr>
          <w:p>
            <w:pPr>
              <w:spacing w:line="240" w:lineRule="auto" w:before="40" w:after="40"/>
              <w:jc w:val="left"/>
            </w:pPr>
            <w:r>
              <w:rPr>
                <w:rFonts w:ascii="Times New Roman" w:hAnsi="Times New Roman"/>
                <w:sz w:val="24"/>
              </w:rPr>
              <w:t>Global audience</w:t>
            </w:r>
          </w:p>
        </w:tc>
        <w:tc>
          <w:tcPr>
            <w:tcW w:type="dxa" w:w="4800"/>
          </w:tcPr>
          <w:p>
            <w:pPr>
              <w:spacing w:line="240" w:lineRule="auto" w:before="40" w:after="40"/>
              <w:jc w:val="left"/>
            </w:pPr>
            <w:r>
              <w:rPr>
                <w:rFonts w:ascii="Times New Roman" w:hAnsi="Times New Roman"/>
                <w:sz w:val="24"/>
              </w:rPr>
              <w:t>Uses nearby data centers</w:t>
            </w:r>
          </w:p>
        </w:tc>
      </w:tr>
    </w:tbl>
    <w:p>
      <w:pPr>
        <w:spacing w:before="120"/>
      </w:pPr>
    </w:p>
    <w:p>
      <w:pPr>
        <w:spacing w:line="360" w:lineRule="auto"/>
        <w:ind w:left="0" w:firstLine="0"/>
        <w:jc w:val="both"/>
      </w:pPr>
      <w:r>
        <w:rPr>
          <w:rFonts w:ascii="Times New Roman" w:hAnsi="Times New Roman"/>
          <w:sz w:val="24"/>
        </w:rPr>
        <w:t>10. Product Cost Perspective (Per Viewer)</w:t>
      </w:r>
    </w:p>
    <w:tbl>
      <w:tblPr>
        <w:tblStyle w:val="TableGrid"/>
        <w:tblW w:type="auto" w:w="0"/>
        <w:tblLayout w:type="autofit"/>
        <w:tblLook w:firstColumn="1" w:firstRow="1" w:lastColumn="0" w:lastRow="0" w:noHBand="0" w:noVBand="1" w:val="04A0"/>
      </w:tblPr>
      <w:tblGrid>
        <w:gridCol w:w="4680"/>
        <w:gridCol w:w="4680"/>
      </w:tblGrid>
      <w:tr>
        <w:tc>
          <w:tcPr>
            <w:tcW w:type="dxa" w:w="4412"/>
          </w:tcPr>
          <w:p>
            <w:pPr>
              <w:spacing w:line="240" w:lineRule="auto" w:before="40" w:after="40"/>
              <w:jc w:val="center"/>
            </w:pPr>
            <w:r>
              <w:rPr>
                <w:rFonts w:ascii="Times New Roman" w:hAnsi="Times New Roman"/>
                <w:b/>
                <w:sz w:val="24"/>
              </w:rPr>
              <w:t>Metric</w:t>
            </w:r>
          </w:p>
        </w:tc>
        <w:tc>
          <w:tcPr>
            <w:tcW w:type="dxa" w:w="4228"/>
          </w:tcPr>
          <w:p>
            <w:pPr>
              <w:spacing w:line="240" w:lineRule="auto" w:before="40" w:after="40"/>
              <w:jc w:val="center"/>
            </w:pPr>
            <w:r>
              <w:rPr>
                <w:rFonts w:ascii="Times New Roman" w:hAnsi="Times New Roman"/>
                <w:b/>
                <w:sz w:val="24"/>
              </w:rPr>
              <w:t>Reality</w:t>
            </w:r>
          </w:p>
        </w:tc>
      </w:tr>
      <w:tr>
        <w:tc>
          <w:tcPr>
            <w:tcW w:type="dxa" w:w="4412"/>
          </w:tcPr>
          <w:p>
            <w:pPr>
              <w:spacing w:line="240" w:lineRule="auto" w:before="40" w:after="40"/>
              <w:jc w:val="left"/>
            </w:pPr>
            <w:r>
              <w:rPr>
                <w:rFonts w:ascii="Times New Roman" w:hAnsi="Times New Roman"/>
                <w:sz w:val="24"/>
              </w:rPr>
              <w:t>Cost to stream one video</w:t>
            </w:r>
          </w:p>
        </w:tc>
        <w:tc>
          <w:tcPr>
            <w:tcW w:type="dxa" w:w="4228"/>
          </w:tcPr>
          <w:p>
            <w:pPr>
              <w:spacing w:line="240" w:lineRule="auto" w:before="40" w:after="40"/>
              <w:jc w:val="left"/>
            </w:pPr>
            <w:r>
              <w:rPr>
                <w:rFonts w:ascii="Times New Roman" w:hAnsi="Times New Roman"/>
                <w:sz w:val="24"/>
              </w:rPr>
              <w:t>Very small</w:t>
            </w:r>
          </w:p>
        </w:tc>
      </w:tr>
      <w:tr>
        <w:tc>
          <w:tcPr>
            <w:tcW w:type="dxa" w:w="4412"/>
          </w:tcPr>
          <w:p>
            <w:pPr>
              <w:spacing w:line="240" w:lineRule="auto" w:before="40" w:after="40"/>
              <w:jc w:val="left"/>
            </w:pPr>
            <w:r>
              <w:rPr>
                <w:rFonts w:ascii="Times New Roman" w:hAnsi="Times New Roman"/>
                <w:sz w:val="24"/>
              </w:rPr>
              <w:t>Cost per user</w:t>
            </w:r>
          </w:p>
        </w:tc>
        <w:tc>
          <w:tcPr>
            <w:tcW w:type="dxa" w:w="4228"/>
          </w:tcPr>
          <w:p>
            <w:pPr>
              <w:spacing w:line="240" w:lineRule="auto" w:before="40" w:after="40"/>
              <w:jc w:val="left"/>
            </w:pPr>
            <w:r>
              <w:rPr>
                <w:rFonts w:ascii="Times New Roman" w:hAnsi="Times New Roman"/>
                <w:sz w:val="24"/>
              </w:rPr>
              <w:t>Drops as users increase</w:t>
            </w:r>
          </w:p>
        </w:tc>
      </w:tr>
      <w:tr>
        <w:tc>
          <w:tcPr>
            <w:tcW w:type="dxa" w:w="4412"/>
          </w:tcPr>
          <w:p>
            <w:pPr>
              <w:spacing w:line="240" w:lineRule="auto" w:before="40" w:after="40"/>
              <w:jc w:val="left"/>
            </w:pPr>
            <w:r>
              <w:rPr>
                <w:rFonts w:ascii="Times New Roman" w:hAnsi="Times New Roman"/>
                <w:sz w:val="24"/>
              </w:rPr>
              <w:t>User experience</w:t>
            </w:r>
          </w:p>
        </w:tc>
        <w:tc>
          <w:tcPr>
            <w:tcW w:type="dxa" w:w="4228"/>
          </w:tcPr>
          <w:p>
            <w:pPr>
              <w:spacing w:line="240" w:lineRule="auto" w:before="40" w:after="40"/>
              <w:jc w:val="left"/>
            </w:pPr>
            <w:r>
              <w:rPr>
                <w:rFonts w:ascii="Times New Roman" w:hAnsi="Times New Roman"/>
                <w:sz w:val="24"/>
              </w:rPr>
              <w:t>High quality</w:t>
            </w:r>
          </w:p>
        </w:tc>
      </w:tr>
      <w:tr>
        <w:tc>
          <w:tcPr>
            <w:tcW w:type="dxa" w:w="4412"/>
          </w:tcPr>
          <w:p>
            <w:pPr>
              <w:spacing w:line="240" w:lineRule="auto" w:before="40" w:after="40"/>
              <w:jc w:val="left"/>
            </w:pPr>
            <w:r>
              <w:rPr>
                <w:rFonts w:ascii="Times New Roman" w:hAnsi="Times New Roman"/>
                <w:sz w:val="24"/>
              </w:rPr>
              <w:t>Business sustainability</w:t>
            </w:r>
          </w:p>
        </w:tc>
        <w:tc>
          <w:tcPr>
            <w:tcW w:type="dxa" w:w="4228"/>
          </w:tcPr>
          <w:p>
            <w:pPr>
              <w:spacing w:line="240" w:lineRule="auto" w:before="40" w:after="40"/>
              <w:jc w:val="left"/>
            </w:pPr>
            <w:r>
              <w:rPr>
                <w:rFonts w:ascii="Times New Roman" w:hAnsi="Times New Roman"/>
                <w:sz w:val="24"/>
              </w:rPr>
              <w:t>Strong</w:t>
            </w:r>
          </w:p>
        </w:tc>
      </w:tr>
    </w:tbl>
    <w:p>
      <w:pPr>
        <w:spacing w:before="120"/>
      </w:pPr>
    </w:p>
    <w:p>
      <w:pPr>
        <w:pStyle w:val="AcademicBody"/>
        <w:spacing w:line="360" w:lineRule="auto"/>
        <w:jc w:val="both"/>
      </w:pPr>
      <w:r>
        <w:rPr>
          <w:rFonts w:ascii="Times New Roman" w:hAnsi="Times New Roman"/>
          <w:sz w:val="24"/>
        </w:rPr>
        <w:t>This is why:</w:t>
      </w:r>
    </w:p>
    <w:p>
      <w:pPr>
        <w:pStyle w:val="Heading2"/>
      </w:pPr>
      <w:r>
        <w:rPr>
          <w:rFonts w:ascii="Times New Roman" w:hAnsi="Times New Roman"/>
          <w:b/>
          <w:color w:val="000000"/>
          <w:sz w:val="24"/>
        </w:rPr>
        <w:t>Netflix can charge a low monthly fee</w:t>
      </w:r>
    </w:p>
    <w:p>
      <w:pPr>
        <w:pStyle w:val="AcademicBody"/>
        <w:spacing w:line="360" w:lineRule="auto"/>
        <w:jc w:val="both"/>
      </w:pPr>
      <w:r>
        <w:rPr>
          <w:rFonts w:ascii="Times New Roman" w:hAnsi="Times New Roman"/>
          <w:sz w:val="24"/>
        </w:rPr>
        <w:t>YouTube can offer free streaming with ads</w:t>
      </w:r>
    </w:p>
    <w:p>
      <w:pPr>
        <w:spacing w:line="360" w:lineRule="auto"/>
        <w:ind w:left="0" w:firstLine="0"/>
        <w:jc w:val="both"/>
      </w:pPr>
      <w:r>
        <w:rPr>
          <w:rFonts w:ascii="Times New Roman" w:hAnsi="Times New Roman"/>
          <w:sz w:val="24"/>
        </w:rPr>
        <w:t>11. Final Practical Summary</w:t>
      </w:r>
    </w:p>
    <w:tbl>
      <w:tblPr>
        <w:tblStyle w:val="TableGrid"/>
        <w:tblW w:type="auto" w:w="0"/>
        <w:tblLayout w:type="autofit"/>
        <w:tblLook w:firstColumn="1" w:firstRow="1" w:lastColumn="0" w:lastRow="0" w:noHBand="0" w:noVBand="1" w:val="04A0"/>
      </w:tblPr>
      <w:tblGrid>
        <w:gridCol w:w="4680"/>
        <w:gridCol w:w="4680"/>
      </w:tblGrid>
      <w:tr>
        <w:tc>
          <w:tcPr>
            <w:tcW w:type="dxa" w:w="2991"/>
          </w:tcPr>
          <w:p>
            <w:pPr>
              <w:spacing w:line="240" w:lineRule="auto" w:before="40" w:after="40"/>
              <w:jc w:val="center"/>
            </w:pPr>
            <w:r>
              <w:rPr>
                <w:rFonts w:ascii="Times New Roman" w:hAnsi="Times New Roman"/>
                <w:b/>
                <w:sz w:val="24"/>
              </w:rPr>
              <w:t>Concept</w:t>
            </w:r>
          </w:p>
        </w:tc>
        <w:tc>
          <w:tcPr>
            <w:tcW w:type="dxa" w:w="5649"/>
          </w:tcPr>
          <w:p>
            <w:pPr>
              <w:spacing w:line="240" w:lineRule="auto" w:before="40" w:after="40"/>
              <w:jc w:val="center"/>
            </w:pPr>
            <w:r>
              <w:rPr>
                <w:rFonts w:ascii="Times New Roman" w:hAnsi="Times New Roman"/>
                <w:b/>
                <w:sz w:val="24"/>
              </w:rPr>
              <w:t>Netflix Example</w:t>
            </w:r>
          </w:p>
        </w:tc>
      </w:tr>
      <w:tr>
        <w:tc>
          <w:tcPr>
            <w:tcW w:type="dxa" w:w="2991"/>
          </w:tcPr>
          <w:p>
            <w:pPr>
              <w:spacing w:line="240" w:lineRule="auto" w:before="40" w:after="40"/>
              <w:jc w:val="left"/>
            </w:pPr>
            <w:r>
              <w:rPr>
                <w:rFonts w:ascii="Times New Roman" w:hAnsi="Times New Roman"/>
                <w:sz w:val="24"/>
              </w:rPr>
              <w:t>Cloud production</w:t>
            </w:r>
          </w:p>
        </w:tc>
        <w:tc>
          <w:tcPr>
            <w:tcW w:type="dxa" w:w="5649"/>
          </w:tcPr>
          <w:p>
            <w:pPr>
              <w:spacing w:line="240" w:lineRule="auto" w:before="40" w:after="40"/>
              <w:jc w:val="left"/>
            </w:pPr>
            <w:r>
              <w:rPr>
                <w:rFonts w:ascii="Times New Roman" w:hAnsi="Times New Roman"/>
                <w:sz w:val="24"/>
              </w:rPr>
              <w:t>Video streaming on demand</w:t>
            </w:r>
          </w:p>
        </w:tc>
      </w:tr>
      <w:tr>
        <w:tc>
          <w:tcPr>
            <w:tcW w:type="dxa" w:w="2991"/>
          </w:tcPr>
          <w:p>
            <w:pPr>
              <w:spacing w:line="240" w:lineRule="auto" w:before="40" w:after="40"/>
              <w:jc w:val="left"/>
            </w:pPr>
            <w:r>
              <w:rPr>
                <w:rFonts w:ascii="Times New Roman" w:hAnsi="Times New Roman"/>
                <w:sz w:val="24"/>
              </w:rPr>
              <w:t>Product</w:t>
            </w:r>
          </w:p>
        </w:tc>
        <w:tc>
          <w:tcPr>
            <w:tcW w:type="dxa" w:w="5649"/>
          </w:tcPr>
          <w:p>
            <w:pPr>
              <w:spacing w:line="240" w:lineRule="auto" w:before="40" w:after="40"/>
              <w:jc w:val="left"/>
            </w:pPr>
            <w:r>
              <w:rPr>
                <w:rFonts w:ascii="Times New Roman" w:hAnsi="Times New Roman"/>
                <w:sz w:val="24"/>
              </w:rPr>
              <w:t>Real-time video stream</w:t>
            </w:r>
          </w:p>
        </w:tc>
      </w:tr>
      <w:tr>
        <w:tc>
          <w:tcPr>
            <w:tcW w:type="dxa" w:w="2991"/>
          </w:tcPr>
          <w:p>
            <w:pPr>
              <w:spacing w:line="240" w:lineRule="auto" w:before="40" w:after="40"/>
              <w:jc w:val="left"/>
            </w:pPr>
            <w:r>
              <w:rPr>
                <w:rFonts w:ascii="Times New Roman" w:hAnsi="Times New Roman"/>
                <w:sz w:val="24"/>
              </w:rPr>
              <w:t>Economies of scale</w:t>
            </w:r>
          </w:p>
        </w:tc>
        <w:tc>
          <w:tcPr>
            <w:tcW w:type="dxa" w:w="5649"/>
          </w:tcPr>
          <w:p>
            <w:pPr>
              <w:spacing w:line="240" w:lineRule="auto" w:before="40" w:after="40"/>
              <w:jc w:val="left"/>
            </w:pPr>
            <w:r>
              <w:rPr>
                <w:rFonts w:ascii="Times New Roman" w:hAnsi="Times New Roman"/>
                <w:sz w:val="24"/>
              </w:rPr>
              <w:t>Lower cost per viewer</w:t>
            </w:r>
          </w:p>
        </w:tc>
      </w:tr>
      <w:tr>
        <w:tc>
          <w:tcPr>
            <w:tcW w:type="dxa" w:w="2991"/>
          </w:tcPr>
          <w:p>
            <w:pPr>
              <w:spacing w:line="240" w:lineRule="auto" w:before="40" w:after="40"/>
              <w:jc w:val="left"/>
            </w:pPr>
            <w:r>
              <w:rPr>
                <w:rFonts w:ascii="Times New Roman" w:hAnsi="Times New Roman"/>
                <w:sz w:val="24"/>
              </w:rPr>
              <w:t>Cloud role</w:t>
            </w:r>
          </w:p>
        </w:tc>
        <w:tc>
          <w:tcPr>
            <w:tcW w:type="dxa" w:w="5649"/>
          </w:tcPr>
          <w:p>
            <w:pPr>
              <w:spacing w:line="240" w:lineRule="auto" w:before="40" w:after="40"/>
              <w:jc w:val="left"/>
            </w:pPr>
            <w:r>
              <w:rPr>
                <w:rFonts w:ascii="Times New Roman" w:hAnsi="Times New Roman"/>
                <w:sz w:val="24"/>
              </w:rPr>
              <w:t>Enables massive scale</w:t>
            </w:r>
          </w:p>
        </w:tc>
      </w:tr>
      <w:tr>
        <w:tc>
          <w:tcPr>
            <w:tcW w:type="dxa" w:w="2991"/>
          </w:tcPr>
          <w:p>
            <w:pPr>
              <w:spacing w:line="240" w:lineRule="auto" w:before="40" w:after="40"/>
              <w:jc w:val="left"/>
            </w:pPr>
            <w:r>
              <w:rPr>
                <w:rFonts w:ascii="Times New Roman" w:hAnsi="Times New Roman"/>
                <w:sz w:val="24"/>
              </w:rPr>
              <w:t>Business outcome</w:t>
            </w:r>
          </w:p>
        </w:tc>
        <w:tc>
          <w:tcPr>
            <w:tcW w:type="dxa" w:w="5649"/>
          </w:tcPr>
          <w:p>
            <w:pPr>
              <w:spacing w:line="240" w:lineRule="auto" w:before="40" w:after="40"/>
              <w:jc w:val="left"/>
            </w:pPr>
            <w:r>
              <w:rPr>
                <w:rFonts w:ascii="Times New Roman" w:hAnsi="Times New Roman"/>
                <w:sz w:val="24"/>
              </w:rPr>
              <w:t>Cheap per user, profitable overall</w:t>
            </w:r>
          </w:p>
        </w:tc>
      </w:tr>
    </w:tbl>
    <w:p>
      <w:pPr>
        <w:spacing w:before="120"/>
      </w:pPr>
    </w:p>
    <w:p>
      <w:r>
        <w:br w:type="page"/>
      </w:r>
    </w:p>
    <w:p>
      <w:pPr>
        <w:pStyle w:val="Heading1"/>
        <w:spacing w:after="0" w:line="360" w:lineRule="auto"/>
        <w:jc w:val="center"/>
      </w:pPr>
      <w:r>
        <w:rPr>
          <w:rFonts w:ascii="Times New Roman" w:hAnsi="Times New Roman"/>
          <w:b/>
          <w:color w:val="000000"/>
          <w:sz w:val="24"/>
        </w:rPr>
        <w:t>REFERENCES</w:t>
      </w:r>
    </w:p>
    <w:p>
      <w:r>
        <w:rPr>
          <w:rFonts w:ascii="Times New Roman" w:hAnsi="Times New Roman"/>
          <w:sz w:val="24"/>
        </w:rPr>
        <w:t>International Data Corporation (IDC). (2025). "Worldwide Cloud Infrastructure Services Market Report."</w:t>
      </w:r>
    </w:p>
    <w:p>
      <w:pPr>
        <w:pStyle w:val="AcademicBody"/>
        <w:spacing w:line="360" w:lineRule="auto"/>
        <w:jc w:val="both"/>
      </w:pPr>
      <w:r>
        <w:rPr>
          <w:rFonts w:ascii="Times New Roman" w:hAnsi="Times New Roman"/>
          <w:sz w:val="24"/>
        </w:rPr>
        <w:t>National Institute of Standards and Technology (NIST). (2024). "Cloud Computing Standards and Guidelines."</w:t>
      </w:r>
    </w:p>
    <w:p>
      <w:pPr>
        <w:spacing w:line="360" w:lineRule="auto"/>
        <w:ind w:left="720" w:hanging="720"/>
        <w:jc w:val="both"/>
      </w:pPr>
      <w:r>
        <w:rPr>
          <w:rFonts w:ascii="Times New Roman" w:hAnsi="Times New Roman"/>
          <w:sz w:val="24"/>
        </w:rPr>
        <w:t>Amazon Web Services. (2025). "AWS Global Infrastructure." Retrieved from https://aws.amazon.com/about-aws/global-infrastructure/</w:t>
      </w:r>
    </w:p>
    <w:p>
      <w:pPr>
        <w:spacing w:line="360" w:lineRule="auto"/>
        <w:ind w:left="720" w:hanging="720"/>
        <w:jc w:val="both"/>
      </w:pPr>
      <w:r>
        <w:rPr>
          <w:rFonts w:ascii="Times New Roman" w:hAnsi="Times New Roman"/>
          <w:sz w:val="24"/>
        </w:rPr>
        <w:t>Aress Software. (2025). "Cloud Pricing Comparison 2025: AWS vs. Azure vs. Google Cloud."</w:t>
      </w:r>
    </w:p>
    <w:p>
      <w:pPr>
        <w:spacing w:line="360" w:lineRule="auto"/>
        <w:ind w:left="720" w:hanging="720"/>
        <w:jc w:val="both"/>
      </w:pPr>
      <w:r>
        <w:rPr>
          <w:rFonts w:ascii="Times New Roman" w:hAnsi="Times New Roman"/>
          <w:sz w:val="24"/>
        </w:rPr>
        <w:t>BMC Software. (2024). "AWS vs Azure vs GCP: Comparing The Big 3 Cloud Platforms."</w:t>
      </w:r>
    </w:p>
    <w:p>
      <w:pPr>
        <w:spacing w:line="360" w:lineRule="auto"/>
        <w:ind w:left="720" w:hanging="720"/>
        <w:jc w:val="both"/>
      </w:pPr>
      <w:r>
        <w:rPr>
          <w:rFonts w:ascii="Times New Roman" w:hAnsi="Times New Roman"/>
          <w:sz w:val="24"/>
        </w:rPr>
        <w:t>Channel Insider. (2025). "AWS vs Azure vs Google Cloud: Key Features and Pricing."</w:t>
      </w:r>
    </w:p>
    <w:p>
      <w:pPr>
        <w:spacing w:line="360" w:lineRule="auto"/>
        <w:ind w:left="720" w:hanging="720"/>
        <w:jc w:val="both"/>
      </w:pPr>
      <w:r>
        <w:rPr>
          <w:rFonts w:ascii="Times New Roman" w:hAnsi="Times New Roman"/>
          <w:sz w:val="24"/>
        </w:rPr>
        <w:t>Cloud Security Alliance. (2025). "Cloud Security Threats Report."</w:t>
      </w:r>
    </w:p>
    <w:p>
      <w:pPr>
        <w:spacing w:line="360" w:lineRule="auto"/>
        <w:ind w:left="720" w:hanging="720"/>
        <w:jc w:val="both"/>
      </w:pPr>
      <w:r>
        <w:rPr>
          <w:rFonts w:ascii="Times New Roman" w:hAnsi="Times New Roman"/>
          <w:sz w:val="24"/>
        </w:rPr>
        <w:t>CloudZero. (2025). "90+ Cloud Computing Statistics: A 2025 Market Snapshot." Retrieved from https://www.cloudzero.com/blog/cloud-computing-statistics/</w:t>
      </w:r>
    </w:p>
    <w:p>
      <w:pPr>
        <w:spacing w:line="360" w:lineRule="auto"/>
        <w:ind w:left="720" w:hanging="720"/>
        <w:jc w:val="both"/>
      </w:pPr>
      <w:r>
        <w:rPr>
          <w:rFonts w:ascii="Times New Roman" w:hAnsi="Times New Roman"/>
          <w:sz w:val="24"/>
        </w:rPr>
        <w:t>Digital Regenesys. (2025). "What is Economies of Scale in Cloud Computing." Retrieved from https://www.digitalregenesys.com/</w:t>
      </w:r>
    </w:p>
    <w:p>
      <w:pPr>
        <w:spacing w:line="360" w:lineRule="auto"/>
        <w:ind w:left="720" w:hanging="720"/>
        <w:jc w:val="both"/>
      </w:pPr>
      <w:r>
        <w:rPr>
          <w:rFonts w:ascii="Times New Roman" w:hAnsi="Times New Roman"/>
          <w:sz w:val="24"/>
        </w:rPr>
        <w:t>Financial Content Markets. (2025). "Data Centers Emerge as the New Bedrock of the Global Economy."</w:t>
      </w:r>
    </w:p>
    <w:p>
      <w:pPr>
        <w:spacing w:line="360" w:lineRule="auto"/>
        <w:ind w:left="720" w:hanging="720"/>
        <w:jc w:val="both"/>
      </w:pPr>
      <w:r>
        <w:rPr>
          <w:rFonts w:ascii="Times New Roman" w:hAnsi="Times New Roman"/>
          <w:sz w:val="24"/>
        </w:rPr>
        <w:t>Finout. (2024). "AWS vs Azure vs GCP: Which Cloud is Best." Retrieved from https://www.finout.io/</w:t>
      </w:r>
    </w:p>
    <w:p>
      <w:pPr>
        <w:spacing w:line="360" w:lineRule="auto"/>
        <w:ind w:left="720" w:hanging="720"/>
        <w:jc w:val="both"/>
      </w:pPr>
      <w:r>
        <w:rPr>
          <w:rFonts w:ascii="Times New Roman" w:hAnsi="Times New Roman"/>
          <w:sz w:val="24"/>
        </w:rPr>
        <w:t>Flexera. (2025). "State of the Cloud Report 2025." Retrieved from https://www.flexera.com/</w:t>
      </w:r>
    </w:p>
    <w:p>
      <w:pPr>
        <w:spacing w:line="360" w:lineRule="auto"/>
        <w:ind w:left="720" w:hanging="720"/>
        <w:jc w:val="both"/>
      </w:pPr>
      <w:r>
        <w:rPr>
          <w:rFonts w:ascii="Times New Roman" w:hAnsi="Times New Roman"/>
          <w:sz w:val="24"/>
        </w:rPr>
        <w:t>Forbes Technology Council. (2025). "Cloud Computing Trends Shaping Business in 2025."</w:t>
      </w:r>
    </w:p>
    <w:p>
      <w:pPr>
        <w:spacing w:line="360" w:lineRule="auto"/>
        <w:ind w:left="720" w:hanging="720"/>
        <w:jc w:val="both"/>
      </w:pPr>
      <w:r>
        <w:rPr>
          <w:rFonts w:ascii="Times New Roman" w:hAnsi="Times New Roman"/>
          <w:sz w:val="24"/>
        </w:rPr>
        <w:t>Gartner. (2025). "Gartner Forecasts Worldwide Public Cloud End-User Spending to Surpass $723 Billion in 2025."</w:t>
      </w:r>
    </w:p>
    <w:p>
      <w:pPr>
        <w:spacing w:line="360" w:lineRule="auto"/>
        <w:ind w:left="720" w:hanging="720"/>
        <w:jc w:val="both"/>
      </w:pPr>
      <w:r>
        <w:rPr>
          <w:rFonts w:ascii="Times New Roman" w:hAnsi="Times New Roman"/>
          <w:sz w:val="24"/>
        </w:rPr>
        <w:t>Google Cloud. (2025). "Google Cloud Locations." Retrieved from https://cloud.google.com/about/locations/</w:t>
      </w:r>
    </w:p>
    <w:p>
      <w:pPr>
        <w:spacing w:line="360" w:lineRule="auto"/>
        <w:ind w:left="720" w:hanging="720"/>
        <w:jc w:val="both"/>
      </w:pPr>
      <w:r>
        <w:rPr>
          <w:rFonts w:ascii="Times New Roman" w:hAnsi="Times New Roman"/>
          <w:sz w:val="24"/>
        </w:rPr>
        <w:t>McKinsey &amp; Company. (2024). "Cloud Cost Optimization: Best Practices for 2025."</w:t>
      </w:r>
    </w:p>
    <w:p>
      <w:pPr>
        <w:spacing w:line="360" w:lineRule="auto"/>
        <w:ind w:left="720" w:hanging="720"/>
        <w:jc w:val="both"/>
      </w:pPr>
      <w:r>
        <w:rPr>
          <w:rFonts w:ascii="Times New Roman" w:hAnsi="Times New Roman"/>
          <w:sz w:val="24"/>
        </w:rPr>
        <w:t>Microsoft Azure. (2025). "Azure Global Infrastructure." Retrieved from https://azure.microsoft.com/enus/explore/global-infrastructure/</w:t>
      </w:r>
    </w:p>
    <w:p>
      <w:pPr>
        <w:spacing w:line="360" w:lineRule="auto"/>
        <w:ind w:left="720" w:hanging="720"/>
        <w:jc w:val="both"/>
      </w:pPr>
      <w:r>
        <w:rPr>
          <w:rFonts w:ascii="Times New Roman" w:hAnsi="Times New Roman"/>
          <w:sz w:val="24"/>
        </w:rPr>
        <w:t>Trigyn Technologies. (2025). "Unlocking Economic Advantages of Cloud Computing." Retrieved from https://www.trigyn.com/insights/</w:t>
      </w:r>
    </w:p>
    <w:sectPr w:rsidR="00FC693F" w:rsidRPr="0006063C" w:rsidSect="00034616">
      <w:footerReference w:type="default" r:id="rId9"/>
      <w:pgSz w:w="12240" w:h="15840"/>
      <w:pgMar w:top="1440" w:right="1440" w:bottom="1440" w:left="1440" w:header="720" w:footer="720" w:gutter="0"/>
      <w:cols w:space="720"/>
      <w:docGrid w:linePitch="360"/>
      <w:pgNumType w:fmt="lowerRoman"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ody">
    <w:name w:val="AcademicBody"/>
    <w:basedOn w:val="Normal"/>
    <w:pPr>
      <w:spacing w:line="360" w:lineRule="auto" w:after="0"/>
      <w:ind w:left="0" w:firstLine="0"/>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